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0" w:firstLineChars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7055" cy="2417445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312" cy="24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</w:rPr>
        <w:t>Fig</w:t>
      </w:r>
      <w:r>
        <w:rPr>
          <w:rFonts w:ascii="Times New Roman" w:hAnsi="Times New Roman"/>
        </w:rPr>
        <w:t>. S4</w:t>
      </w:r>
      <w:r>
        <w:rPr>
          <w:rFonts w:hint="eastAsia" w:ascii="Times New Roman" w:hAnsi="Times New Roman"/>
        </w:rPr>
        <w:t xml:space="preserve"> pCAMBIA1301</w:t>
      </w:r>
      <w:r>
        <w:rPr>
          <w:rFonts w:hint="eastAsia" w:ascii="Times New Roman" w:hAnsi="Times New Roman"/>
          <w:sz w:val="24"/>
          <w:szCs w:val="24"/>
        </w:rPr>
        <w:t xml:space="preserve"> vector and its control after double enzyme digestion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</w:rPr>
        <w:t>M1. DL 2000 Maker; M2. DL 15000 Maker; 1-2. Linearized vector; 3. Circular vector.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207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2021-07-28T11:20:35Z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11D83F9A38D845D28AFEDE929A3C089C</vt:lpwstr>
  </property>
</Properties>
</file>