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Times New Roman" w:hAnsi="Times New Roman"/>
        </w:rPr>
      </w:pPr>
    </w:p>
    <w:p>
      <w:pPr>
        <w:widowControl/>
        <w:jc w:val="center"/>
        <w:rPr>
          <w:rFonts w:ascii="Times New Roman" w:hAnsi="Times New Roman" w:eastAsia="等线" w:cs="Times New Roman"/>
          <w:bCs/>
          <w:iCs/>
          <w:sz w:val="24"/>
          <w:szCs w:val="24"/>
        </w:rPr>
      </w:pPr>
    </w:p>
    <w:p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 xml:space="preserve">Table </w:t>
      </w:r>
      <w:r>
        <w:rPr>
          <w:rFonts w:ascii="Times New Roman" w:hAnsi="Times New Roman" w:cs="Times New Roman"/>
          <w:color w:val="000000"/>
        </w:rPr>
        <w:t>S5</w:t>
      </w:r>
      <w:r>
        <w:rPr>
          <w:rFonts w:hint="eastAsia"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Primers used in this study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3978"/>
        <w:gridCol w:w="905"/>
        <w:gridCol w:w="9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Primer name </w:t>
            </w:r>
          </w:p>
        </w:tc>
        <w:tc>
          <w:tcPr>
            <w:tcW w:w="2334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Primer sequences(5’-3’) </w:t>
            </w:r>
          </w:p>
        </w:tc>
        <w:tc>
          <w:tcPr>
            <w:tcW w:w="530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Tm (℃)</w:t>
            </w:r>
          </w:p>
        </w:tc>
        <w:tc>
          <w:tcPr>
            <w:tcW w:w="532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Fragment 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length</w:t>
            </w: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（bp）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Speciﬁc primer sequences for PCR amplification of the target genes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sz w:val="20"/>
                <w:szCs w:val="20"/>
              </w:rPr>
              <w:t>PlFT</w:t>
            </w: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F: GAACTGCTCGCCCTGTGTTAGCTAG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532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R: CTTGTGCATAGTTTCAATCCCTTTA</w:t>
            </w:r>
          </w:p>
        </w:tc>
        <w:tc>
          <w:tcPr>
            <w:tcW w:w="530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Primers for obtaining the target gene of linearized vector (including enzyme cutting site) containing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  <w:t>pCAMBIA1301-PlFT</w:t>
            </w: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F:gttaggatttctagaggtaccATGCCTAGAAATAGGGATCCACTAGT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</w:rPr>
              <w:t>68.45</w:t>
            </w:r>
          </w:p>
        </w:tc>
        <w:tc>
          <w:tcPr>
            <w:tcW w:w="532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</w:rPr>
              <w:t>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R:cgatcggggaaattcgagctcTTATCTTCTTCCGCCTGATCCC</w:t>
            </w:r>
          </w:p>
        </w:tc>
        <w:tc>
          <w:tcPr>
            <w:tcW w:w="530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03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pct"/>
            <w:gridSpan w:val="3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Speciﬁc primer sequences for qRT-PCR</w:t>
            </w:r>
          </w:p>
        </w:tc>
        <w:tc>
          <w:tcPr>
            <w:tcW w:w="532" w:type="pct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  <w:t>PlFT</w:t>
            </w: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ind w:firstLine="700" w:firstLineChars="35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F:</w:t>
            </w: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CAAGCGACCCAAACCTAA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 52.6</w:t>
            </w:r>
          </w:p>
        </w:tc>
        <w:tc>
          <w:tcPr>
            <w:tcW w:w="532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ind w:firstLine="588" w:firstLineChars="350"/>
              <w:rPr>
                <w:rFonts w:ascii="Times New Roman" w:hAnsi="Times New Roman" w:eastAsia="等线" w:cs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pacing w:val="-16"/>
                <w:sz w:val="20"/>
                <w:szCs w:val="20"/>
              </w:rPr>
              <w:t>R:</w:t>
            </w:r>
            <w:r>
              <w:rPr>
                <w:rFonts w:ascii="Times New Roman" w:hAnsi="Times New Roman" w:eastAsia="等线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spacing w:val="-16"/>
                <w:sz w:val="20"/>
                <w:szCs w:val="20"/>
              </w:rPr>
              <w:t>AATTCTGACGCCAACCTG</w:t>
            </w:r>
          </w:p>
        </w:tc>
        <w:tc>
          <w:tcPr>
            <w:tcW w:w="530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  <w:t>Actin</w:t>
            </w:r>
          </w:p>
        </w:tc>
        <w:tc>
          <w:tcPr>
            <w:tcW w:w="2334" w:type="pct"/>
            <w:tcBorders>
              <w:top w:val="nil"/>
              <w:bottom w:val="nil"/>
            </w:tcBorders>
          </w:tcPr>
          <w:p>
            <w:pPr>
              <w:ind w:firstLine="600" w:firstLineChars="30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F:</w:t>
            </w: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TCTCCCGCTATGTATGTCGC</w:t>
            </w:r>
          </w:p>
        </w:tc>
        <w:tc>
          <w:tcPr>
            <w:tcW w:w="530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532" w:type="pct"/>
            <w:vMerge w:val="restart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pct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34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R:</w:t>
            </w: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</w:rPr>
              <w:t>TAAGGTCACGTCCAGCAAGG</w:t>
            </w:r>
          </w:p>
        </w:tc>
        <w:tc>
          <w:tcPr>
            <w:tcW w:w="530" w:type="pct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0F2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5307FE4BBD524FD49893AF97D3729BED</vt:lpwstr>
  </property>
</Properties>
</file>