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55" w:firstLineChars="550"/>
        <w:rPr>
          <w:rFonts w:ascii="Times New Roman" w:hAnsi="Times New Roman"/>
        </w:rPr>
      </w:pPr>
    </w:p>
    <w:p/>
    <w:p>
      <w:pPr>
        <w:adjustRightInd w:val="0"/>
        <w:snapToGrid w:val="0"/>
        <w:spacing w:line="440" w:lineRule="exact"/>
        <w:ind w:firstLine="420" w:firstLineChars="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Table S1</w:t>
      </w:r>
      <w:r>
        <w:rPr>
          <w:rFonts w:hint="eastAsia" w:ascii="Times New Roman" w:hAnsi="Times New Roman"/>
        </w:rPr>
        <w:t xml:space="preserve"> Clean reads quality statistics</w:t>
      </w:r>
    </w:p>
    <w:tbl>
      <w:tblPr>
        <w:tblStyle w:val="4"/>
        <w:tblW w:w="829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6"/>
        <w:gridCol w:w="1185"/>
        <w:gridCol w:w="1186"/>
        <w:gridCol w:w="1185"/>
        <w:gridCol w:w="11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8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18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Raw Reads (M)</w:t>
            </w:r>
          </w:p>
        </w:tc>
        <w:tc>
          <w:tcPr>
            <w:tcW w:w="118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Clean Reads (M)</w:t>
            </w:r>
          </w:p>
        </w:tc>
        <w:tc>
          <w:tcPr>
            <w:tcW w:w="118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Clean Bases (Gb)</w:t>
            </w:r>
          </w:p>
        </w:tc>
        <w:tc>
          <w:tcPr>
            <w:tcW w:w="118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 Reads Q20 (%)</w:t>
            </w:r>
          </w:p>
        </w:tc>
        <w:tc>
          <w:tcPr>
            <w:tcW w:w="118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 Reads Q30 (%)</w:t>
            </w:r>
          </w:p>
        </w:tc>
        <w:tc>
          <w:tcPr>
            <w:tcW w:w="118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 Reads Ratio(%)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 w:cs="Times New Roman"/>
              </w:rPr>
              <w:t>_1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73.71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98.47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94.62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 w:cs="Times New Roman"/>
              </w:rPr>
              <w:t>_2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98.48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94.52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 w:cs="Times New Roman"/>
              </w:rPr>
              <w:t>_3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71.38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98.38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94.38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 w:cs="Times New Roman"/>
              </w:rPr>
              <w:t>_1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68.49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97.91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93.48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 w:cs="Times New Roman"/>
              </w:rPr>
              <w:t>_2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93.75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 w:cs="Times New Roman"/>
              </w:rPr>
              <w:t>_3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70.44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 w:cs="Times New Roman"/>
              </w:rPr>
              <w:t>_1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68.49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93.63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 w:cs="Times New Roman"/>
              </w:rPr>
              <w:t>_2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68.64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98.05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93.81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 w:cs="Times New Roman"/>
              </w:rPr>
              <w:t>_3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72.07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68.39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97.99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93.66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94.89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Q20: the rate of bases which quality is greater than 20.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B"/>
    <w:rsid w:val="00086DF9"/>
    <w:rsid w:val="0040445F"/>
    <w:rsid w:val="00454C38"/>
    <w:rsid w:val="004D00D4"/>
    <w:rsid w:val="004D5BAB"/>
    <w:rsid w:val="00612030"/>
    <w:rsid w:val="0066192D"/>
    <w:rsid w:val="006E2CFF"/>
    <w:rsid w:val="00744131"/>
    <w:rsid w:val="007C535C"/>
    <w:rsid w:val="00893211"/>
    <w:rsid w:val="008B4834"/>
    <w:rsid w:val="009F0BCD"/>
    <w:rsid w:val="00B20BDA"/>
    <w:rsid w:val="00C0727B"/>
    <w:rsid w:val="00C560C5"/>
    <w:rsid w:val="00D31B26"/>
    <w:rsid w:val="00EC57EF"/>
    <w:rsid w:val="00F05E71"/>
    <w:rsid w:val="041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semiHidden/>
    <w:unhideWhenUsed/>
    <w:uiPriority w:val="99"/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875F6-9438-4865-87F0-409181E0E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516</Words>
  <Characters>2942</Characters>
  <Lines>24</Lines>
  <Paragraphs>6</Paragraphs>
  <TotalTime>10</TotalTime>
  <ScaleCrop>false</ScaleCrop>
  <LinksUpToDate>false</LinksUpToDate>
  <CharactersWithSpaces>3452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2021-03-27T09:44:00Z</dcterms:created>
  <dc:creator>恬 陈</dc:creator>
  <cp:lastModifiedBy>左左</cp:lastModifiedBy>
  <dcterms:modified xsi:type="dcterms:W3CDTF">2021-07-28T11:21:30Z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941FBBD541DB4D8F9D3F4980F9B42E4E</vt:lpwstr>
  </property>
</Properties>
</file>