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E8A3" w14:textId="59F19CB1" w:rsidR="00C03F3A" w:rsidRDefault="00C03F3A" w:rsidP="00A56C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15372033"/>
      <w:r>
        <w:rPr>
          <w:rFonts w:ascii="Times New Roman" w:eastAsia="Times New Roman" w:hAnsi="Times New Roman" w:cs="Times New Roman"/>
          <w:b/>
          <w:sz w:val="24"/>
          <w:szCs w:val="24"/>
        </w:rPr>
        <w:t>Supplementary Methods</w:t>
      </w:r>
    </w:p>
    <w:p w14:paraId="3895E1F0" w14:textId="3FFF7594" w:rsidR="003918B3" w:rsidRPr="000D31DB" w:rsidRDefault="003918B3" w:rsidP="00A56C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8B3">
        <w:rPr>
          <w:rFonts w:ascii="Times New Roman" w:eastAsia="Times New Roman" w:hAnsi="Times New Roman" w:cs="Times New Roman"/>
          <w:b/>
          <w:sz w:val="24"/>
          <w:szCs w:val="24"/>
        </w:rPr>
        <w:t>Arbuscular mycorrhizal fungal communities associated with switchgrass</w:t>
      </w:r>
      <w:bookmarkStart w:id="1" w:name="_GoBack"/>
      <w:bookmarkEnd w:id="1"/>
      <w:r w:rsidRPr="003918B3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acidic, oligotrophic pine barrens ecosystem</w:t>
      </w:r>
    </w:p>
    <w:p w14:paraId="0E0F575D" w14:textId="6AECDAEB" w:rsidR="006C5B51" w:rsidRPr="000D31DB" w:rsidRDefault="003918B3" w:rsidP="00A56C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C90">
        <w:rPr>
          <w:rFonts w:ascii="Times New Roman" w:eastAsia="Times New Roman" w:hAnsi="Times New Roman" w:cs="Times New Roman"/>
          <w:sz w:val="24"/>
          <w:szCs w:val="24"/>
        </w:rPr>
        <w:t xml:space="preserve">Molly </w:t>
      </w:r>
      <w:proofErr w:type="spellStart"/>
      <w:r w:rsidRPr="00A56C90">
        <w:rPr>
          <w:rFonts w:ascii="Times New Roman" w:eastAsia="Times New Roman" w:hAnsi="Times New Roman" w:cs="Times New Roman"/>
          <w:sz w:val="24"/>
          <w:szCs w:val="24"/>
        </w:rPr>
        <w:t>Bindell</w:t>
      </w:r>
      <w:proofErr w:type="spellEnd"/>
      <w:r w:rsidRPr="00A56C90">
        <w:rPr>
          <w:rFonts w:ascii="Times New Roman" w:eastAsia="Times New Roman" w:hAnsi="Times New Roman" w:cs="Times New Roman"/>
          <w:sz w:val="24"/>
          <w:szCs w:val="24"/>
        </w:rPr>
        <w:t xml:space="preserve">, Jing Luo, Emily Walsh, Nicole E. Wagner, Stephen J. Miller, Stacy A. </w:t>
      </w:r>
      <w:proofErr w:type="spellStart"/>
      <w:r w:rsidRPr="00A56C90">
        <w:rPr>
          <w:rFonts w:ascii="Times New Roman" w:eastAsia="Times New Roman" w:hAnsi="Times New Roman" w:cs="Times New Roman"/>
          <w:sz w:val="24"/>
          <w:szCs w:val="24"/>
        </w:rPr>
        <w:t>Bonos</w:t>
      </w:r>
      <w:proofErr w:type="spellEnd"/>
      <w:r w:rsidRPr="00A56C90">
        <w:rPr>
          <w:rFonts w:ascii="Times New Roman" w:eastAsia="Times New Roman" w:hAnsi="Times New Roman" w:cs="Times New Roman"/>
          <w:sz w:val="24"/>
          <w:szCs w:val="24"/>
        </w:rPr>
        <w:t>, Ning Zhang</w:t>
      </w:r>
    </w:p>
    <w:p w14:paraId="6E847EBE" w14:textId="5D441E40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97630" w14:textId="5550EB32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BCB9C" w14:textId="77BDBE61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D77FD" w14:textId="22D31520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E2EDD" w14:textId="08BFE40E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CB59E" w14:textId="4020E764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9BB06" w14:textId="0FD6E8D1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E538C" w14:textId="7E63E73C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AED32" w14:textId="4E83BDD8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F491" w14:textId="595EDE41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13F07" w14:textId="6F94A31F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2D13A" w14:textId="615CED67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C62B5" w14:textId="045E981C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E20CC" w14:textId="4BA4A85C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BA2B9" w14:textId="52967E10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F1C5A" w14:textId="66629C5C" w:rsidR="006C5B51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57193" w14:textId="01B313C9" w:rsidR="00A67115" w:rsidRDefault="00A67115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AB167" w14:textId="0B449CC8" w:rsidR="00A67115" w:rsidRDefault="00A67115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F5F66" w14:textId="343BB57B" w:rsidR="00A67115" w:rsidRDefault="00A67115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DF8F6" w14:textId="3A34E7EF" w:rsidR="00A67115" w:rsidRDefault="00A67115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8B53" w14:textId="77777777" w:rsidR="00A67115" w:rsidRPr="000D31DB" w:rsidRDefault="00A67115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36FBC" w14:textId="79722713" w:rsidR="006C5B51" w:rsidRDefault="006C5B51" w:rsidP="00C0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2078E" w14:textId="04F88B9C" w:rsidR="00C03F3A" w:rsidRDefault="00C03F3A" w:rsidP="00C0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09BEA" w14:textId="6E3A3B58" w:rsidR="00C03F3A" w:rsidRDefault="00C03F3A" w:rsidP="00C0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388EB" w14:textId="77777777" w:rsidR="00C03F3A" w:rsidRPr="000D31DB" w:rsidRDefault="00C03F3A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39FE1" w14:textId="77777777" w:rsidR="006C5B51" w:rsidRPr="000D31DB" w:rsidRDefault="006C5B5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18AD187" w14:textId="1FB0A8A4" w:rsidR="00805C5F" w:rsidRPr="000D31DB" w:rsidRDefault="0003213E" w:rsidP="00A56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Samplin</w:t>
      </w:r>
      <w:r w:rsidR="00AD172C">
        <w:rPr>
          <w:rFonts w:ascii="Times New Roman" w:hAnsi="Times New Roman" w:cs="Times New Roman"/>
          <w:b/>
          <w:sz w:val="24"/>
          <w:szCs w:val="24"/>
        </w:rPr>
        <w:t>g site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C5F">
        <w:rPr>
          <w:rFonts w:ascii="Times New Roman" w:hAnsi="Times New Roman" w:cs="Times New Roman"/>
          <w:b/>
          <w:sz w:val="24"/>
          <w:szCs w:val="24"/>
        </w:rPr>
        <w:tab/>
      </w:r>
    </w:p>
    <w:p w14:paraId="372E79CD" w14:textId="62485D82" w:rsidR="00337036" w:rsidRPr="000D31DB" w:rsidRDefault="00724CAB" w:rsidP="00A56C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1D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42716">
        <w:rPr>
          <w:rFonts w:ascii="Times New Roman" w:eastAsia="Times New Roman" w:hAnsi="Times New Roman" w:cs="Times New Roman"/>
          <w:i/>
          <w:sz w:val="24"/>
          <w:szCs w:val="24"/>
        </w:rPr>
        <w:t>anicum</w:t>
      </w:r>
      <w:r w:rsidR="00C55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1DB">
        <w:rPr>
          <w:rFonts w:ascii="Times New Roman" w:eastAsia="Times New Roman" w:hAnsi="Times New Roman" w:cs="Times New Roman"/>
          <w:i/>
          <w:sz w:val="24"/>
          <w:szCs w:val="24"/>
        </w:rPr>
        <w:t>virgatum</w:t>
      </w:r>
      <w:proofErr w:type="spellEnd"/>
      <w:r w:rsidRPr="000D31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roots and root-abiding soil w</w:t>
      </w:r>
      <w:r w:rsidR="00AD172C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collected in the summer months of 2014, 2016, and 2017 from: the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arrens forests of New Jersey</w:t>
      </w:r>
      <w:r w:rsidR="00E2428E" w:rsidRPr="000D3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Wharton State Forest</w:t>
      </w:r>
      <w:r w:rsidR="00E2428E" w:rsidRPr="000D3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428E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°39.7557667,  °-74.6947333)</w:t>
      </w:r>
      <w:r w:rsidRPr="000D31DB">
        <w:rPr>
          <w:rFonts w:ascii="Times New Roman" w:hAnsi="Times New Roman" w:cs="Times New Roman"/>
          <w:sz w:val="24"/>
          <w:szCs w:val="24"/>
        </w:rPr>
        <w:t xml:space="preserve">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and Colliers Mills</w:t>
      </w:r>
      <w:r w:rsidR="00850C35" w:rsidRPr="000D31DB">
        <w:rPr>
          <w:rFonts w:ascii="Times New Roman" w:eastAsia="Times New Roman" w:hAnsi="Times New Roman" w:cs="Times New Roman"/>
          <w:sz w:val="24"/>
          <w:szCs w:val="24"/>
        </w:rPr>
        <w:t xml:space="preserve"> (°40.0680667, </w:t>
      </w:r>
      <w:r w:rsidR="00850C35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°-74.4449333)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 xml:space="preserve">arrens forests of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Long Island, NY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Rocky Point Pine Barrens </w:t>
      </w:r>
      <w:r w:rsidR="00AC4DBC">
        <w:rPr>
          <w:rFonts w:ascii="Times New Roman" w:eastAsia="Times New Roman" w:hAnsi="Times New Roman" w:cs="Times New Roman"/>
          <w:sz w:val="24"/>
          <w:szCs w:val="24"/>
        </w:rPr>
        <w:t>Preserves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4900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°40.907136, °-72.916676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and David A. Sarnoff Pine Barrens Preserve</w:t>
      </w:r>
      <w:r w:rsidR="00084900" w:rsidRPr="000D3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4900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°40.8975333, °-72.6586500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), forest floors of the Federal Aviation Administration of New Jersey</w:t>
      </w:r>
      <w:r w:rsidR="00741FAC" w:rsidRPr="000D3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11B7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°39.4443089, °-74.5632541</w:t>
      </w:r>
      <w:r w:rsidR="00741FAC" w:rsidRPr="000D31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, and 3 switchgrass research plots in New Jersey</w:t>
      </w:r>
      <w:r w:rsidR="001234FF" w:rsidRPr="000D31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Switchgrass research </w:t>
      </w:r>
      <w:r w:rsidR="00CE794F">
        <w:rPr>
          <w:rFonts w:ascii="Times New Roman" w:eastAsia="Times New Roman" w:hAnsi="Times New Roman" w:cs="Times New Roman"/>
          <w:sz w:val="24"/>
          <w:szCs w:val="24"/>
        </w:rPr>
        <w:t>field plot</w:t>
      </w:r>
      <w:r w:rsidR="00CE794F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in Somerset</w:t>
      </w:r>
      <w:r w:rsidR="001234FF" w:rsidRPr="000D3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34FF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°40.4748833, °-74.5310333)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, Rutgers Plant Science Research and Extension Farm in Adelphia</w:t>
      </w:r>
      <w:r w:rsidR="001059CA" w:rsidRPr="000D3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59CA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°40.2279333, °-74.2517000)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, and E.A.R.T.H Center at the Rutgers Cooperative Extension of Middlesex County in North Brunswick</w:t>
      </w:r>
      <w:r w:rsidR="001059CA" w:rsidRPr="000D3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59CA" w:rsidRPr="000D31DB">
        <w:rPr>
          <w:rFonts w:ascii="Times New Roman" w:eastAsia="Times New Roman" w:hAnsi="Times New Roman" w:cs="Times New Roman"/>
          <w:color w:val="000000"/>
          <w:sz w:val="24"/>
          <w:szCs w:val="24"/>
        </w:rPr>
        <w:t>°39.8787667, °-74.3767167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) were also sampled in order to compare community structure from both natural and managed switchgrass populations.</w:t>
      </w:r>
      <w:r w:rsidR="00AD172C">
        <w:rPr>
          <w:rFonts w:ascii="Times New Roman" w:eastAsia="Times New Roman" w:hAnsi="Times New Roman" w:cs="Times New Roman"/>
          <w:sz w:val="24"/>
          <w:szCs w:val="24"/>
        </w:rPr>
        <w:t xml:space="preserve">  Sampling from t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 xml:space="preserve">he Long Island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>arrens</w:t>
      </w:r>
      <w:r w:rsidR="00D0729B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 xml:space="preserve">forests </w:t>
      </w:r>
      <w:r w:rsidR="00AD172C">
        <w:rPr>
          <w:rFonts w:ascii="Times New Roman" w:eastAsia="Times New Roman" w:hAnsi="Times New Roman" w:cs="Times New Roman"/>
          <w:sz w:val="24"/>
          <w:szCs w:val="24"/>
        </w:rPr>
        <w:t xml:space="preserve">was conducted in order to confirm whether or not there are pine barrens specific AM fungi.  These forests 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 xml:space="preserve">are similar in </w:t>
      </w:r>
      <w:r w:rsidR="00BE77DC" w:rsidRPr="000D31DB">
        <w:rPr>
          <w:rFonts w:ascii="Times New Roman" w:eastAsia="Times New Roman" w:hAnsi="Times New Roman" w:cs="Times New Roman"/>
          <w:sz w:val="24"/>
          <w:szCs w:val="24"/>
        </w:rPr>
        <w:t xml:space="preserve">plant </w:t>
      </w:r>
      <w:r w:rsidR="00C50144" w:rsidRPr="000D31DB">
        <w:rPr>
          <w:rFonts w:ascii="Times New Roman" w:eastAsia="Times New Roman" w:hAnsi="Times New Roman" w:cs="Times New Roman"/>
          <w:sz w:val="24"/>
          <w:szCs w:val="24"/>
        </w:rPr>
        <w:t xml:space="preserve">and soil 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>makeup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2C">
        <w:rPr>
          <w:rFonts w:ascii="Times New Roman" w:eastAsia="Times New Roman" w:hAnsi="Times New Roman" w:cs="Times New Roman"/>
          <w:sz w:val="24"/>
          <w:szCs w:val="24"/>
        </w:rPr>
        <w:t xml:space="preserve">to the New Jersey pine barrens forests 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C50144" w:rsidRPr="000D31DB">
        <w:rPr>
          <w:rFonts w:ascii="Times New Roman" w:eastAsia="Times New Roman" w:hAnsi="Times New Roman" w:cs="Times New Roman"/>
          <w:sz w:val="24"/>
          <w:szCs w:val="24"/>
        </w:rPr>
        <w:t>we noticed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 more lichen</w:t>
      </w:r>
      <w:r w:rsidR="00174E7F" w:rsidRPr="000D31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 moss</w:t>
      </w:r>
      <w:r w:rsidR="00174E7F" w:rsidRPr="000D31DB">
        <w:rPr>
          <w:rFonts w:ascii="Times New Roman" w:eastAsia="Times New Roman" w:hAnsi="Times New Roman" w:cs="Times New Roman"/>
          <w:sz w:val="24"/>
          <w:szCs w:val="24"/>
        </w:rPr>
        <w:t>, and wintergreen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144" w:rsidRPr="000D31DB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4551FE">
        <w:rPr>
          <w:rFonts w:ascii="Times New Roman" w:eastAsia="Times New Roman" w:hAnsi="Times New Roman" w:cs="Times New Roman"/>
          <w:sz w:val="24"/>
          <w:szCs w:val="24"/>
        </w:rPr>
        <w:t xml:space="preserve">Long Island pine barrens 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>forest floor</w:t>
      </w:r>
      <w:r w:rsidR="00D0729B" w:rsidRPr="000D31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0144" w:rsidRPr="000D31DB">
        <w:rPr>
          <w:rFonts w:ascii="Times New Roman" w:eastAsia="Times New Roman" w:hAnsi="Times New Roman" w:cs="Times New Roman"/>
          <w:sz w:val="24"/>
          <w:szCs w:val="24"/>
        </w:rPr>
        <w:t xml:space="preserve"> during sampling</w:t>
      </w:r>
      <w:r w:rsidR="00041B01" w:rsidRPr="000D31D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5777D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AB2" w:rsidRPr="000D31DB">
        <w:rPr>
          <w:rFonts w:ascii="Times New Roman" w:eastAsia="Times New Roman" w:hAnsi="Times New Roman" w:cs="Times New Roman"/>
          <w:sz w:val="24"/>
          <w:szCs w:val="24"/>
        </w:rPr>
        <w:t xml:space="preserve">The Long Island </w:t>
      </w:r>
      <w:r w:rsidR="00053AB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3AB2" w:rsidRPr="000D31DB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053AB2">
        <w:rPr>
          <w:rFonts w:ascii="Times New Roman" w:eastAsia="Times New Roman" w:hAnsi="Times New Roman" w:cs="Times New Roman"/>
          <w:sz w:val="24"/>
          <w:szCs w:val="24"/>
        </w:rPr>
        <w:t>b</w:t>
      </w:r>
      <w:r w:rsidR="00053AB2" w:rsidRPr="000D31DB">
        <w:rPr>
          <w:rFonts w:ascii="Times New Roman" w:eastAsia="Times New Roman" w:hAnsi="Times New Roman" w:cs="Times New Roman"/>
          <w:sz w:val="24"/>
          <w:szCs w:val="24"/>
        </w:rPr>
        <w:t xml:space="preserve">arrens forests </w:t>
      </w:r>
      <w:r w:rsidR="00F51105">
        <w:rPr>
          <w:rFonts w:ascii="Times New Roman" w:eastAsia="Times New Roman" w:hAnsi="Times New Roman" w:cs="Times New Roman"/>
          <w:sz w:val="24"/>
          <w:szCs w:val="24"/>
        </w:rPr>
        <w:t xml:space="preserve">notably </w:t>
      </w:r>
      <w:r w:rsidR="00D0729B" w:rsidRPr="000D31DB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F511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729B" w:rsidRPr="000D31DB">
        <w:rPr>
          <w:rFonts w:ascii="Times New Roman" w:eastAsia="Times New Roman" w:hAnsi="Times New Roman" w:cs="Times New Roman"/>
          <w:sz w:val="24"/>
          <w:szCs w:val="24"/>
        </w:rPr>
        <w:t xml:space="preserve"> up ~105,000 acres of the island</w:t>
      </w:r>
      <w:r w:rsidR="003879CC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CC" w:rsidRPr="000D31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A232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&lt;EndNote&gt;&lt;Cite&gt;&lt;Year&gt;2018&lt;/Year&gt;&lt;RecNum&gt;723&lt;/RecNum&gt;&lt;DisplayText&gt;&lt;style face="superscript"&gt;3&lt;/style&gt;&lt;/DisplayText&gt;&lt;record&gt;&lt;rec-number&gt;723&lt;/rec-number&gt;&lt;foreign-keys&gt;&lt;key app="EN" db-id="r0p0wr2s9rpx9qetz58xv5psprfdatrwfefs" timestamp="1517929573"&gt;723&lt;/key&gt;&lt;/foreign-keys&gt;&lt;ref-type name="Web Page"&gt;12&lt;/ref-type&gt;&lt;contributors&gt;&lt;/contributors&gt;&lt;titles&gt;&lt;title&gt;Central Pine Barrens Overview&lt;/title&gt;&lt;secondary-title&gt;Central Pine Barrens Joint Planning &amp;amp; Policy Commission&lt;/secondary-title&gt;&lt;/titles&gt;&lt;volume&gt;2018&lt;/volume&gt;&lt;number&gt;February 6, 2018&lt;/number&gt;&lt;dates&gt;&lt;year&gt;2018&lt;/year&gt;&lt;/dates&gt;&lt;publisher&gt;Central Pine Barrens Joint Planning &amp;amp; Policy Commission&lt;/publisher&gt;&lt;urls&gt;&lt;related-urls&gt;&lt;url&gt;https://pb.state.ny.us/central-pine-barrens/overview/&lt;/url&gt;&lt;/related-urls&gt;&lt;/urls&gt;&lt;/record&gt;&lt;/Cite&gt;&lt;/EndNote&gt;</w:instrText>
      </w:r>
      <w:r w:rsidR="003879CC" w:rsidRPr="000D31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A2324" w:rsidRPr="005A232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="003879CC" w:rsidRPr="000D31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879CC" w:rsidRPr="000D3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29B" w:rsidRPr="000D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A4141" w14:textId="578D9DA1" w:rsidR="00724CAB" w:rsidRPr="000D31DB" w:rsidRDefault="00724CAB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Samples were also collected from Doolittle Prairie State Preserve in Ames, Iowa.  </w:t>
      </w:r>
      <w:r w:rsidR="00337036" w:rsidRPr="000D31DB">
        <w:rPr>
          <w:rFonts w:ascii="Times New Roman" w:eastAsia="Times New Roman" w:hAnsi="Times New Roman" w:cs="Times New Roman"/>
          <w:sz w:val="24"/>
          <w:szCs w:val="24"/>
        </w:rPr>
        <w:t>This site is a 40-acre preserved prairie wetland with 223 native plant species</w:t>
      </w:r>
      <w:r w:rsidR="00FF0DA1" w:rsidRPr="000D31DB">
        <w:rPr>
          <w:rFonts w:ascii="Times New Roman" w:eastAsia="Times New Roman" w:hAnsi="Times New Roman" w:cs="Times New Roman"/>
          <w:sz w:val="24"/>
          <w:szCs w:val="24"/>
        </w:rPr>
        <w:t>, no trails,</w:t>
      </w:r>
      <w:r w:rsidR="00337036" w:rsidRPr="000D31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F0DA1" w:rsidRPr="000D31D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37036" w:rsidRPr="000D31DB">
        <w:rPr>
          <w:rFonts w:ascii="Times New Roman" w:eastAsia="Times New Roman" w:hAnsi="Times New Roman" w:cs="Times New Roman"/>
          <w:sz w:val="24"/>
          <w:szCs w:val="24"/>
        </w:rPr>
        <w:t xml:space="preserve"> prescribed burned every 2-3 years. 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Sites were considered ‘managed’ if the soil was amended</w:t>
      </w:r>
      <w:r w:rsidR="00337036" w:rsidRPr="000D31DB">
        <w:rPr>
          <w:rFonts w:ascii="Times New Roman" w:eastAsia="Times New Roman" w:hAnsi="Times New Roman" w:cs="Times New Roman"/>
          <w:sz w:val="24"/>
          <w:szCs w:val="24"/>
        </w:rPr>
        <w:t xml:space="preserve"> with fertilizers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in any way and/or mowed annually.  Sites were considered ‘natural’ if not managed, as </w:t>
      </w:r>
      <w:r w:rsidR="004A78B0" w:rsidRPr="000D31D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4A78B0" w:rsidRPr="000D31DB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.  Root samples were collected from similarly sized plants.  However, the plants at </w:t>
      </w:r>
      <w:r w:rsidR="0003213E">
        <w:rPr>
          <w:rFonts w:ascii="Times New Roman" w:eastAsia="Times New Roman" w:hAnsi="Times New Roman" w:cs="Times New Roman"/>
          <w:sz w:val="24"/>
          <w:szCs w:val="24"/>
        </w:rPr>
        <w:t xml:space="preserve">the research farm in Adelphia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were much larger than elsewhere, most likely because they were specially cared for when the plot </w:t>
      </w:r>
      <w:r w:rsidR="000D15F8" w:rsidRPr="000D31DB">
        <w:rPr>
          <w:rFonts w:ascii="Times New Roman" w:eastAsia="Times New Roman" w:hAnsi="Times New Roman" w:cs="Times New Roman"/>
          <w:sz w:val="24"/>
          <w:szCs w:val="24"/>
        </w:rPr>
        <w:t xml:space="preserve">was originally established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D15F8" w:rsidRPr="000D31DB">
        <w:rPr>
          <w:rFonts w:ascii="Times New Roman" w:eastAsia="Times New Roman" w:hAnsi="Times New Roman" w:cs="Times New Roman"/>
          <w:sz w:val="24"/>
          <w:szCs w:val="24"/>
        </w:rPr>
        <w:t xml:space="preserve">because it has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full sun exposure. Other grass</w:t>
      </w:r>
      <w:r w:rsidR="000D15F8" w:rsidRPr="000D31DB">
        <w:rPr>
          <w:rFonts w:ascii="Times New Roman" w:eastAsia="Times New Roman" w:hAnsi="Times New Roman" w:cs="Times New Roman"/>
          <w:sz w:val="24"/>
          <w:szCs w:val="24"/>
        </w:rPr>
        <w:t xml:space="preserve"> species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were grown </w:t>
      </w:r>
      <w:r w:rsidR="000D15F8" w:rsidRPr="000D31DB">
        <w:rPr>
          <w:rFonts w:ascii="Times New Roman" w:eastAsia="Times New Roman" w:hAnsi="Times New Roman" w:cs="Times New Roman"/>
          <w:sz w:val="24"/>
          <w:szCs w:val="24"/>
        </w:rPr>
        <w:t xml:space="preserve">adjacent to switchgrass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in these </w:t>
      </w:r>
      <w:r w:rsidR="001E013B" w:rsidRPr="000D31DB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0D15F8" w:rsidRPr="000D31DB"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plots.  </w:t>
      </w:r>
    </w:p>
    <w:p w14:paraId="2D3F50F5" w14:textId="6EE51ADA" w:rsidR="00805C5F" w:rsidRPr="00A56C90" w:rsidRDefault="00686C62" w:rsidP="00A56C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Confirmation of plant host</w:t>
      </w:r>
      <w:r w:rsidR="0003213E">
        <w:rPr>
          <w:rFonts w:ascii="Times New Roman" w:eastAsia="Times New Roman" w:hAnsi="Times New Roman" w:cs="Times New Roman"/>
          <w:b/>
          <w:sz w:val="24"/>
          <w:szCs w:val="24"/>
        </w:rPr>
        <w:t xml:space="preserve"> identity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3D7CF3B" w14:textId="65CA881D" w:rsidR="00C85E61" w:rsidRPr="000D31DB" w:rsidRDefault="00C85E6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In order to confirm our identification of </w:t>
      </w:r>
      <w:r w:rsidRPr="000D31DB">
        <w:rPr>
          <w:rFonts w:ascii="Times New Roman" w:eastAsia="Times New Roman" w:hAnsi="Times New Roman" w:cs="Times New Roman"/>
          <w:i/>
          <w:sz w:val="24"/>
          <w:szCs w:val="24"/>
        </w:rPr>
        <w:t>P. virgatum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, the leaf sheath from one </w:t>
      </w:r>
      <w:r w:rsidRPr="000D31DB">
        <w:rPr>
          <w:rFonts w:ascii="Times New Roman" w:eastAsia="Times New Roman" w:hAnsi="Times New Roman" w:cs="Times New Roman"/>
          <w:i/>
          <w:sz w:val="24"/>
          <w:szCs w:val="24"/>
        </w:rPr>
        <w:t xml:space="preserve">P. virgatum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plant from </w:t>
      </w:r>
      <w:r w:rsidR="00C552D8">
        <w:rPr>
          <w:rFonts w:ascii="Times New Roman" w:eastAsia="Times New Roman" w:hAnsi="Times New Roman" w:cs="Times New Roman"/>
          <w:sz w:val="24"/>
          <w:szCs w:val="24"/>
        </w:rPr>
        <w:t>each sampled site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was used for DNA analysis.  Total gDNA was extracted from 0.125g of leaf tissue </w:t>
      </w:r>
      <w:r w:rsidR="00894B52">
        <w:rPr>
          <w:rFonts w:ascii="Times New Roman" w:eastAsia="Times New Roman" w:hAnsi="Times New Roman" w:cs="Times New Roman"/>
          <w:sz w:val="24"/>
          <w:szCs w:val="24"/>
        </w:rPr>
        <w:t xml:space="preserve">from each site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>using a PowerSoil DNA Isolation Kit (MO BIO Laboratories, Inc., Carlsbad, CA) according to manufacturer’s instructions.  PCR was carried out with primer pairs MATKF-MATKR and rbcLAF-rbcLAR, using the protocols of Hollingsworth et al. 2009.  PCR products were purified with ExoSAP-IT (Affymetrix, California) as per manufacturer’s instructions and sequenced by GenScript (Piscataway, New Jersey).  The sequence</w:t>
      </w:r>
      <w:r w:rsidR="00894B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94B52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manually checked and trimmed for quality using Finch TV (PerkinElmer Inc., Seattle, Washington) and compared against </w:t>
      </w:r>
      <w:r w:rsidR="00894B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database </w:t>
      </w:r>
      <w:r w:rsidR="00894B5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the National Center for Biotechnology Information using the </w:t>
      </w:r>
      <w:proofErr w:type="spellStart"/>
      <w:r w:rsidRPr="000D31DB">
        <w:rPr>
          <w:rFonts w:ascii="Times New Roman" w:eastAsia="Times New Roman" w:hAnsi="Times New Roman" w:cs="Times New Roman"/>
          <w:sz w:val="24"/>
          <w:szCs w:val="24"/>
        </w:rPr>
        <w:t>BLASTn</w:t>
      </w:r>
      <w:proofErr w:type="spellEnd"/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 function (</w:t>
      </w:r>
      <w:hyperlink r:id="rId4">
        <w:r w:rsidRPr="000D31DB">
          <w:rPr>
            <w:rFonts w:ascii="Times New Roman" w:eastAsia="Times New Roman" w:hAnsi="Times New Roman" w:cs="Times New Roman"/>
            <w:sz w:val="24"/>
            <w:szCs w:val="24"/>
          </w:rPr>
          <w:t>http://blast.ncbi.nlm.nih.gov</w:t>
        </w:r>
      </w:hyperlink>
      <w:r w:rsidRPr="000D31DB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16D99E57" w14:textId="359C3F08" w:rsidR="00C85E61" w:rsidRPr="000D31DB" w:rsidRDefault="00C85E61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ADE10" w14:textId="7C122559" w:rsidR="00C85E61" w:rsidRDefault="00C85E61" w:rsidP="00C0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FCF1A" w14:textId="70F3BDE3" w:rsidR="00101A7A" w:rsidRDefault="00101A7A" w:rsidP="00C03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89E3B" w14:textId="77777777" w:rsidR="00805C5F" w:rsidRPr="000D31DB" w:rsidRDefault="00805C5F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B3826" w14:textId="77777777" w:rsidR="00350F35" w:rsidRPr="000D31DB" w:rsidRDefault="00350F35" w:rsidP="00A56C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95FE1" w14:textId="2A577A31" w:rsidR="007442B0" w:rsidRPr="000D31DB" w:rsidRDefault="008B4442" w:rsidP="00A56C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1DB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6B371A6" w14:textId="77777777" w:rsidR="005A2324" w:rsidRPr="005A2324" w:rsidRDefault="007442B0" w:rsidP="005A2324">
      <w:pPr>
        <w:pStyle w:val="EndNoteBibliography"/>
        <w:spacing w:after="0"/>
        <w:ind w:left="720" w:hanging="720"/>
      </w:pPr>
      <w:r w:rsidRPr="000D31DB">
        <w:rPr>
          <w:rFonts w:ascii="Times New Roman" w:hAnsi="Times New Roman" w:cs="Times New Roman"/>
          <w:sz w:val="24"/>
          <w:szCs w:val="24"/>
        </w:rPr>
        <w:fldChar w:fldCharType="begin"/>
      </w:r>
      <w:r w:rsidRPr="000D31D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D31DB">
        <w:rPr>
          <w:rFonts w:ascii="Times New Roman" w:hAnsi="Times New Roman" w:cs="Times New Roman"/>
          <w:sz w:val="24"/>
          <w:szCs w:val="24"/>
        </w:rPr>
        <w:fldChar w:fldCharType="separate"/>
      </w:r>
      <w:r w:rsidR="005A2324" w:rsidRPr="005A2324">
        <w:t>1</w:t>
      </w:r>
      <w:r w:rsidR="005A2324" w:rsidRPr="005A2324">
        <w:tab/>
        <w:t xml:space="preserve">Forman, R. T. T. </w:t>
      </w:r>
      <w:r w:rsidR="005A2324" w:rsidRPr="005A2324">
        <w:rPr>
          <w:i/>
        </w:rPr>
        <w:t>Pine Barrens: ecosystems and landscape</w:t>
      </w:r>
      <w:r w:rsidR="005A2324" w:rsidRPr="005A2324">
        <w:t>.  xli-601 (Rutgers University Press, 1998).</w:t>
      </w:r>
    </w:p>
    <w:p w14:paraId="520FBC4B" w14:textId="77777777" w:rsidR="005A2324" w:rsidRPr="00805C5F" w:rsidRDefault="005A2324" w:rsidP="005A2324">
      <w:pPr>
        <w:pStyle w:val="EndNoteBibliography"/>
        <w:spacing w:after="0"/>
        <w:ind w:left="720" w:hanging="720"/>
      </w:pPr>
      <w:r w:rsidRPr="005A2324">
        <w:t>2</w:t>
      </w:r>
      <w:r w:rsidRPr="005A2324">
        <w:tab/>
        <w:t xml:space="preserve">McCormick, J. &amp; Buell, M. F. Natural Revegetation of a Plowed Field in the New Jersey Pine Barrens. </w:t>
      </w:r>
      <w:r w:rsidRPr="005A2324">
        <w:rPr>
          <w:i/>
        </w:rPr>
        <w:t>Botanical Gazette</w:t>
      </w:r>
      <w:r w:rsidRPr="005A2324">
        <w:t xml:space="preserve"> </w:t>
      </w:r>
      <w:r w:rsidRPr="005A2324">
        <w:rPr>
          <w:b/>
        </w:rPr>
        <w:t>118</w:t>
      </w:r>
      <w:r w:rsidRPr="005A2324">
        <w:t>, 261-264</w:t>
      </w:r>
      <w:r w:rsidRPr="00805C5F">
        <w:t>, doi:10.1086/335952 (1957).</w:t>
      </w:r>
    </w:p>
    <w:p w14:paraId="56B470EA" w14:textId="28BF9E56" w:rsidR="005A2324" w:rsidRPr="00805C5F" w:rsidRDefault="005A2324" w:rsidP="005A2324">
      <w:pPr>
        <w:pStyle w:val="EndNoteBibliography"/>
        <w:ind w:left="720" w:hanging="720"/>
      </w:pPr>
      <w:r w:rsidRPr="00805C5F">
        <w:t>3</w:t>
      </w:r>
      <w:r w:rsidRPr="00805C5F">
        <w:tab/>
      </w:r>
      <w:r w:rsidRPr="00805C5F">
        <w:rPr>
          <w:i/>
        </w:rPr>
        <w:t>Central Pine Barrens Overview</w:t>
      </w:r>
      <w:r w:rsidRPr="00805C5F">
        <w:t>, &lt;</w:t>
      </w:r>
      <w:hyperlink r:id="rId5" w:history="1">
        <w:r w:rsidRPr="00A56C90">
          <w:rPr>
            <w:rStyle w:val="Hyperlink"/>
            <w:color w:val="auto"/>
          </w:rPr>
          <w:t>https://pb.state.ny.us/central-pine-barrens/overview/</w:t>
        </w:r>
      </w:hyperlink>
      <w:r w:rsidRPr="00805C5F">
        <w:t>&gt; (2018).</w:t>
      </w:r>
    </w:p>
    <w:p w14:paraId="780D9A85" w14:textId="40B76542" w:rsidR="0032594C" w:rsidRPr="000D31DB" w:rsidRDefault="007442B0" w:rsidP="00A56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2594C" w:rsidRPr="000D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p0wr2s9rpx9qetz58xv5psprfdatrwfefs&quot;&gt;Metagenomic Methods Paper References&lt;record-ids&gt;&lt;item&gt;545&lt;/item&gt;&lt;item&gt;574&lt;/item&gt;&lt;item&gt;723&lt;/item&gt;&lt;/record-ids&gt;&lt;/item&gt;&lt;/Libraries&gt;"/>
  </w:docVars>
  <w:rsids>
    <w:rsidRoot w:val="00724CAB"/>
    <w:rsid w:val="00023646"/>
    <w:rsid w:val="0003213E"/>
    <w:rsid w:val="00041B01"/>
    <w:rsid w:val="00053AB2"/>
    <w:rsid w:val="00067328"/>
    <w:rsid w:val="00075E3F"/>
    <w:rsid w:val="00084900"/>
    <w:rsid w:val="000D15F8"/>
    <w:rsid w:val="000D31DB"/>
    <w:rsid w:val="00101A7A"/>
    <w:rsid w:val="001059CA"/>
    <w:rsid w:val="001171DF"/>
    <w:rsid w:val="001232F2"/>
    <w:rsid w:val="001234FF"/>
    <w:rsid w:val="00125A5A"/>
    <w:rsid w:val="00174E7F"/>
    <w:rsid w:val="00197A3A"/>
    <w:rsid w:val="001C437F"/>
    <w:rsid w:val="001E013B"/>
    <w:rsid w:val="0023697F"/>
    <w:rsid w:val="0024515D"/>
    <w:rsid w:val="0025777D"/>
    <w:rsid w:val="00267DB4"/>
    <w:rsid w:val="00290DF5"/>
    <w:rsid w:val="002D36CE"/>
    <w:rsid w:val="003015F5"/>
    <w:rsid w:val="0032594C"/>
    <w:rsid w:val="00337036"/>
    <w:rsid w:val="00346D42"/>
    <w:rsid w:val="00350F35"/>
    <w:rsid w:val="00355157"/>
    <w:rsid w:val="003879CC"/>
    <w:rsid w:val="003918B3"/>
    <w:rsid w:val="003C3219"/>
    <w:rsid w:val="003F1152"/>
    <w:rsid w:val="004551FE"/>
    <w:rsid w:val="004A78B0"/>
    <w:rsid w:val="004B0445"/>
    <w:rsid w:val="004C200E"/>
    <w:rsid w:val="00566A10"/>
    <w:rsid w:val="005734D0"/>
    <w:rsid w:val="005A22C8"/>
    <w:rsid w:val="005A2324"/>
    <w:rsid w:val="005E1544"/>
    <w:rsid w:val="0060789C"/>
    <w:rsid w:val="00612A78"/>
    <w:rsid w:val="0063272F"/>
    <w:rsid w:val="00645CCE"/>
    <w:rsid w:val="00686C62"/>
    <w:rsid w:val="00690BD2"/>
    <w:rsid w:val="00694ABB"/>
    <w:rsid w:val="006C5954"/>
    <w:rsid w:val="006C5B51"/>
    <w:rsid w:val="00703672"/>
    <w:rsid w:val="00724CAB"/>
    <w:rsid w:val="00741544"/>
    <w:rsid w:val="00741FAC"/>
    <w:rsid w:val="007442B0"/>
    <w:rsid w:val="00776978"/>
    <w:rsid w:val="00780C31"/>
    <w:rsid w:val="00783CCE"/>
    <w:rsid w:val="007C53F8"/>
    <w:rsid w:val="00805C5F"/>
    <w:rsid w:val="008378F7"/>
    <w:rsid w:val="008400EF"/>
    <w:rsid w:val="008411B7"/>
    <w:rsid w:val="0084186E"/>
    <w:rsid w:val="00850C35"/>
    <w:rsid w:val="0087419F"/>
    <w:rsid w:val="00894B52"/>
    <w:rsid w:val="008B18A5"/>
    <w:rsid w:val="008B4442"/>
    <w:rsid w:val="008D413A"/>
    <w:rsid w:val="008D64A4"/>
    <w:rsid w:val="008E1106"/>
    <w:rsid w:val="008E1EDE"/>
    <w:rsid w:val="0091201F"/>
    <w:rsid w:val="00916BED"/>
    <w:rsid w:val="00964B69"/>
    <w:rsid w:val="009A7D38"/>
    <w:rsid w:val="009D49C9"/>
    <w:rsid w:val="009F7B92"/>
    <w:rsid w:val="00A42716"/>
    <w:rsid w:val="00A56C90"/>
    <w:rsid w:val="00A67115"/>
    <w:rsid w:val="00AB23A2"/>
    <w:rsid w:val="00AC4DBC"/>
    <w:rsid w:val="00AD172C"/>
    <w:rsid w:val="00B12FC5"/>
    <w:rsid w:val="00B75AEA"/>
    <w:rsid w:val="00B909A5"/>
    <w:rsid w:val="00B926C8"/>
    <w:rsid w:val="00B94909"/>
    <w:rsid w:val="00BC380C"/>
    <w:rsid w:val="00BE77DC"/>
    <w:rsid w:val="00C03F3A"/>
    <w:rsid w:val="00C16710"/>
    <w:rsid w:val="00C21DE2"/>
    <w:rsid w:val="00C35CCE"/>
    <w:rsid w:val="00C4336B"/>
    <w:rsid w:val="00C50144"/>
    <w:rsid w:val="00C50210"/>
    <w:rsid w:val="00C50A79"/>
    <w:rsid w:val="00C521C2"/>
    <w:rsid w:val="00C552D8"/>
    <w:rsid w:val="00C772E3"/>
    <w:rsid w:val="00C85E61"/>
    <w:rsid w:val="00C96F21"/>
    <w:rsid w:val="00CC287A"/>
    <w:rsid w:val="00CE6376"/>
    <w:rsid w:val="00CE794F"/>
    <w:rsid w:val="00D0729B"/>
    <w:rsid w:val="00D22D15"/>
    <w:rsid w:val="00D27F65"/>
    <w:rsid w:val="00D3090D"/>
    <w:rsid w:val="00D41435"/>
    <w:rsid w:val="00D61767"/>
    <w:rsid w:val="00D6177D"/>
    <w:rsid w:val="00D72A8F"/>
    <w:rsid w:val="00E2428E"/>
    <w:rsid w:val="00EC62CF"/>
    <w:rsid w:val="00F51105"/>
    <w:rsid w:val="00FD2A5E"/>
    <w:rsid w:val="00FE5203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78231"/>
  <w15:docId w15:val="{B9DE7491-F51B-4DDE-9C0B-13EC1F0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C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C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442B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42B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442B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42B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9C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B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5A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.state.ny.us/central-pine-barrens/overview/" TargetMode="External"/><Relationship Id="rId4" Type="http://schemas.openxmlformats.org/officeDocument/2006/relationships/hyperlink" Target="http://blast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mollysil</dc:creator>
  <cp:keywords/>
  <dc:description/>
  <cp:lastModifiedBy>Ning Zhang</cp:lastModifiedBy>
  <cp:revision>5</cp:revision>
  <dcterms:created xsi:type="dcterms:W3CDTF">2019-03-26T19:48:00Z</dcterms:created>
  <dcterms:modified xsi:type="dcterms:W3CDTF">2019-09-16T16:14:00Z</dcterms:modified>
</cp:coreProperties>
</file>