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E024E">
      <w:pPr>
        <w:spacing w:line="360" w:lineRule="auto"/>
        <w:ind w:right="-483" w:rightChars="-230"/>
        <w:jc w:val="left"/>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Table S3. Baseline characteristics of the 29 studies after study screening.</w:t>
      </w:r>
    </w:p>
    <w:tbl>
      <w:tblPr>
        <w:tblStyle w:val="6"/>
        <w:tblW w:w="13777" w:type="dxa"/>
        <w:tblInd w:w="0" w:type="dxa"/>
        <w:tblLayout w:type="autofit"/>
        <w:tblCellMar>
          <w:top w:w="0" w:type="dxa"/>
          <w:left w:w="108" w:type="dxa"/>
          <w:bottom w:w="0" w:type="dxa"/>
          <w:right w:w="108" w:type="dxa"/>
        </w:tblCellMar>
      </w:tblPr>
      <w:tblGrid>
        <w:gridCol w:w="2082"/>
        <w:gridCol w:w="2162"/>
        <w:gridCol w:w="1123"/>
        <w:gridCol w:w="1127"/>
        <w:gridCol w:w="3868"/>
        <w:gridCol w:w="3415"/>
      </w:tblGrid>
      <w:tr w14:paraId="4D920CA1">
        <w:tblPrEx>
          <w:tblCellMar>
            <w:top w:w="0" w:type="dxa"/>
            <w:left w:w="108" w:type="dxa"/>
            <w:bottom w:w="0" w:type="dxa"/>
            <w:right w:w="108" w:type="dxa"/>
          </w:tblCellMar>
        </w:tblPrEx>
        <w:trPr>
          <w:trHeight w:val="930" w:hRule="atLeast"/>
        </w:trPr>
        <w:tc>
          <w:tcPr>
            <w:tcW w:w="212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4D4811">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Author (Year)</w:t>
            </w:r>
          </w:p>
        </w:tc>
        <w:tc>
          <w:tcPr>
            <w:tcW w:w="1932" w:type="dxa"/>
            <w:tcBorders>
              <w:top w:val="single" w:color="auto" w:sz="4" w:space="0"/>
              <w:left w:val="nil"/>
              <w:bottom w:val="single" w:color="auto" w:sz="4" w:space="0"/>
              <w:right w:val="single" w:color="auto" w:sz="4" w:space="0"/>
            </w:tcBorders>
            <w:shd w:val="clear" w:color="auto" w:fill="FFFFFF" w:themeFill="background1"/>
            <w:vAlign w:val="center"/>
          </w:tcPr>
          <w:p w14:paraId="54D29FB2">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Source of cohort</w:t>
            </w:r>
            <w:r>
              <w:rPr>
                <w:rFonts w:ascii="Times New Roman" w:hAnsi="Times New Roman" w:eastAsia="等线" w:cs="Times New Roman"/>
                <w:b/>
                <w:bCs/>
                <w:color w:val="000000"/>
                <w:kern w:val="0"/>
                <w:sz w:val="24"/>
                <w:szCs w:val="24"/>
              </w:rPr>
              <w:br w:type="textWrapping"/>
            </w:r>
            <w:r>
              <w:rPr>
                <w:rFonts w:ascii="Times New Roman" w:hAnsi="Times New Roman" w:eastAsia="等线" w:cs="Times New Roman"/>
                <w:b/>
                <w:bCs/>
                <w:color w:val="000000"/>
                <w:kern w:val="0"/>
                <w:sz w:val="24"/>
                <w:szCs w:val="24"/>
              </w:rPr>
              <w:t>(district or country)</w:t>
            </w:r>
          </w:p>
        </w:tc>
        <w:tc>
          <w:tcPr>
            <w:tcW w:w="1134" w:type="dxa"/>
            <w:tcBorders>
              <w:top w:val="single" w:color="auto" w:sz="4" w:space="0"/>
              <w:left w:val="nil"/>
              <w:bottom w:val="single" w:color="auto" w:sz="4" w:space="0"/>
              <w:right w:val="single" w:color="auto" w:sz="4" w:space="0"/>
            </w:tcBorders>
            <w:shd w:val="clear" w:color="auto" w:fill="FFFFFF" w:themeFill="background1"/>
            <w:vAlign w:val="center"/>
          </w:tcPr>
          <w:p w14:paraId="2F45629B">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Sample Size</w:t>
            </w:r>
          </w:p>
        </w:tc>
        <w:tc>
          <w:tcPr>
            <w:tcW w:w="1134" w:type="dxa"/>
            <w:tcBorders>
              <w:top w:val="single" w:color="auto" w:sz="4" w:space="0"/>
              <w:left w:val="nil"/>
              <w:bottom w:val="single" w:color="auto" w:sz="4" w:space="0"/>
              <w:right w:val="single" w:color="auto" w:sz="4" w:space="0"/>
            </w:tcBorders>
            <w:shd w:val="clear" w:color="auto" w:fill="FFFFFF" w:themeFill="background1"/>
            <w:vAlign w:val="center"/>
          </w:tcPr>
          <w:p w14:paraId="13E4A037">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No. of VTDR patients</w:t>
            </w:r>
          </w:p>
        </w:tc>
        <w:tc>
          <w:tcPr>
            <w:tcW w:w="3953" w:type="dxa"/>
            <w:tcBorders>
              <w:top w:val="single" w:color="auto" w:sz="4" w:space="0"/>
              <w:left w:val="nil"/>
              <w:bottom w:val="single" w:color="auto" w:sz="4" w:space="0"/>
              <w:right w:val="single" w:color="auto" w:sz="4" w:space="0"/>
            </w:tcBorders>
            <w:shd w:val="clear" w:color="auto" w:fill="FFFFFF" w:themeFill="background1"/>
            <w:vAlign w:val="center"/>
          </w:tcPr>
          <w:p w14:paraId="44E31188">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Risk factors of VTDR</w:t>
            </w:r>
          </w:p>
        </w:tc>
        <w:tc>
          <w:tcPr>
            <w:tcW w:w="3502" w:type="dxa"/>
            <w:tcBorders>
              <w:top w:val="single" w:color="auto" w:sz="4" w:space="0"/>
              <w:left w:val="nil"/>
              <w:bottom w:val="single" w:color="auto" w:sz="4" w:space="0"/>
              <w:right w:val="single" w:color="auto" w:sz="4" w:space="0"/>
            </w:tcBorders>
            <w:shd w:val="clear" w:color="auto" w:fill="FFFFFF" w:themeFill="background1"/>
            <w:vAlign w:val="center"/>
          </w:tcPr>
          <w:p w14:paraId="5624670C">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Diagnostic criteria of VTDR</w:t>
            </w:r>
          </w:p>
        </w:tc>
      </w:tr>
      <w:tr w14:paraId="2BFE1F48">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76FB4B16">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Huang (2014)</w:t>
            </w:r>
          </w:p>
        </w:tc>
        <w:tc>
          <w:tcPr>
            <w:tcW w:w="1932" w:type="dxa"/>
            <w:tcBorders>
              <w:top w:val="nil"/>
              <w:left w:val="nil"/>
              <w:bottom w:val="single" w:color="auto" w:sz="4" w:space="0"/>
              <w:right w:val="single" w:color="auto" w:sz="4" w:space="0"/>
            </w:tcBorders>
            <w:vAlign w:val="center"/>
          </w:tcPr>
          <w:p w14:paraId="217C799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Zhongnan Hospital, Wuhan University (China)</w:t>
            </w:r>
          </w:p>
        </w:tc>
        <w:tc>
          <w:tcPr>
            <w:tcW w:w="1134" w:type="dxa"/>
            <w:tcBorders>
              <w:top w:val="nil"/>
              <w:left w:val="nil"/>
              <w:bottom w:val="single" w:color="auto" w:sz="4" w:space="0"/>
              <w:right w:val="single" w:color="auto" w:sz="4" w:space="0"/>
            </w:tcBorders>
            <w:vAlign w:val="center"/>
          </w:tcPr>
          <w:p w14:paraId="3F514D3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324</w:t>
            </w:r>
          </w:p>
        </w:tc>
        <w:tc>
          <w:tcPr>
            <w:tcW w:w="1134" w:type="dxa"/>
            <w:tcBorders>
              <w:top w:val="nil"/>
              <w:left w:val="nil"/>
              <w:bottom w:val="single" w:color="auto" w:sz="4" w:space="0"/>
              <w:right w:val="single" w:color="auto" w:sz="4" w:space="0"/>
            </w:tcBorders>
            <w:vAlign w:val="center"/>
          </w:tcPr>
          <w:p w14:paraId="2D0C8CD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41</w:t>
            </w:r>
          </w:p>
        </w:tc>
        <w:tc>
          <w:tcPr>
            <w:tcW w:w="3953" w:type="dxa"/>
            <w:tcBorders>
              <w:top w:val="nil"/>
              <w:left w:val="nil"/>
              <w:bottom w:val="single" w:color="auto" w:sz="4" w:space="0"/>
              <w:right w:val="single" w:color="auto" w:sz="4" w:space="0"/>
            </w:tcBorders>
            <w:vAlign w:val="center"/>
          </w:tcPr>
          <w:p w14:paraId="558363E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MBL, Male sex, HbA1c, Diabetes duration, Hs-CRP, Intensive glucose treatment, Hypertension</w:t>
            </w:r>
          </w:p>
        </w:tc>
        <w:tc>
          <w:tcPr>
            <w:tcW w:w="3502" w:type="dxa"/>
            <w:tcBorders>
              <w:top w:val="nil"/>
              <w:left w:val="nil"/>
              <w:bottom w:val="single" w:color="auto" w:sz="4" w:space="0"/>
              <w:right w:val="single" w:color="auto" w:sz="4" w:space="0"/>
            </w:tcBorders>
            <w:vAlign w:val="center"/>
          </w:tcPr>
          <w:p w14:paraId="2C9D5CC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diabetic retinopathy (VTDR) was defined as the presence of PDR and/or DME.</w:t>
            </w:r>
          </w:p>
        </w:tc>
      </w:tr>
      <w:tr w14:paraId="5231F022">
        <w:tblPrEx>
          <w:tblCellMar>
            <w:top w:w="0" w:type="dxa"/>
            <w:left w:w="108" w:type="dxa"/>
            <w:bottom w:w="0" w:type="dxa"/>
            <w:right w:w="108" w:type="dxa"/>
          </w:tblCellMar>
        </w:tblPrEx>
        <w:trPr>
          <w:trHeight w:val="833" w:hRule="atLeast"/>
        </w:trPr>
        <w:tc>
          <w:tcPr>
            <w:tcW w:w="2122" w:type="dxa"/>
            <w:tcBorders>
              <w:top w:val="nil"/>
              <w:left w:val="single" w:color="auto" w:sz="4" w:space="0"/>
              <w:bottom w:val="single" w:color="auto" w:sz="4" w:space="0"/>
              <w:right w:val="single" w:color="auto" w:sz="4" w:space="0"/>
            </w:tcBorders>
            <w:vAlign w:val="center"/>
          </w:tcPr>
          <w:p w14:paraId="4F02DBD5">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Liu (2017)</w:t>
            </w:r>
          </w:p>
        </w:tc>
        <w:tc>
          <w:tcPr>
            <w:tcW w:w="1932" w:type="dxa"/>
            <w:tcBorders>
              <w:top w:val="nil"/>
              <w:left w:val="nil"/>
              <w:bottom w:val="single" w:color="auto" w:sz="4" w:space="0"/>
              <w:right w:val="single" w:color="auto" w:sz="4" w:space="0"/>
            </w:tcBorders>
            <w:vAlign w:val="center"/>
          </w:tcPr>
          <w:p w14:paraId="3BB8499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eight hospitals from six </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different provinces (China)</w:t>
            </w:r>
          </w:p>
        </w:tc>
        <w:tc>
          <w:tcPr>
            <w:tcW w:w="1134" w:type="dxa"/>
            <w:tcBorders>
              <w:top w:val="nil"/>
              <w:left w:val="nil"/>
              <w:bottom w:val="single" w:color="auto" w:sz="4" w:space="0"/>
              <w:right w:val="single" w:color="auto" w:sz="4" w:space="0"/>
            </w:tcBorders>
            <w:vAlign w:val="center"/>
          </w:tcPr>
          <w:p w14:paraId="27EB8C6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12621</w:t>
            </w:r>
          </w:p>
        </w:tc>
        <w:tc>
          <w:tcPr>
            <w:tcW w:w="1134" w:type="dxa"/>
            <w:tcBorders>
              <w:top w:val="nil"/>
              <w:left w:val="nil"/>
              <w:bottom w:val="single" w:color="auto" w:sz="4" w:space="0"/>
              <w:right w:val="single" w:color="auto" w:sz="4" w:space="0"/>
            </w:tcBorders>
            <w:vAlign w:val="center"/>
          </w:tcPr>
          <w:p w14:paraId="1275485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1746</w:t>
            </w:r>
          </w:p>
        </w:tc>
        <w:tc>
          <w:tcPr>
            <w:tcW w:w="3953" w:type="dxa"/>
            <w:tcBorders>
              <w:top w:val="nil"/>
              <w:left w:val="nil"/>
              <w:bottom w:val="single" w:color="auto" w:sz="4" w:space="0"/>
              <w:right w:val="single" w:color="auto" w:sz="4" w:space="0"/>
            </w:tcBorders>
            <w:vAlign w:val="center"/>
          </w:tcPr>
          <w:p w14:paraId="386623E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Sex, Age, Diabetes duration, SBP, DBP, FBG, HbA1c, PBG, BMI, WHR, Medicine, BUN, Cr, Cholesterol, Triglyceride, HDL, LDL</w:t>
            </w:r>
          </w:p>
        </w:tc>
        <w:tc>
          <w:tcPr>
            <w:tcW w:w="3502" w:type="dxa"/>
            <w:tcBorders>
              <w:top w:val="nil"/>
              <w:left w:val="nil"/>
              <w:bottom w:val="single" w:color="auto" w:sz="4" w:space="0"/>
              <w:right w:val="single" w:color="auto" w:sz="4" w:space="0"/>
            </w:tcBorders>
            <w:vAlign w:val="center"/>
          </w:tcPr>
          <w:p w14:paraId="417C220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Non-STDR was recognised as R0 and R1, while STDR was identified as present if any features of maculopathy (M1), preproliferative diabetic retinopathy (R2) or proliferative diabetic retinopathy (R3) were found.</w:t>
            </w:r>
          </w:p>
        </w:tc>
      </w:tr>
      <w:tr w14:paraId="765942CC">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60D62BC8">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Wang (2021)</w:t>
            </w:r>
          </w:p>
        </w:tc>
        <w:tc>
          <w:tcPr>
            <w:tcW w:w="1932" w:type="dxa"/>
            <w:tcBorders>
              <w:top w:val="nil"/>
              <w:left w:val="nil"/>
              <w:bottom w:val="single" w:color="auto" w:sz="4" w:space="0"/>
              <w:right w:val="single" w:color="auto" w:sz="4" w:space="0"/>
            </w:tcBorders>
            <w:vAlign w:val="center"/>
          </w:tcPr>
          <w:p w14:paraId="135A72E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local government diabetes</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registry system (China)</w:t>
            </w:r>
          </w:p>
        </w:tc>
        <w:tc>
          <w:tcPr>
            <w:tcW w:w="1134" w:type="dxa"/>
            <w:tcBorders>
              <w:top w:val="nil"/>
              <w:left w:val="nil"/>
              <w:bottom w:val="single" w:color="auto" w:sz="4" w:space="0"/>
              <w:right w:val="single" w:color="auto" w:sz="4" w:space="0"/>
            </w:tcBorders>
            <w:vAlign w:val="center"/>
          </w:tcPr>
          <w:p w14:paraId="0FF7845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1838</w:t>
            </w:r>
          </w:p>
        </w:tc>
        <w:tc>
          <w:tcPr>
            <w:tcW w:w="1134" w:type="dxa"/>
            <w:tcBorders>
              <w:top w:val="nil"/>
              <w:left w:val="nil"/>
              <w:bottom w:val="single" w:color="auto" w:sz="4" w:space="0"/>
              <w:right w:val="single" w:color="auto" w:sz="4" w:space="0"/>
            </w:tcBorders>
            <w:vAlign w:val="center"/>
          </w:tcPr>
          <w:p w14:paraId="259D488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c>
          <w:tcPr>
            <w:tcW w:w="3953" w:type="dxa"/>
            <w:tcBorders>
              <w:top w:val="nil"/>
              <w:left w:val="nil"/>
              <w:bottom w:val="single" w:color="auto" w:sz="4" w:space="0"/>
              <w:right w:val="single" w:color="auto" w:sz="4" w:space="0"/>
            </w:tcBorders>
            <w:vAlign w:val="center"/>
          </w:tcPr>
          <w:p w14:paraId="1DF39EF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AL, Corneal curvature, ACD, Lens thickness, Lens power, AL/CR ratio, Refractive status, Corneal diameter</w:t>
            </w:r>
          </w:p>
        </w:tc>
        <w:tc>
          <w:tcPr>
            <w:tcW w:w="3502" w:type="dxa"/>
            <w:tcBorders>
              <w:top w:val="nil"/>
              <w:left w:val="nil"/>
              <w:bottom w:val="single" w:color="auto" w:sz="4" w:space="0"/>
              <w:right w:val="single" w:color="auto" w:sz="4" w:space="0"/>
            </w:tcBorders>
            <w:vAlign w:val="center"/>
          </w:tcPr>
          <w:p w14:paraId="26250C6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 threatened DR (VTDR) was defined as presence of PDR and/ or DME (Yau et al 2012)</w:t>
            </w:r>
          </w:p>
        </w:tc>
      </w:tr>
      <w:tr w14:paraId="6445814B">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59649095">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Hu (2021)</w:t>
            </w:r>
          </w:p>
        </w:tc>
        <w:tc>
          <w:tcPr>
            <w:tcW w:w="1932" w:type="dxa"/>
            <w:tcBorders>
              <w:top w:val="nil"/>
              <w:left w:val="nil"/>
              <w:bottom w:val="single" w:color="auto" w:sz="4" w:space="0"/>
              <w:right w:val="single" w:color="auto" w:sz="4" w:space="0"/>
            </w:tcBorders>
            <w:vAlign w:val="center"/>
          </w:tcPr>
          <w:p w14:paraId="020B835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Shanghai General Hospital (China)</w:t>
            </w:r>
          </w:p>
        </w:tc>
        <w:tc>
          <w:tcPr>
            <w:tcW w:w="1134" w:type="dxa"/>
            <w:tcBorders>
              <w:top w:val="nil"/>
              <w:left w:val="nil"/>
              <w:bottom w:val="single" w:color="auto" w:sz="4" w:space="0"/>
              <w:right w:val="single" w:color="auto" w:sz="4" w:space="0"/>
            </w:tcBorders>
            <w:vAlign w:val="center"/>
          </w:tcPr>
          <w:p w14:paraId="0EBB5B7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3269</w:t>
            </w:r>
          </w:p>
        </w:tc>
        <w:tc>
          <w:tcPr>
            <w:tcW w:w="1134" w:type="dxa"/>
            <w:tcBorders>
              <w:top w:val="nil"/>
              <w:left w:val="nil"/>
              <w:bottom w:val="single" w:color="auto" w:sz="4" w:space="0"/>
              <w:right w:val="single" w:color="auto" w:sz="4" w:space="0"/>
            </w:tcBorders>
            <w:vAlign w:val="center"/>
          </w:tcPr>
          <w:p w14:paraId="44B054B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303</w:t>
            </w:r>
          </w:p>
        </w:tc>
        <w:tc>
          <w:tcPr>
            <w:tcW w:w="3953" w:type="dxa"/>
            <w:tcBorders>
              <w:top w:val="nil"/>
              <w:left w:val="nil"/>
              <w:bottom w:val="single" w:color="auto" w:sz="4" w:space="0"/>
              <w:right w:val="single" w:color="auto" w:sz="4" w:space="0"/>
            </w:tcBorders>
            <w:vAlign w:val="center"/>
          </w:tcPr>
          <w:p w14:paraId="3BAF170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Age, Diabetes duration, Albuminuria, Impaired renal function, Serum magnesium, Serum calcium</w:t>
            </w:r>
          </w:p>
        </w:tc>
        <w:tc>
          <w:tcPr>
            <w:tcW w:w="3502" w:type="dxa"/>
            <w:tcBorders>
              <w:top w:val="nil"/>
              <w:left w:val="nil"/>
              <w:bottom w:val="single" w:color="auto" w:sz="4" w:space="0"/>
              <w:right w:val="single" w:color="auto" w:sz="4" w:space="0"/>
            </w:tcBorders>
            <w:vAlign w:val="center"/>
          </w:tcPr>
          <w:p w14:paraId="4713F90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VTDR is defined as the presence of severe nonproliferative DR, proliferative DR, and/or clinically significant macular edema according to the Eye Diseases Prevalence Research Group definition</w:t>
            </w:r>
          </w:p>
        </w:tc>
      </w:tr>
      <w:tr w14:paraId="3ACFB589">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597E0ED5">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Hu (2021)</w:t>
            </w:r>
          </w:p>
        </w:tc>
        <w:tc>
          <w:tcPr>
            <w:tcW w:w="1932" w:type="dxa"/>
            <w:tcBorders>
              <w:top w:val="nil"/>
              <w:left w:val="nil"/>
              <w:bottom w:val="single" w:color="auto" w:sz="4" w:space="0"/>
              <w:right w:val="single" w:color="auto" w:sz="4" w:space="0"/>
            </w:tcBorders>
            <w:vAlign w:val="center"/>
          </w:tcPr>
          <w:p w14:paraId="540BF37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four communities (China)</w:t>
            </w:r>
          </w:p>
        </w:tc>
        <w:tc>
          <w:tcPr>
            <w:tcW w:w="1134" w:type="dxa"/>
            <w:tcBorders>
              <w:top w:val="nil"/>
              <w:left w:val="nil"/>
              <w:bottom w:val="single" w:color="auto" w:sz="4" w:space="0"/>
              <w:right w:val="single" w:color="auto" w:sz="4" w:space="0"/>
            </w:tcBorders>
            <w:vAlign w:val="center"/>
          </w:tcPr>
          <w:p w14:paraId="69891B1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3481</w:t>
            </w:r>
          </w:p>
        </w:tc>
        <w:tc>
          <w:tcPr>
            <w:tcW w:w="1134" w:type="dxa"/>
            <w:tcBorders>
              <w:top w:val="nil"/>
              <w:left w:val="nil"/>
              <w:bottom w:val="single" w:color="auto" w:sz="4" w:space="0"/>
              <w:right w:val="single" w:color="auto" w:sz="4" w:space="0"/>
            </w:tcBorders>
            <w:vAlign w:val="center"/>
          </w:tcPr>
          <w:p w14:paraId="4BE2086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305</w:t>
            </w:r>
          </w:p>
        </w:tc>
        <w:tc>
          <w:tcPr>
            <w:tcW w:w="3953" w:type="dxa"/>
            <w:tcBorders>
              <w:top w:val="nil"/>
              <w:left w:val="nil"/>
              <w:bottom w:val="single" w:color="auto" w:sz="4" w:space="0"/>
              <w:right w:val="single" w:color="auto" w:sz="4" w:space="0"/>
            </w:tcBorders>
            <w:vAlign w:val="center"/>
          </w:tcPr>
          <w:p w14:paraId="3969C56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Serum Uric Acid Levels</w:t>
            </w:r>
          </w:p>
        </w:tc>
        <w:tc>
          <w:tcPr>
            <w:tcW w:w="3502" w:type="dxa"/>
            <w:tcBorders>
              <w:top w:val="nil"/>
              <w:left w:val="nil"/>
              <w:bottom w:val="single" w:color="auto" w:sz="4" w:space="0"/>
              <w:right w:val="single" w:color="auto" w:sz="4" w:space="0"/>
            </w:tcBorders>
            <w:vAlign w:val="center"/>
          </w:tcPr>
          <w:p w14:paraId="29C662F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VTDR was defined as severe non-proliferative, proliferative diabetic retinopathy, or clinically significant macular edema evaluated by fundus photography and optical coherence tomography.</w:t>
            </w:r>
          </w:p>
        </w:tc>
      </w:tr>
      <w:tr w14:paraId="5CD0B9BB">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4D7422C2">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He (2014)</w:t>
            </w:r>
          </w:p>
        </w:tc>
        <w:tc>
          <w:tcPr>
            <w:tcW w:w="1932" w:type="dxa"/>
            <w:tcBorders>
              <w:top w:val="nil"/>
              <w:left w:val="nil"/>
              <w:bottom w:val="single" w:color="auto" w:sz="4" w:space="0"/>
              <w:right w:val="single" w:color="auto" w:sz="4" w:space="0"/>
            </w:tcBorders>
            <w:vAlign w:val="center"/>
          </w:tcPr>
          <w:p w14:paraId="7B664C1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Shanghai Clinical Medical Centre of Diabetes (China)</w:t>
            </w:r>
          </w:p>
        </w:tc>
        <w:tc>
          <w:tcPr>
            <w:tcW w:w="1134" w:type="dxa"/>
            <w:tcBorders>
              <w:top w:val="nil"/>
              <w:left w:val="nil"/>
              <w:bottom w:val="single" w:color="auto" w:sz="4" w:space="0"/>
              <w:right w:val="single" w:color="auto" w:sz="4" w:space="0"/>
            </w:tcBorders>
            <w:vAlign w:val="center"/>
          </w:tcPr>
          <w:p w14:paraId="1E81B92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1520</w:t>
            </w:r>
          </w:p>
        </w:tc>
        <w:tc>
          <w:tcPr>
            <w:tcW w:w="1134" w:type="dxa"/>
            <w:tcBorders>
              <w:top w:val="nil"/>
              <w:left w:val="nil"/>
              <w:bottom w:val="single" w:color="auto" w:sz="4" w:space="0"/>
              <w:right w:val="single" w:color="auto" w:sz="4" w:space="0"/>
            </w:tcBorders>
            <w:vAlign w:val="center"/>
          </w:tcPr>
          <w:p w14:paraId="71A8692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333</w:t>
            </w:r>
          </w:p>
        </w:tc>
        <w:tc>
          <w:tcPr>
            <w:tcW w:w="3953" w:type="dxa"/>
            <w:tcBorders>
              <w:top w:val="nil"/>
              <w:left w:val="nil"/>
              <w:bottom w:val="single" w:color="auto" w:sz="4" w:space="0"/>
              <w:right w:val="single" w:color="auto" w:sz="4" w:space="0"/>
            </w:tcBorders>
            <w:vAlign w:val="center"/>
          </w:tcPr>
          <w:p w14:paraId="64D5E2A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VDD, Ca, Cystain C, Duration, SBP</w:t>
            </w:r>
          </w:p>
        </w:tc>
        <w:tc>
          <w:tcPr>
            <w:tcW w:w="3502" w:type="dxa"/>
            <w:tcBorders>
              <w:top w:val="nil"/>
              <w:left w:val="nil"/>
              <w:bottom w:val="single" w:color="auto" w:sz="4" w:space="0"/>
              <w:right w:val="single" w:color="auto" w:sz="4" w:space="0"/>
            </w:tcBorders>
            <w:vAlign w:val="center"/>
          </w:tcPr>
          <w:p w14:paraId="7C657F4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sight-threatening diabetic</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retinopathy, including severe non-proliferative diabetic retinopathy, proliferative diabetic retinopathy and clinically</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significant macular oedema</w:t>
            </w:r>
          </w:p>
        </w:tc>
      </w:tr>
      <w:tr w14:paraId="4B4C223E">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4E722D59">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Fenwick (2015)</w:t>
            </w:r>
          </w:p>
        </w:tc>
        <w:tc>
          <w:tcPr>
            <w:tcW w:w="1932" w:type="dxa"/>
            <w:tcBorders>
              <w:top w:val="nil"/>
              <w:left w:val="nil"/>
              <w:bottom w:val="single" w:color="auto" w:sz="4" w:space="0"/>
              <w:right w:val="single" w:color="auto" w:sz="4" w:space="0"/>
            </w:tcBorders>
            <w:vAlign w:val="center"/>
          </w:tcPr>
          <w:p w14:paraId="0D42973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Diabetes Management Project (Australia)</w:t>
            </w:r>
          </w:p>
        </w:tc>
        <w:tc>
          <w:tcPr>
            <w:tcW w:w="1134" w:type="dxa"/>
            <w:tcBorders>
              <w:top w:val="nil"/>
              <w:left w:val="nil"/>
              <w:bottom w:val="single" w:color="auto" w:sz="4" w:space="0"/>
              <w:right w:val="single" w:color="auto" w:sz="4" w:space="0"/>
            </w:tcBorders>
            <w:vAlign w:val="center"/>
          </w:tcPr>
          <w:p w14:paraId="4EAEB67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395</w:t>
            </w:r>
          </w:p>
        </w:tc>
        <w:tc>
          <w:tcPr>
            <w:tcW w:w="1134" w:type="dxa"/>
            <w:tcBorders>
              <w:top w:val="nil"/>
              <w:left w:val="nil"/>
              <w:bottom w:val="single" w:color="auto" w:sz="4" w:space="0"/>
              <w:right w:val="single" w:color="auto" w:sz="4" w:space="0"/>
            </w:tcBorders>
            <w:vAlign w:val="center"/>
          </w:tcPr>
          <w:p w14:paraId="1F9B15F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105</w:t>
            </w:r>
          </w:p>
        </w:tc>
        <w:tc>
          <w:tcPr>
            <w:tcW w:w="3953" w:type="dxa"/>
            <w:tcBorders>
              <w:top w:val="nil"/>
              <w:left w:val="nil"/>
              <w:bottom w:val="single" w:color="auto" w:sz="4" w:space="0"/>
              <w:right w:val="single" w:color="auto" w:sz="4" w:space="0"/>
            </w:tcBorders>
            <w:vAlign w:val="center"/>
          </w:tcPr>
          <w:p w14:paraId="1BA6DF6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Alcohol consumption, Beer (low strength), Beer (high strength), Red wine, White wine or champagne, Sherry or Port, Spirits</w:t>
            </w:r>
          </w:p>
        </w:tc>
        <w:tc>
          <w:tcPr>
            <w:tcW w:w="3502" w:type="dxa"/>
            <w:tcBorders>
              <w:top w:val="nil"/>
              <w:left w:val="nil"/>
              <w:bottom w:val="single" w:color="auto" w:sz="4" w:space="0"/>
              <w:right w:val="single" w:color="auto" w:sz="4" w:space="0"/>
            </w:tcBorders>
            <w:vAlign w:val="center"/>
          </w:tcPr>
          <w:p w14:paraId="6BD4519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VTDR</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(severe NPDR, PDR and/or severe macular edema)</w:t>
            </w:r>
          </w:p>
        </w:tc>
      </w:tr>
      <w:tr w14:paraId="6109984B">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42CA8A80">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Yao (2020)</w:t>
            </w:r>
          </w:p>
        </w:tc>
        <w:tc>
          <w:tcPr>
            <w:tcW w:w="1932" w:type="dxa"/>
            <w:tcBorders>
              <w:top w:val="nil"/>
              <w:left w:val="nil"/>
              <w:bottom w:val="single" w:color="auto" w:sz="4" w:space="0"/>
              <w:right w:val="single" w:color="auto" w:sz="4" w:space="0"/>
            </w:tcBorders>
            <w:vAlign w:val="center"/>
          </w:tcPr>
          <w:p w14:paraId="6F30328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First Affiliated Hospital of China Medical University (China)</w:t>
            </w:r>
          </w:p>
        </w:tc>
        <w:tc>
          <w:tcPr>
            <w:tcW w:w="1134" w:type="dxa"/>
            <w:tcBorders>
              <w:top w:val="nil"/>
              <w:left w:val="nil"/>
              <w:bottom w:val="single" w:color="auto" w:sz="4" w:space="0"/>
              <w:right w:val="single" w:color="auto" w:sz="4" w:space="0"/>
            </w:tcBorders>
            <w:vAlign w:val="center"/>
          </w:tcPr>
          <w:p w14:paraId="270E6F2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2696</w:t>
            </w:r>
          </w:p>
        </w:tc>
        <w:tc>
          <w:tcPr>
            <w:tcW w:w="1134" w:type="dxa"/>
            <w:tcBorders>
              <w:top w:val="nil"/>
              <w:left w:val="nil"/>
              <w:bottom w:val="single" w:color="auto" w:sz="4" w:space="0"/>
              <w:right w:val="single" w:color="auto" w:sz="4" w:space="0"/>
            </w:tcBorders>
            <w:vAlign w:val="center"/>
          </w:tcPr>
          <w:p w14:paraId="6FCC1C5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266</w:t>
            </w:r>
          </w:p>
        </w:tc>
        <w:tc>
          <w:tcPr>
            <w:tcW w:w="3953" w:type="dxa"/>
            <w:tcBorders>
              <w:top w:val="nil"/>
              <w:left w:val="nil"/>
              <w:bottom w:val="single" w:color="auto" w:sz="4" w:space="0"/>
              <w:right w:val="single" w:color="auto" w:sz="4" w:space="0"/>
            </w:tcBorders>
            <w:vAlign w:val="center"/>
          </w:tcPr>
          <w:p w14:paraId="04680D4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Serum CA125 Level </w:t>
            </w:r>
          </w:p>
        </w:tc>
        <w:tc>
          <w:tcPr>
            <w:tcW w:w="3502" w:type="dxa"/>
            <w:tcBorders>
              <w:top w:val="nil"/>
              <w:left w:val="nil"/>
              <w:bottom w:val="single" w:color="auto" w:sz="4" w:space="0"/>
              <w:right w:val="single" w:color="auto" w:sz="4" w:space="0"/>
            </w:tcBorders>
            <w:vAlign w:val="center"/>
          </w:tcPr>
          <w:p w14:paraId="26D1FDF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DR (VTDR) was diagnosed if subjects had severe non-proliferative DR (NPDR), proliferative DR (PDR), or clinically significant macular edema (CSME).</w:t>
            </w:r>
          </w:p>
        </w:tc>
      </w:tr>
      <w:tr w14:paraId="60533126">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482456BA">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Mersha (2020)</w:t>
            </w:r>
          </w:p>
        </w:tc>
        <w:tc>
          <w:tcPr>
            <w:tcW w:w="1932" w:type="dxa"/>
            <w:tcBorders>
              <w:top w:val="nil"/>
              <w:left w:val="nil"/>
              <w:bottom w:val="single" w:color="auto" w:sz="4" w:space="0"/>
              <w:right w:val="single" w:color="auto" w:sz="4" w:space="0"/>
            </w:tcBorders>
            <w:vAlign w:val="center"/>
          </w:tcPr>
          <w:p w14:paraId="3520037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Debre Tabor General Hospital (Ethiopia)</w:t>
            </w:r>
          </w:p>
        </w:tc>
        <w:tc>
          <w:tcPr>
            <w:tcW w:w="1134" w:type="dxa"/>
            <w:tcBorders>
              <w:top w:val="nil"/>
              <w:left w:val="nil"/>
              <w:bottom w:val="single" w:color="auto" w:sz="4" w:space="0"/>
              <w:right w:val="single" w:color="auto" w:sz="4" w:space="0"/>
            </w:tcBorders>
            <w:vAlign w:val="center"/>
          </w:tcPr>
          <w:p w14:paraId="283213F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143</w:t>
            </w:r>
          </w:p>
        </w:tc>
        <w:tc>
          <w:tcPr>
            <w:tcW w:w="1134" w:type="dxa"/>
            <w:tcBorders>
              <w:top w:val="nil"/>
              <w:left w:val="nil"/>
              <w:bottom w:val="single" w:color="auto" w:sz="4" w:space="0"/>
              <w:right w:val="single" w:color="auto" w:sz="4" w:space="0"/>
            </w:tcBorders>
            <w:vAlign w:val="center"/>
          </w:tcPr>
          <w:p w14:paraId="2435EBB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17</w:t>
            </w:r>
          </w:p>
        </w:tc>
        <w:tc>
          <w:tcPr>
            <w:tcW w:w="3953" w:type="dxa"/>
            <w:tcBorders>
              <w:top w:val="nil"/>
              <w:left w:val="nil"/>
              <w:bottom w:val="single" w:color="auto" w:sz="4" w:space="0"/>
              <w:right w:val="single" w:color="auto" w:sz="4" w:space="0"/>
            </w:tcBorders>
            <w:vAlign w:val="center"/>
          </w:tcPr>
          <w:p w14:paraId="43A0894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Family monthly income, Duration of DM, Glycemic, BMI</w:t>
            </w:r>
          </w:p>
        </w:tc>
        <w:tc>
          <w:tcPr>
            <w:tcW w:w="3502" w:type="dxa"/>
            <w:tcBorders>
              <w:top w:val="nil"/>
              <w:left w:val="nil"/>
              <w:bottom w:val="single" w:color="auto" w:sz="4" w:space="0"/>
              <w:right w:val="single" w:color="auto" w:sz="4" w:space="0"/>
            </w:tcBorders>
            <w:vAlign w:val="center"/>
          </w:tcPr>
          <w:p w14:paraId="00BFFCD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sight-threatening diabetic retinopathy (STDR) which includes severe non-proliferative abnormalities, proliferative abnormalities and diabetic maculopathy.</w:t>
            </w:r>
          </w:p>
        </w:tc>
      </w:tr>
      <w:tr w14:paraId="5F00AF55">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72915A5E">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Yang (2015)</w:t>
            </w:r>
          </w:p>
        </w:tc>
        <w:tc>
          <w:tcPr>
            <w:tcW w:w="1932" w:type="dxa"/>
            <w:tcBorders>
              <w:top w:val="nil"/>
              <w:left w:val="nil"/>
              <w:bottom w:val="single" w:color="auto" w:sz="4" w:space="0"/>
              <w:right w:val="single" w:color="auto" w:sz="4" w:space="0"/>
            </w:tcBorders>
            <w:vAlign w:val="center"/>
          </w:tcPr>
          <w:p w14:paraId="4D44AC1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Desheng community of urban Beijing (China)</w:t>
            </w:r>
          </w:p>
        </w:tc>
        <w:tc>
          <w:tcPr>
            <w:tcW w:w="1134" w:type="dxa"/>
            <w:tcBorders>
              <w:top w:val="nil"/>
              <w:left w:val="nil"/>
              <w:bottom w:val="single" w:color="auto" w:sz="4" w:space="0"/>
              <w:right w:val="single" w:color="auto" w:sz="4" w:space="0"/>
            </w:tcBorders>
            <w:vAlign w:val="center"/>
          </w:tcPr>
          <w:p w14:paraId="5E8B474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1007</w:t>
            </w:r>
          </w:p>
        </w:tc>
        <w:tc>
          <w:tcPr>
            <w:tcW w:w="1134" w:type="dxa"/>
            <w:tcBorders>
              <w:top w:val="nil"/>
              <w:left w:val="nil"/>
              <w:bottom w:val="single" w:color="auto" w:sz="4" w:space="0"/>
              <w:right w:val="single" w:color="auto" w:sz="4" w:space="0"/>
            </w:tcBorders>
            <w:vAlign w:val="center"/>
          </w:tcPr>
          <w:p w14:paraId="203A1C8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61</w:t>
            </w:r>
          </w:p>
        </w:tc>
        <w:tc>
          <w:tcPr>
            <w:tcW w:w="3953" w:type="dxa"/>
            <w:tcBorders>
              <w:top w:val="nil"/>
              <w:left w:val="nil"/>
              <w:bottom w:val="single" w:color="auto" w:sz="4" w:space="0"/>
              <w:right w:val="single" w:color="auto" w:sz="4" w:space="0"/>
            </w:tcBorders>
            <w:vAlign w:val="center"/>
          </w:tcPr>
          <w:p w14:paraId="70642CB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C-reactive protein</w:t>
            </w:r>
          </w:p>
        </w:tc>
        <w:tc>
          <w:tcPr>
            <w:tcW w:w="3502" w:type="dxa"/>
            <w:tcBorders>
              <w:top w:val="nil"/>
              <w:left w:val="nil"/>
              <w:bottom w:val="single" w:color="auto" w:sz="4" w:space="0"/>
              <w:right w:val="single" w:color="auto" w:sz="4" w:space="0"/>
            </w:tcBorders>
            <w:vAlign w:val="center"/>
          </w:tcPr>
          <w:p w14:paraId="4E138C7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DR (VTR) was defined as the presence of severe NPDR, proliferative retinopathy, or CSME.</w:t>
            </w:r>
          </w:p>
        </w:tc>
      </w:tr>
      <w:tr w14:paraId="248912AB">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3853449E">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Hwang (2019)</w:t>
            </w:r>
          </w:p>
        </w:tc>
        <w:tc>
          <w:tcPr>
            <w:tcW w:w="1932" w:type="dxa"/>
            <w:tcBorders>
              <w:top w:val="nil"/>
              <w:left w:val="nil"/>
              <w:bottom w:val="single" w:color="auto" w:sz="4" w:space="0"/>
              <w:right w:val="single" w:color="auto" w:sz="4" w:space="0"/>
            </w:tcBorders>
            <w:vAlign w:val="center"/>
          </w:tcPr>
          <w:p w14:paraId="6D7C3B1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Korean National Health and Nutrition Examination Survey (Korea)</w:t>
            </w:r>
          </w:p>
        </w:tc>
        <w:tc>
          <w:tcPr>
            <w:tcW w:w="1134" w:type="dxa"/>
            <w:tcBorders>
              <w:top w:val="nil"/>
              <w:left w:val="nil"/>
              <w:bottom w:val="single" w:color="auto" w:sz="4" w:space="0"/>
              <w:right w:val="single" w:color="auto" w:sz="4" w:space="0"/>
            </w:tcBorders>
            <w:vAlign w:val="center"/>
          </w:tcPr>
          <w:p w14:paraId="51F3A51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887</w:t>
            </w:r>
          </w:p>
        </w:tc>
        <w:tc>
          <w:tcPr>
            <w:tcW w:w="1134" w:type="dxa"/>
            <w:tcBorders>
              <w:top w:val="nil"/>
              <w:left w:val="nil"/>
              <w:bottom w:val="single" w:color="auto" w:sz="4" w:space="0"/>
              <w:right w:val="single" w:color="auto" w:sz="4" w:space="0"/>
            </w:tcBorders>
            <w:vAlign w:val="center"/>
          </w:tcPr>
          <w:p w14:paraId="0B1144F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55</w:t>
            </w:r>
          </w:p>
        </w:tc>
        <w:tc>
          <w:tcPr>
            <w:tcW w:w="3953" w:type="dxa"/>
            <w:tcBorders>
              <w:top w:val="nil"/>
              <w:left w:val="nil"/>
              <w:bottom w:val="single" w:color="auto" w:sz="4" w:space="0"/>
              <w:right w:val="single" w:color="auto" w:sz="4" w:space="0"/>
            </w:tcBorders>
            <w:vAlign w:val="center"/>
          </w:tcPr>
          <w:p w14:paraId="30906B6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BMI, Waist circumference, Total body fat</w:t>
            </w:r>
          </w:p>
        </w:tc>
        <w:tc>
          <w:tcPr>
            <w:tcW w:w="3502" w:type="dxa"/>
            <w:tcBorders>
              <w:top w:val="nil"/>
              <w:left w:val="nil"/>
              <w:bottom w:val="single" w:color="auto" w:sz="4" w:space="0"/>
              <w:right w:val="single" w:color="auto" w:sz="4" w:space="0"/>
            </w:tcBorders>
            <w:vAlign w:val="center"/>
          </w:tcPr>
          <w:p w14:paraId="2F7487C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DR (intraretinal microvascular abnormalities, venous beading, new retinal vessels, vitreous or preretinal hemorrhage, fibrous proliferations, tractional retinal detachment, and CSMO)</w:t>
            </w:r>
          </w:p>
        </w:tc>
      </w:tr>
      <w:tr w14:paraId="47A45330">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399DE0E5">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Tu (2017)</w:t>
            </w:r>
          </w:p>
        </w:tc>
        <w:tc>
          <w:tcPr>
            <w:tcW w:w="1932" w:type="dxa"/>
            <w:tcBorders>
              <w:top w:val="nil"/>
              <w:left w:val="nil"/>
              <w:bottom w:val="single" w:color="auto" w:sz="4" w:space="0"/>
              <w:right w:val="single" w:color="auto" w:sz="4" w:space="0"/>
            </w:tcBorders>
            <w:vAlign w:val="center"/>
          </w:tcPr>
          <w:p w14:paraId="78C9828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Fourth Affiliated Hospital of Harbin Medical University (China)</w:t>
            </w:r>
          </w:p>
        </w:tc>
        <w:tc>
          <w:tcPr>
            <w:tcW w:w="1134" w:type="dxa"/>
            <w:tcBorders>
              <w:top w:val="nil"/>
              <w:left w:val="nil"/>
              <w:bottom w:val="single" w:color="auto" w:sz="4" w:space="0"/>
              <w:right w:val="single" w:color="auto" w:sz="4" w:space="0"/>
            </w:tcBorders>
            <w:vAlign w:val="center"/>
          </w:tcPr>
          <w:p w14:paraId="65A2B23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377</w:t>
            </w:r>
          </w:p>
        </w:tc>
        <w:tc>
          <w:tcPr>
            <w:tcW w:w="1134" w:type="dxa"/>
            <w:tcBorders>
              <w:top w:val="nil"/>
              <w:left w:val="nil"/>
              <w:bottom w:val="single" w:color="auto" w:sz="4" w:space="0"/>
              <w:right w:val="single" w:color="auto" w:sz="4" w:space="0"/>
            </w:tcBorders>
            <w:vAlign w:val="center"/>
          </w:tcPr>
          <w:p w14:paraId="2D9AE09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w:t>
            </w:r>
          </w:p>
        </w:tc>
        <w:tc>
          <w:tcPr>
            <w:tcW w:w="3953" w:type="dxa"/>
            <w:tcBorders>
              <w:top w:val="nil"/>
              <w:left w:val="nil"/>
              <w:bottom w:val="single" w:color="auto" w:sz="4" w:space="0"/>
              <w:right w:val="single" w:color="auto" w:sz="4" w:space="0"/>
            </w:tcBorders>
            <w:vAlign w:val="center"/>
          </w:tcPr>
          <w:p w14:paraId="29A6ABB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Lp(a) quartiles, Age, Diabetes duration, HbA1c, BMI, Hs-CRP</w:t>
            </w:r>
          </w:p>
        </w:tc>
        <w:tc>
          <w:tcPr>
            <w:tcW w:w="3502" w:type="dxa"/>
            <w:tcBorders>
              <w:top w:val="nil"/>
              <w:left w:val="nil"/>
              <w:bottom w:val="single" w:color="auto" w:sz="4" w:space="0"/>
              <w:right w:val="single" w:color="auto" w:sz="4" w:space="0"/>
            </w:tcBorders>
            <w:vAlign w:val="center"/>
          </w:tcPr>
          <w:p w14:paraId="7A16616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DR (VTDR) was defined as the presence of PDR and/or DME.</w:t>
            </w:r>
          </w:p>
        </w:tc>
      </w:tr>
      <w:tr w14:paraId="466A7FD1">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06182219">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Yao (2021)</w:t>
            </w:r>
          </w:p>
        </w:tc>
        <w:tc>
          <w:tcPr>
            <w:tcW w:w="1932" w:type="dxa"/>
            <w:tcBorders>
              <w:top w:val="nil"/>
              <w:left w:val="nil"/>
              <w:bottom w:val="single" w:color="auto" w:sz="4" w:space="0"/>
              <w:right w:val="single" w:color="auto" w:sz="4" w:space="0"/>
            </w:tcBorders>
            <w:vAlign w:val="center"/>
          </w:tcPr>
          <w:p w14:paraId="66E0BB6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First Affiliated Hospital of China Medical University (China)</w:t>
            </w:r>
          </w:p>
        </w:tc>
        <w:tc>
          <w:tcPr>
            <w:tcW w:w="1134" w:type="dxa"/>
            <w:tcBorders>
              <w:top w:val="nil"/>
              <w:left w:val="nil"/>
              <w:bottom w:val="single" w:color="auto" w:sz="4" w:space="0"/>
              <w:right w:val="single" w:color="auto" w:sz="4" w:space="0"/>
            </w:tcBorders>
            <w:vAlign w:val="center"/>
          </w:tcPr>
          <w:p w14:paraId="5682193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c>
          <w:tcPr>
            <w:tcW w:w="1134" w:type="dxa"/>
            <w:tcBorders>
              <w:top w:val="nil"/>
              <w:left w:val="nil"/>
              <w:bottom w:val="single" w:color="auto" w:sz="4" w:space="0"/>
              <w:right w:val="single" w:color="auto" w:sz="4" w:space="0"/>
            </w:tcBorders>
            <w:vAlign w:val="center"/>
          </w:tcPr>
          <w:p w14:paraId="580F033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c>
          <w:tcPr>
            <w:tcW w:w="3953" w:type="dxa"/>
            <w:tcBorders>
              <w:top w:val="nil"/>
              <w:left w:val="nil"/>
              <w:bottom w:val="single" w:color="auto" w:sz="4" w:space="0"/>
              <w:right w:val="single" w:color="auto" w:sz="4" w:space="0"/>
            </w:tcBorders>
            <w:vAlign w:val="center"/>
          </w:tcPr>
          <w:p w14:paraId="52FA33F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Triglyceride–Glucose Index (TyG)</w:t>
            </w:r>
          </w:p>
        </w:tc>
        <w:tc>
          <w:tcPr>
            <w:tcW w:w="3502" w:type="dxa"/>
            <w:tcBorders>
              <w:top w:val="nil"/>
              <w:left w:val="nil"/>
              <w:bottom w:val="single" w:color="auto" w:sz="4" w:space="0"/>
              <w:right w:val="single" w:color="auto" w:sz="4" w:space="0"/>
            </w:tcBorders>
            <w:vAlign w:val="center"/>
          </w:tcPr>
          <w:p w14:paraId="63A830F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Vision-threatening DR (VTDR) was defined as the presence of </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severe NPDR, PDR, or clinically significant macular edema.</w:t>
            </w:r>
          </w:p>
        </w:tc>
      </w:tr>
      <w:tr w14:paraId="25B664D8">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7EB64ED6">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An (2021)</w:t>
            </w:r>
          </w:p>
        </w:tc>
        <w:tc>
          <w:tcPr>
            <w:tcW w:w="1932" w:type="dxa"/>
            <w:tcBorders>
              <w:top w:val="nil"/>
              <w:left w:val="nil"/>
              <w:bottom w:val="single" w:color="auto" w:sz="4" w:space="0"/>
              <w:right w:val="single" w:color="auto" w:sz="4" w:space="0"/>
            </w:tcBorders>
            <w:vAlign w:val="center"/>
          </w:tcPr>
          <w:p w14:paraId="32FB66B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National Metabolic Management Center (China)</w:t>
            </w:r>
          </w:p>
        </w:tc>
        <w:tc>
          <w:tcPr>
            <w:tcW w:w="1134" w:type="dxa"/>
            <w:tcBorders>
              <w:top w:val="nil"/>
              <w:left w:val="nil"/>
              <w:bottom w:val="single" w:color="auto" w:sz="4" w:space="0"/>
              <w:right w:val="single" w:color="auto" w:sz="4" w:space="0"/>
            </w:tcBorders>
            <w:vAlign w:val="center"/>
          </w:tcPr>
          <w:p w14:paraId="71A182B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2473</w:t>
            </w:r>
          </w:p>
        </w:tc>
        <w:tc>
          <w:tcPr>
            <w:tcW w:w="1134" w:type="dxa"/>
            <w:tcBorders>
              <w:top w:val="nil"/>
              <w:left w:val="nil"/>
              <w:bottom w:val="single" w:color="auto" w:sz="4" w:space="0"/>
              <w:right w:val="single" w:color="auto" w:sz="4" w:space="0"/>
            </w:tcBorders>
            <w:vAlign w:val="center"/>
          </w:tcPr>
          <w:p w14:paraId="5C21158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104</w:t>
            </w:r>
          </w:p>
        </w:tc>
        <w:tc>
          <w:tcPr>
            <w:tcW w:w="3953" w:type="dxa"/>
            <w:tcBorders>
              <w:top w:val="nil"/>
              <w:left w:val="nil"/>
              <w:bottom w:val="single" w:color="auto" w:sz="4" w:space="0"/>
              <w:right w:val="single" w:color="auto" w:sz="4" w:space="0"/>
            </w:tcBorders>
            <w:vAlign w:val="center"/>
          </w:tcPr>
          <w:p w14:paraId="7C42BA1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Brachial–ankle pulse wave velocity (baPWV)</w:t>
            </w:r>
          </w:p>
        </w:tc>
        <w:tc>
          <w:tcPr>
            <w:tcW w:w="3502" w:type="dxa"/>
            <w:tcBorders>
              <w:top w:val="nil"/>
              <w:left w:val="nil"/>
              <w:bottom w:val="single" w:color="auto" w:sz="4" w:space="0"/>
              <w:right w:val="single" w:color="auto" w:sz="4" w:space="0"/>
            </w:tcBorders>
            <w:vAlign w:val="center"/>
          </w:tcPr>
          <w:p w14:paraId="26EB234F">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sight-threatening DR (STDR), comprising severe NPDR (a precursor of PDR) and PDR</w:t>
            </w:r>
          </w:p>
        </w:tc>
      </w:tr>
      <w:tr w14:paraId="7AEC5A88">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61476F75">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Stram (2017)</w:t>
            </w:r>
          </w:p>
        </w:tc>
        <w:tc>
          <w:tcPr>
            <w:tcW w:w="1932" w:type="dxa"/>
            <w:tcBorders>
              <w:top w:val="nil"/>
              <w:left w:val="nil"/>
              <w:bottom w:val="single" w:color="auto" w:sz="4" w:space="0"/>
              <w:right w:val="single" w:color="auto" w:sz="4" w:space="0"/>
            </w:tcBorders>
            <w:vAlign w:val="center"/>
          </w:tcPr>
          <w:p w14:paraId="0C8BD62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CHES (United States)</w:t>
            </w:r>
          </w:p>
        </w:tc>
        <w:tc>
          <w:tcPr>
            <w:tcW w:w="1134" w:type="dxa"/>
            <w:tcBorders>
              <w:top w:val="nil"/>
              <w:left w:val="nil"/>
              <w:bottom w:val="single" w:color="auto" w:sz="4" w:space="0"/>
              <w:right w:val="single" w:color="auto" w:sz="4" w:space="0"/>
            </w:tcBorders>
            <w:vAlign w:val="center"/>
          </w:tcPr>
          <w:p w14:paraId="6BA3C9F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665</w:t>
            </w:r>
          </w:p>
        </w:tc>
        <w:tc>
          <w:tcPr>
            <w:tcW w:w="1134" w:type="dxa"/>
            <w:tcBorders>
              <w:top w:val="nil"/>
              <w:left w:val="nil"/>
              <w:bottom w:val="single" w:color="auto" w:sz="4" w:space="0"/>
              <w:right w:val="single" w:color="auto" w:sz="4" w:space="0"/>
            </w:tcBorders>
            <w:vAlign w:val="center"/>
          </w:tcPr>
          <w:p w14:paraId="0589131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27</w:t>
            </w:r>
          </w:p>
        </w:tc>
        <w:tc>
          <w:tcPr>
            <w:tcW w:w="3953" w:type="dxa"/>
            <w:tcBorders>
              <w:top w:val="nil"/>
              <w:left w:val="nil"/>
              <w:bottom w:val="single" w:color="auto" w:sz="4" w:space="0"/>
              <w:right w:val="single" w:color="auto" w:sz="4" w:space="0"/>
            </w:tcBorders>
            <w:vAlign w:val="center"/>
          </w:tcPr>
          <w:p w14:paraId="76ADBF3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SBP, Age, Treat for diabetes with insulin, Known duration of diabetes, HbA1c, Antihypertensive drugs, Stains</w:t>
            </w:r>
          </w:p>
        </w:tc>
        <w:tc>
          <w:tcPr>
            <w:tcW w:w="3502" w:type="dxa"/>
            <w:tcBorders>
              <w:top w:val="nil"/>
              <w:left w:val="nil"/>
              <w:bottom w:val="single" w:color="auto" w:sz="4" w:space="0"/>
              <w:right w:val="single" w:color="auto" w:sz="4" w:space="0"/>
            </w:tcBorders>
            <w:vAlign w:val="center"/>
          </w:tcPr>
          <w:p w14:paraId="028D1F0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Proliferative DR and severe non-proliferative DR were classified as vision-threatening (VTDR) </w:t>
            </w:r>
          </w:p>
        </w:tc>
      </w:tr>
      <w:tr w14:paraId="26486D30">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585A1170">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Lee (2022)</w:t>
            </w:r>
          </w:p>
        </w:tc>
        <w:tc>
          <w:tcPr>
            <w:tcW w:w="1932" w:type="dxa"/>
            <w:tcBorders>
              <w:top w:val="nil"/>
              <w:left w:val="nil"/>
              <w:bottom w:val="single" w:color="auto" w:sz="4" w:space="0"/>
              <w:right w:val="single" w:color="auto" w:sz="4" w:space="0"/>
            </w:tcBorders>
            <w:vAlign w:val="center"/>
          </w:tcPr>
          <w:p w14:paraId="125BD42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Korean National Health and Nutrition Survey (Korea)</w:t>
            </w:r>
          </w:p>
        </w:tc>
        <w:tc>
          <w:tcPr>
            <w:tcW w:w="1134" w:type="dxa"/>
            <w:tcBorders>
              <w:top w:val="nil"/>
              <w:left w:val="nil"/>
              <w:bottom w:val="single" w:color="auto" w:sz="4" w:space="0"/>
              <w:right w:val="single" w:color="auto" w:sz="4" w:space="0"/>
            </w:tcBorders>
            <w:vAlign w:val="center"/>
          </w:tcPr>
          <w:p w14:paraId="67E777B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1350</w:t>
            </w:r>
          </w:p>
        </w:tc>
        <w:tc>
          <w:tcPr>
            <w:tcW w:w="1134" w:type="dxa"/>
            <w:tcBorders>
              <w:top w:val="nil"/>
              <w:left w:val="nil"/>
              <w:bottom w:val="single" w:color="auto" w:sz="4" w:space="0"/>
              <w:right w:val="single" w:color="auto" w:sz="4" w:space="0"/>
            </w:tcBorders>
            <w:vAlign w:val="center"/>
          </w:tcPr>
          <w:p w14:paraId="35E7CE1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72</w:t>
            </w:r>
          </w:p>
        </w:tc>
        <w:tc>
          <w:tcPr>
            <w:tcW w:w="3953" w:type="dxa"/>
            <w:tcBorders>
              <w:top w:val="nil"/>
              <w:left w:val="nil"/>
              <w:bottom w:val="single" w:color="auto" w:sz="4" w:space="0"/>
              <w:right w:val="single" w:color="auto" w:sz="4" w:space="0"/>
            </w:tcBorders>
            <w:vAlign w:val="center"/>
          </w:tcPr>
          <w:p w14:paraId="18DA2DD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Coffee consumption</w:t>
            </w:r>
          </w:p>
        </w:tc>
        <w:tc>
          <w:tcPr>
            <w:tcW w:w="3502" w:type="dxa"/>
            <w:tcBorders>
              <w:top w:val="nil"/>
              <w:left w:val="nil"/>
              <w:bottom w:val="single" w:color="auto" w:sz="4" w:space="0"/>
              <w:right w:val="single" w:color="auto" w:sz="4" w:space="0"/>
            </w:tcBorders>
            <w:vAlign w:val="center"/>
          </w:tcPr>
          <w:p w14:paraId="051C35C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Vision-threatening DR (VTDR) was determined by the presence of severe NPDR, PDR, or </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clinically-significant ME</w:t>
            </w:r>
          </w:p>
        </w:tc>
      </w:tr>
      <w:tr w14:paraId="4AAC64A6">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43918601">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Kim (2015)</w:t>
            </w:r>
          </w:p>
        </w:tc>
        <w:tc>
          <w:tcPr>
            <w:tcW w:w="1932" w:type="dxa"/>
            <w:tcBorders>
              <w:top w:val="nil"/>
              <w:left w:val="nil"/>
              <w:bottom w:val="single" w:color="auto" w:sz="4" w:space="0"/>
              <w:right w:val="single" w:color="auto" w:sz="4" w:space="0"/>
            </w:tcBorders>
            <w:vAlign w:val="center"/>
          </w:tcPr>
          <w:p w14:paraId="40CEBDB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Korean National Health and Nutrition Survey (Korea)</w:t>
            </w:r>
          </w:p>
        </w:tc>
        <w:tc>
          <w:tcPr>
            <w:tcW w:w="1134" w:type="dxa"/>
            <w:tcBorders>
              <w:top w:val="nil"/>
              <w:left w:val="nil"/>
              <w:bottom w:val="single" w:color="auto" w:sz="4" w:space="0"/>
              <w:right w:val="single" w:color="auto" w:sz="4" w:space="0"/>
            </w:tcBorders>
            <w:vAlign w:val="center"/>
          </w:tcPr>
          <w:p w14:paraId="5650D7C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2099</w:t>
            </w:r>
          </w:p>
        </w:tc>
        <w:tc>
          <w:tcPr>
            <w:tcW w:w="1134" w:type="dxa"/>
            <w:tcBorders>
              <w:top w:val="nil"/>
              <w:left w:val="nil"/>
              <w:bottom w:val="single" w:color="auto" w:sz="4" w:space="0"/>
              <w:right w:val="single" w:color="auto" w:sz="4" w:space="0"/>
            </w:tcBorders>
            <w:vAlign w:val="center"/>
          </w:tcPr>
          <w:p w14:paraId="7673571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67</w:t>
            </w:r>
          </w:p>
        </w:tc>
        <w:tc>
          <w:tcPr>
            <w:tcW w:w="3953" w:type="dxa"/>
            <w:tcBorders>
              <w:top w:val="nil"/>
              <w:left w:val="nil"/>
              <w:bottom w:val="single" w:color="auto" w:sz="4" w:space="0"/>
              <w:right w:val="single" w:color="auto" w:sz="4" w:space="0"/>
            </w:tcBorders>
            <w:vAlign w:val="center"/>
          </w:tcPr>
          <w:p w14:paraId="41E01C9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Number of MetS components</w:t>
            </w:r>
          </w:p>
        </w:tc>
        <w:tc>
          <w:tcPr>
            <w:tcW w:w="3502" w:type="dxa"/>
            <w:tcBorders>
              <w:top w:val="nil"/>
              <w:left w:val="nil"/>
              <w:bottom w:val="single" w:color="auto" w:sz="4" w:space="0"/>
              <w:right w:val="single" w:color="auto" w:sz="4" w:space="0"/>
            </w:tcBorders>
            <w:vAlign w:val="center"/>
          </w:tcPr>
          <w:p w14:paraId="4DB5989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diabetic retinopathy (VTDR) included proliferative diabetic retinopathy and clinically significant macular edema</w:t>
            </w:r>
          </w:p>
        </w:tc>
      </w:tr>
      <w:tr w14:paraId="2F980861">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529E1530">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Li (2017)</w:t>
            </w:r>
          </w:p>
        </w:tc>
        <w:tc>
          <w:tcPr>
            <w:tcW w:w="1932" w:type="dxa"/>
            <w:tcBorders>
              <w:top w:val="nil"/>
              <w:left w:val="nil"/>
              <w:bottom w:val="single" w:color="auto" w:sz="4" w:space="0"/>
              <w:right w:val="single" w:color="auto" w:sz="4" w:space="0"/>
            </w:tcBorders>
            <w:vAlign w:val="center"/>
          </w:tcPr>
          <w:p w14:paraId="159FA6F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BDDES (China)</w:t>
            </w:r>
          </w:p>
        </w:tc>
        <w:tc>
          <w:tcPr>
            <w:tcW w:w="1134" w:type="dxa"/>
            <w:tcBorders>
              <w:top w:val="nil"/>
              <w:left w:val="nil"/>
              <w:bottom w:val="single" w:color="auto" w:sz="4" w:space="0"/>
              <w:right w:val="single" w:color="auto" w:sz="4" w:space="0"/>
            </w:tcBorders>
            <w:vAlign w:val="center"/>
          </w:tcPr>
          <w:p w14:paraId="28D4DAA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1438</w:t>
            </w:r>
          </w:p>
        </w:tc>
        <w:tc>
          <w:tcPr>
            <w:tcW w:w="1134" w:type="dxa"/>
            <w:tcBorders>
              <w:top w:val="nil"/>
              <w:left w:val="nil"/>
              <w:bottom w:val="single" w:color="auto" w:sz="4" w:space="0"/>
              <w:right w:val="single" w:color="auto" w:sz="4" w:space="0"/>
            </w:tcBorders>
            <w:vAlign w:val="center"/>
          </w:tcPr>
          <w:p w14:paraId="08D4DD6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72</w:t>
            </w:r>
          </w:p>
        </w:tc>
        <w:tc>
          <w:tcPr>
            <w:tcW w:w="3953" w:type="dxa"/>
            <w:tcBorders>
              <w:top w:val="nil"/>
              <w:left w:val="nil"/>
              <w:bottom w:val="single" w:color="auto" w:sz="4" w:space="0"/>
              <w:right w:val="single" w:color="auto" w:sz="4" w:space="0"/>
            </w:tcBorders>
            <w:vAlign w:val="center"/>
          </w:tcPr>
          <w:p w14:paraId="693DD29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Sex, Monthly income, Education, Duration of diabetes, Age of diabetic onset, SBP, HbA1c, High albuminuria, Use of insulin</w:t>
            </w:r>
          </w:p>
        </w:tc>
        <w:tc>
          <w:tcPr>
            <w:tcW w:w="3502" w:type="dxa"/>
            <w:tcBorders>
              <w:top w:val="nil"/>
              <w:left w:val="nil"/>
              <w:bottom w:val="single" w:color="auto" w:sz="4" w:space="0"/>
              <w:right w:val="single" w:color="auto" w:sz="4" w:space="0"/>
            </w:tcBorders>
            <w:vAlign w:val="center"/>
          </w:tcPr>
          <w:p w14:paraId="03C4CA7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Vision-threatening DR (VTR) was defined as the presence of severe NPDR, PDR, or CSME. </w:t>
            </w:r>
          </w:p>
        </w:tc>
      </w:tr>
      <w:tr w14:paraId="1D349E2D">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76864036">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Gurudas (2022)</w:t>
            </w:r>
          </w:p>
        </w:tc>
        <w:tc>
          <w:tcPr>
            <w:tcW w:w="1932" w:type="dxa"/>
            <w:tcBorders>
              <w:top w:val="nil"/>
              <w:left w:val="nil"/>
              <w:bottom w:val="single" w:color="auto" w:sz="4" w:space="0"/>
              <w:right w:val="single" w:color="auto" w:sz="4" w:space="0"/>
            </w:tcBorders>
            <w:vAlign w:val="center"/>
          </w:tcPr>
          <w:p w14:paraId="175A42B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UK and India</w:t>
            </w:r>
          </w:p>
        </w:tc>
        <w:tc>
          <w:tcPr>
            <w:tcW w:w="1134" w:type="dxa"/>
            <w:tcBorders>
              <w:top w:val="nil"/>
              <w:left w:val="nil"/>
              <w:bottom w:val="single" w:color="auto" w:sz="4" w:space="0"/>
              <w:right w:val="single" w:color="auto" w:sz="4" w:space="0"/>
            </w:tcBorders>
            <w:vAlign w:val="center"/>
          </w:tcPr>
          <w:p w14:paraId="7CBD498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629</w:t>
            </w:r>
          </w:p>
        </w:tc>
        <w:tc>
          <w:tcPr>
            <w:tcW w:w="1134" w:type="dxa"/>
            <w:tcBorders>
              <w:top w:val="nil"/>
              <w:left w:val="nil"/>
              <w:bottom w:val="single" w:color="auto" w:sz="4" w:space="0"/>
              <w:right w:val="single" w:color="auto" w:sz="4" w:space="0"/>
            </w:tcBorders>
            <w:vAlign w:val="center"/>
          </w:tcPr>
          <w:p w14:paraId="04B9C57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c>
          <w:tcPr>
            <w:tcW w:w="3953" w:type="dxa"/>
            <w:tcBorders>
              <w:top w:val="nil"/>
              <w:left w:val="nil"/>
              <w:bottom w:val="single" w:color="auto" w:sz="4" w:space="0"/>
              <w:right w:val="single" w:color="auto" w:sz="4" w:space="0"/>
            </w:tcBorders>
            <w:vAlign w:val="center"/>
          </w:tcPr>
          <w:p w14:paraId="65D9136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Age, Duration of diabetes, HbA1c, Sex, Ethnicity, Systolic blood pressure, Diatolic blood pressure, HDL, LDL, Triglycerides, CRP,Serum Creatinine, Insulin use, Candidate biomarker data (CFB, CFH, Serpin A4, A2m</w:t>
            </w:r>
            <w:r>
              <w:rPr>
                <w:rFonts w:ascii="Times New Roman" w:hAnsi="Times New Roman" w:eastAsia="宋体" w:cs="Times New Roman"/>
                <w:color w:val="000000"/>
                <w:kern w:val="0"/>
                <w:sz w:val="24"/>
                <w:szCs w:val="24"/>
              </w:rPr>
              <w:t>，</w:t>
            </w:r>
            <w:r>
              <w:rPr>
                <w:rFonts w:ascii="Times New Roman" w:hAnsi="Times New Roman" w:eastAsia="等线" w:cs="Times New Roman"/>
                <w:color w:val="000000"/>
                <w:kern w:val="0"/>
                <w:sz w:val="24"/>
                <w:szCs w:val="24"/>
              </w:rPr>
              <w:t>Afamin, F2</w:t>
            </w:r>
            <w:r>
              <w:rPr>
                <w:rFonts w:ascii="Times New Roman" w:hAnsi="Times New Roman" w:eastAsia="宋体" w:cs="Times New Roman"/>
                <w:color w:val="000000"/>
                <w:kern w:val="0"/>
                <w:sz w:val="24"/>
                <w:szCs w:val="24"/>
              </w:rPr>
              <w:t>，</w:t>
            </w:r>
            <w:r>
              <w:rPr>
                <w:rFonts w:ascii="Times New Roman" w:hAnsi="Times New Roman" w:eastAsia="等线" w:cs="Times New Roman"/>
                <w:color w:val="000000"/>
                <w:kern w:val="0"/>
                <w:sz w:val="24"/>
                <w:szCs w:val="24"/>
              </w:rPr>
              <w:t>Cystain C, Lp-PLA2, LRG-1, 8-OHDG, ApoA1, ApoC3, ApoB, ApoB/A1)</w:t>
            </w:r>
          </w:p>
        </w:tc>
        <w:tc>
          <w:tcPr>
            <w:tcW w:w="3502" w:type="dxa"/>
            <w:tcBorders>
              <w:top w:val="nil"/>
              <w:left w:val="nil"/>
              <w:bottom w:val="single" w:color="auto" w:sz="4" w:space="0"/>
              <w:right w:val="single" w:color="auto" w:sz="4" w:space="0"/>
            </w:tcBorders>
            <w:vAlign w:val="center"/>
          </w:tcPr>
          <w:p w14:paraId="53CA914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non-proliferative DR with diabetic macular edema (DME), or proliferative DR. STDR comprised groups 3 and 4.</w:t>
            </w:r>
          </w:p>
        </w:tc>
      </w:tr>
      <w:tr w14:paraId="4263E287">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06A4D31B">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PARDHAN (2007)</w:t>
            </w:r>
          </w:p>
        </w:tc>
        <w:tc>
          <w:tcPr>
            <w:tcW w:w="1932" w:type="dxa"/>
            <w:tcBorders>
              <w:top w:val="nil"/>
              <w:left w:val="nil"/>
              <w:bottom w:val="single" w:color="auto" w:sz="4" w:space="0"/>
              <w:right w:val="single" w:color="auto" w:sz="4" w:space="0"/>
            </w:tcBorders>
            <w:vAlign w:val="center"/>
          </w:tcPr>
          <w:p w14:paraId="7C43737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outpatient diabetic clinic (UK)</w:t>
            </w:r>
          </w:p>
        </w:tc>
        <w:tc>
          <w:tcPr>
            <w:tcW w:w="1134" w:type="dxa"/>
            <w:tcBorders>
              <w:top w:val="nil"/>
              <w:left w:val="nil"/>
              <w:bottom w:val="single" w:color="auto" w:sz="4" w:space="0"/>
              <w:right w:val="single" w:color="auto" w:sz="4" w:space="0"/>
            </w:tcBorders>
            <w:vAlign w:val="center"/>
          </w:tcPr>
          <w:p w14:paraId="42B1B96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262</w:t>
            </w:r>
          </w:p>
        </w:tc>
        <w:tc>
          <w:tcPr>
            <w:tcW w:w="1134" w:type="dxa"/>
            <w:tcBorders>
              <w:top w:val="nil"/>
              <w:left w:val="nil"/>
              <w:bottom w:val="single" w:color="auto" w:sz="4" w:space="0"/>
              <w:right w:val="single" w:color="auto" w:sz="4" w:space="0"/>
            </w:tcBorders>
            <w:vAlign w:val="center"/>
          </w:tcPr>
          <w:p w14:paraId="37238E1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c>
          <w:tcPr>
            <w:tcW w:w="3953" w:type="dxa"/>
            <w:tcBorders>
              <w:top w:val="nil"/>
              <w:left w:val="nil"/>
              <w:bottom w:val="single" w:color="auto" w:sz="4" w:space="0"/>
              <w:right w:val="single" w:color="auto" w:sz="4" w:space="0"/>
            </w:tcBorders>
            <w:vAlign w:val="center"/>
          </w:tcPr>
          <w:p w14:paraId="6A0F267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AGE, DURATION, PHYSICAL ACTIVITY, INCOME, EDUCATION AGE</w:t>
            </w:r>
          </w:p>
        </w:tc>
        <w:tc>
          <w:tcPr>
            <w:tcW w:w="3502" w:type="dxa"/>
            <w:tcBorders>
              <w:top w:val="nil"/>
              <w:left w:val="nil"/>
              <w:bottom w:val="single" w:color="auto" w:sz="4" w:space="0"/>
              <w:right w:val="single" w:color="auto" w:sz="4" w:space="0"/>
            </w:tcBorders>
            <w:vAlign w:val="center"/>
          </w:tcPr>
          <w:p w14:paraId="6243140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Pre-proliferative changes and maculopathy or proliferative changes were classified as Sight Threatening Retinopathy (STR).</w:t>
            </w:r>
          </w:p>
        </w:tc>
      </w:tr>
      <w:tr w14:paraId="6885FC0F">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0CF61F4D">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Jin (2021)</w:t>
            </w:r>
          </w:p>
        </w:tc>
        <w:tc>
          <w:tcPr>
            <w:tcW w:w="1932" w:type="dxa"/>
            <w:tcBorders>
              <w:top w:val="nil"/>
              <w:left w:val="nil"/>
              <w:bottom w:val="single" w:color="auto" w:sz="4" w:space="0"/>
              <w:right w:val="single" w:color="auto" w:sz="4" w:space="0"/>
            </w:tcBorders>
            <w:vAlign w:val="center"/>
          </w:tcPr>
          <w:p w14:paraId="591B80A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Fourth Affiliated Hospital of China Medical University (China)</w:t>
            </w:r>
          </w:p>
        </w:tc>
        <w:tc>
          <w:tcPr>
            <w:tcW w:w="1134" w:type="dxa"/>
            <w:tcBorders>
              <w:top w:val="nil"/>
              <w:left w:val="nil"/>
              <w:bottom w:val="single" w:color="auto" w:sz="4" w:space="0"/>
              <w:right w:val="single" w:color="auto" w:sz="4" w:space="0"/>
            </w:tcBorders>
            <w:vAlign w:val="center"/>
          </w:tcPr>
          <w:p w14:paraId="0F242D1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654</w:t>
            </w:r>
          </w:p>
        </w:tc>
        <w:tc>
          <w:tcPr>
            <w:tcW w:w="1134" w:type="dxa"/>
            <w:tcBorders>
              <w:top w:val="nil"/>
              <w:left w:val="nil"/>
              <w:bottom w:val="single" w:color="auto" w:sz="4" w:space="0"/>
              <w:right w:val="single" w:color="auto" w:sz="4" w:space="0"/>
            </w:tcBorders>
            <w:vAlign w:val="center"/>
          </w:tcPr>
          <w:p w14:paraId="79E18BD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102</w:t>
            </w:r>
          </w:p>
        </w:tc>
        <w:tc>
          <w:tcPr>
            <w:tcW w:w="3953" w:type="dxa"/>
            <w:tcBorders>
              <w:top w:val="nil"/>
              <w:left w:val="nil"/>
              <w:bottom w:val="single" w:color="auto" w:sz="4" w:space="0"/>
              <w:right w:val="single" w:color="auto" w:sz="4" w:space="0"/>
            </w:tcBorders>
            <w:vAlign w:val="center"/>
          </w:tcPr>
          <w:p w14:paraId="5CBE867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FGF21</w:t>
            </w:r>
          </w:p>
        </w:tc>
        <w:tc>
          <w:tcPr>
            <w:tcW w:w="3502" w:type="dxa"/>
            <w:tcBorders>
              <w:top w:val="nil"/>
              <w:left w:val="nil"/>
              <w:bottom w:val="single" w:color="auto" w:sz="4" w:space="0"/>
              <w:right w:val="single" w:color="auto" w:sz="4" w:space="0"/>
            </w:tcBorders>
            <w:vAlign w:val="center"/>
          </w:tcPr>
          <w:p w14:paraId="1438F7C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STDR (n=102, 15.60%), including those with severe NPDR or proliferative diabetic retinopathy (PDR). </w:t>
            </w:r>
          </w:p>
        </w:tc>
      </w:tr>
      <w:tr w14:paraId="6B49DE14">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7723ADD4">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Zhang (2017)</w:t>
            </w:r>
          </w:p>
        </w:tc>
        <w:tc>
          <w:tcPr>
            <w:tcW w:w="1932" w:type="dxa"/>
            <w:tcBorders>
              <w:top w:val="nil"/>
              <w:left w:val="nil"/>
              <w:bottom w:val="single" w:color="auto" w:sz="4" w:space="0"/>
              <w:right w:val="single" w:color="auto" w:sz="4" w:space="0"/>
            </w:tcBorders>
            <w:vAlign w:val="center"/>
          </w:tcPr>
          <w:p w14:paraId="2ED08AD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Four Affiliated Hospital of Harbin Medical University (China)</w:t>
            </w:r>
          </w:p>
        </w:tc>
        <w:tc>
          <w:tcPr>
            <w:tcW w:w="1134" w:type="dxa"/>
            <w:tcBorders>
              <w:top w:val="nil"/>
              <w:left w:val="nil"/>
              <w:bottom w:val="single" w:color="auto" w:sz="4" w:space="0"/>
              <w:right w:val="single" w:color="auto" w:sz="4" w:space="0"/>
            </w:tcBorders>
            <w:vAlign w:val="center"/>
          </w:tcPr>
          <w:p w14:paraId="116A1D8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738</w:t>
            </w:r>
          </w:p>
        </w:tc>
        <w:tc>
          <w:tcPr>
            <w:tcW w:w="1134" w:type="dxa"/>
            <w:tcBorders>
              <w:top w:val="nil"/>
              <w:left w:val="nil"/>
              <w:bottom w:val="single" w:color="auto" w:sz="4" w:space="0"/>
              <w:right w:val="single" w:color="auto" w:sz="4" w:space="0"/>
            </w:tcBorders>
            <w:vAlign w:val="center"/>
          </w:tcPr>
          <w:p w14:paraId="2EFAFD2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60</w:t>
            </w:r>
          </w:p>
        </w:tc>
        <w:tc>
          <w:tcPr>
            <w:tcW w:w="3953" w:type="dxa"/>
            <w:tcBorders>
              <w:top w:val="nil"/>
              <w:left w:val="nil"/>
              <w:bottom w:val="single" w:color="auto" w:sz="4" w:space="0"/>
              <w:right w:val="single" w:color="auto" w:sz="4" w:space="0"/>
            </w:tcBorders>
            <w:vAlign w:val="center"/>
          </w:tcPr>
          <w:p w14:paraId="6DCEEE2D">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FABP4 quartiles</w:t>
            </w:r>
          </w:p>
        </w:tc>
        <w:tc>
          <w:tcPr>
            <w:tcW w:w="3502" w:type="dxa"/>
            <w:tcBorders>
              <w:top w:val="nil"/>
              <w:left w:val="nil"/>
              <w:bottom w:val="single" w:color="auto" w:sz="4" w:space="0"/>
              <w:right w:val="single" w:color="auto" w:sz="4" w:space="0"/>
            </w:tcBorders>
            <w:vAlign w:val="center"/>
          </w:tcPr>
          <w:p w14:paraId="36941DD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was defined as the presence of PDR and/or DME</w:t>
            </w:r>
          </w:p>
        </w:tc>
      </w:tr>
      <w:tr w14:paraId="6074523E">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0BD993B7">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Pan (2017)</w:t>
            </w:r>
          </w:p>
        </w:tc>
        <w:tc>
          <w:tcPr>
            <w:tcW w:w="1932" w:type="dxa"/>
            <w:tcBorders>
              <w:top w:val="nil"/>
              <w:left w:val="nil"/>
              <w:bottom w:val="single" w:color="auto" w:sz="4" w:space="0"/>
              <w:right w:val="single" w:color="auto" w:sz="4" w:space="0"/>
            </w:tcBorders>
            <w:vAlign w:val="center"/>
          </w:tcPr>
          <w:p w14:paraId="35047D1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Gusu district located in eastern China</w:t>
            </w:r>
          </w:p>
        </w:tc>
        <w:tc>
          <w:tcPr>
            <w:tcW w:w="1134" w:type="dxa"/>
            <w:tcBorders>
              <w:top w:val="nil"/>
              <w:left w:val="nil"/>
              <w:bottom w:val="single" w:color="auto" w:sz="4" w:space="0"/>
              <w:right w:val="single" w:color="auto" w:sz="4" w:space="0"/>
            </w:tcBorders>
            <w:vAlign w:val="center"/>
          </w:tcPr>
          <w:p w14:paraId="083EC7C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913</w:t>
            </w:r>
          </w:p>
        </w:tc>
        <w:tc>
          <w:tcPr>
            <w:tcW w:w="1134" w:type="dxa"/>
            <w:tcBorders>
              <w:top w:val="nil"/>
              <w:left w:val="nil"/>
              <w:bottom w:val="single" w:color="auto" w:sz="4" w:space="0"/>
              <w:right w:val="single" w:color="auto" w:sz="4" w:space="0"/>
            </w:tcBorders>
            <w:vAlign w:val="center"/>
          </w:tcPr>
          <w:p w14:paraId="6B81CAA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40</w:t>
            </w:r>
          </w:p>
        </w:tc>
        <w:tc>
          <w:tcPr>
            <w:tcW w:w="3953" w:type="dxa"/>
            <w:tcBorders>
              <w:top w:val="nil"/>
              <w:left w:val="nil"/>
              <w:bottom w:val="single" w:color="auto" w:sz="4" w:space="0"/>
              <w:right w:val="single" w:color="auto" w:sz="4" w:space="0"/>
            </w:tcBorders>
            <w:vAlign w:val="center"/>
          </w:tcPr>
          <w:p w14:paraId="6D48EB9E">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Age, Gender, BMI, Durations of diabetes</w:t>
            </w:r>
          </w:p>
        </w:tc>
        <w:tc>
          <w:tcPr>
            <w:tcW w:w="3502" w:type="dxa"/>
            <w:tcBorders>
              <w:top w:val="nil"/>
              <w:left w:val="nil"/>
              <w:bottom w:val="single" w:color="auto" w:sz="4" w:space="0"/>
              <w:right w:val="single" w:color="auto" w:sz="4" w:space="0"/>
            </w:tcBorders>
            <w:vAlign w:val="center"/>
          </w:tcPr>
          <w:p w14:paraId="2184030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r>
      <w:tr w14:paraId="10DF6815">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698411A7">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MSC (2009)</w:t>
            </w:r>
          </w:p>
        </w:tc>
        <w:tc>
          <w:tcPr>
            <w:tcW w:w="1932" w:type="dxa"/>
            <w:tcBorders>
              <w:top w:val="nil"/>
              <w:left w:val="nil"/>
              <w:bottom w:val="single" w:color="auto" w:sz="4" w:space="0"/>
              <w:right w:val="single" w:color="auto" w:sz="4" w:space="0"/>
            </w:tcBorders>
            <w:vAlign w:val="center"/>
          </w:tcPr>
          <w:p w14:paraId="0AA61A8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Foleshill area of Coventry in central England (UK)</w:t>
            </w:r>
          </w:p>
        </w:tc>
        <w:tc>
          <w:tcPr>
            <w:tcW w:w="1134" w:type="dxa"/>
            <w:tcBorders>
              <w:top w:val="nil"/>
              <w:left w:val="nil"/>
              <w:bottom w:val="single" w:color="auto" w:sz="4" w:space="0"/>
              <w:right w:val="single" w:color="auto" w:sz="4" w:space="0"/>
            </w:tcBorders>
            <w:vAlign w:val="center"/>
          </w:tcPr>
          <w:p w14:paraId="21552F66">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1035</w:t>
            </w:r>
          </w:p>
        </w:tc>
        <w:tc>
          <w:tcPr>
            <w:tcW w:w="1134" w:type="dxa"/>
            <w:tcBorders>
              <w:top w:val="nil"/>
              <w:left w:val="nil"/>
              <w:bottom w:val="single" w:color="auto" w:sz="4" w:space="0"/>
              <w:right w:val="single" w:color="auto" w:sz="4" w:space="0"/>
            </w:tcBorders>
            <w:vAlign w:val="center"/>
          </w:tcPr>
          <w:p w14:paraId="5C081AE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142</w:t>
            </w:r>
          </w:p>
        </w:tc>
        <w:tc>
          <w:tcPr>
            <w:tcW w:w="3953" w:type="dxa"/>
            <w:tcBorders>
              <w:top w:val="nil"/>
              <w:left w:val="nil"/>
              <w:bottom w:val="single" w:color="auto" w:sz="4" w:space="0"/>
              <w:right w:val="single" w:color="auto" w:sz="4" w:space="0"/>
            </w:tcBorders>
            <w:vAlign w:val="center"/>
          </w:tcPr>
          <w:p w14:paraId="3DFD926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Ethnicity (SA vs. WH), Duration of diabetes, Age at diagnosis, Sex (male vs. female), Systolic blood pressure, A1C, Insulin treated (yes vs. no) </w:t>
            </w:r>
          </w:p>
        </w:tc>
        <w:tc>
          <w:tcPr>
            <w:tcW w:w="3502" w:type="dxa"/>
            <w:tcBorders>
              <w:top w:val="nil"/>
              <w:left w:val="nil"/>
              <w:bottom w:val="single" w:color="auto" w:sz="4" w:space="0"/>
              <w:right w:val="single" w:color="auto" w:sz="4" w:space="0"/>
            </w:tcBorders>
            <w:vAlign w:val="center"/>
          </w:tcPr>
          <w:p w14:paraId="43E7060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The grading of diabetic retinopathy was based on the U.K.’s National Screening Committee guidelines, and retinopathy was classified as none (R0), background (R1), pre-proliferative (R2), and proliferative (R3), with or without maculopathy (M) or previous photocoagulation (P) (13). Final grading was based on the worst eye, with any grade of diabetic retinopathy more severe than R1</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(i.e., R2, R3, M, or P) classified as sight-threatening retinopathy (STR).</w:t>
            </w:r>
          </w:p>
        </w:tc>
      </w:tr>
      <w:tr w14:paraId="79ECA616">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65A894D0">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Dharmastuti (2017)</w:t>
            </w:r>
          </w:p>
        </w:tc>
        <w:tc>
          <w:tcPr>
            <w:tcW w:w="1932" w:type="dxa"/>
            <w:tcBorders>
              <w:top w:val="nil"/>
              <w:left w:val="nil"/>
              <w:bottom w:val="single" w:color="auto" w:sz="4" w:space="0"/>
              <w:right w:val="single" w:color="auto" w:sz="4" w:space="0"/>
            </w:tcBorders>
            <w:vAlign w:val="center"/>
          </w:tcPr>
          <w:p w14:paraId="0F61EFB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type 2 diabetes aged 30+ years living in Jogjakarta</w:t>
            </w:r>
          </w:p>
        </w:tc>
        <w:tc>
          <w:tcPr>
            <w:tcW w:w="1134" w:type="dxa"/>
            <w:tcBorders>
              <w:top w:val="nil"/>
              <w:left w:val="nil"/>
              <w:bottom w:val="single" w:color="auto" w:sz="4" w:space="0"/>
              <w:right w:val="single" w:color="auto" w:sz="4" w:space="0"/>
            </w:tcBorders>
            <w:vAlign w:val="center"/>
          </w:tcPr>
          <w:p w14:paraId="3B35240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1116</w:t>
            </w:r>
          </w:p>
        </w:tc>
        <w:tc>
          <w:tcPr>
            <w:tcW w:w="1134" w:type="dxa"/>
            <w:tcBorders>
              <w:top w:val="nil"/>
              <w:left w:val="nil"/>
              <w:bottom w:val="single" w:color="auto" w:sz="4" w:space="0"/>
              <w:right w:val="single" w:color="auto" w:sz="4" w:space="0"/>
            </w:tcBorders>
            <w:vAlign w:val="center"/>
          </w:tcPr>
          <w:p w14:paraId="00B317E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294</w:t>
            </w:r>
          </w:p>
        </w:tc>
        <w:tc>
          <w:tcPr>
            <w:tcW w:w="3953" w:type="dxa"/>
            <w:tcBorders>
              <w:top w:val="nil"/>
              <w:left w:val="nil"/>
              <w:bottom w:val="single" w:color="auto" w:sz="4" w:space="0"/>
              <w:right w:val="single" w:color="auto" w:sz="4" w:space="0"/>
            </w:tcBorders>
            <w:vAlign w:val="center"/>
          </w:tcPr>
          <w:p w14:paraId="71A7BA3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Sedentary activity per day, Sleeping duration per day, Walking distance per day, Heavy exercise per week</w:t>
            </w:r>
          </w:p>
        </w:tc>
        <w:tc>
          <w:tcPr>
            <w:tcW w:w="3502" w:type="dxa"/>
            <w:tcBorders>
              <w:top w:val="nil"/>
              <w:left w:val="nil"/>
              <w:bottom w:val="single" w:color="auto" w:sz="4" w:space="0"/>
              <w:right w:val="single" w:color="auto" w:sz="4" w:space="0"/>
            </w:tcBorders>
            <w:vAlign w:val="center"/>
          </w:tcPr>
          <w:p w14:paraId="4AA0125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Vision-threatening DR (VTDR) was defined to include severe NPDR, PDR, and CSME.</w:t>
            </w:r>
          </w:p>
        </w:tc>
      </w:tr>
      <w:tr w14:paraId="06328571">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06AC9E52">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Li (2022)</w:t>
            </w:r>
          </w:p>
        </w:tc>
        <w:tc>
          <w:tcPr>
            <w:tcW w:w="1932" w:type="dxa"/>
            <w:tcBorders>
              <w:top w:val="nil"/>
              <w:left w:val="nil"/>
              <w:bottom w:val="single" w:color="auto" w:sz="4" w:space="0"/>
              <w:right w:val="single" w:color="auto" w:sz="4" w:space="0"/>
            </w:tcBorders>
            <w:vAlign w:val="center"/>
          </w:tcPr>
          <w:p w14:paraId="27425AE0">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communities in Guangzhou (China)</w:t>
            </w:r>
          </w:p>
        </w:tc>
        <w:tc>
          <w:tcPr>
            <w:tcW w:w="1134" w:type="dxa"/>
            <w:tcBorders>
              <w:top w:val="nil"/>
              <w:left w:val="nil"/>
              <w:bottom w:val="single" w:color="auto" w:sz="4" w:space="0"/>
              <w:right w:val="single" w:color="auto" w:sz="4" w:space="0"/>
            </w:tcBorders>
            <w:vAlign w:val="center"/>
          </w:tcPr>
          <w:p w14:paraId="37A507D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2305</w:t>
            </w:r>
          </w:p>
        </w:tc>
        <w:tc>
          <w:tcPr>
            <w:tcW w:w="1134" w:type="dxa"/>
            <w:tcBorders>
              <w:top w:val="nil"/>
              <w:left w:val="nil"/>
              <w:bottom w:val="single" w:color="auto" w:sz="4" w:space="0"/>
              <w:right w:val="single" w:color="auto" w:sz="4" w:space="0"/>
            </w:tcBorders>
            <w:vAlign w:val="center"/>
          </w:tcPr>
          <w:p w14:paraId="512B5D8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98</w:t>
            </w:r>
          </w:p>
        </w:tc>
        <w:tc>
          <w:tcPr>
            <w:tcW w:w="3953" w:type="dxa"/>
            <w:tcBorders>
              <w:top w:val="nil"/>
              <w:left w:val="nil"/>
              <w:bottom w:val="single" w:color="auto" w:sz="4" w:space="0"/>
              <w:right w:val="single" w:color="auto" w:sz="4" w:space="0"/>
            </w:tcBorders>
            <w:vAlign w:val="center"/>
          </w:tcPr>
          <w:p w14:paraId="07AF353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BMI, kg/m2, WHR, WHtR, BAI</w:t>
            </w:r>
          </w:p>
        </w:tc>
        <w:tc>
          <w:tcPr>
            <w:tcW w:w="3502" w:type="dxa"/>
            <w:tcBorders>
              <w:top w:val="nil"/>
              <w:left w:val="nil"/>
              <w:bottom w:val="single" w:color="auto" w:sz="4" w:space="0"/>
              <w:right w:val="single" w:color="auto" w:sz="4" w:space="0"/>
            </w:tcBorders>
            <w:vAlign w:val="center"/>
          </w:tcPr>
          <w:p w14:paraId="67997BE2">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VTDR was defined as the presence of DME or PDR</w:t>
            </w:r>
          </w:p>
        </w:tc>
      </w:tr>
      <w:tr w14:paraId="5145C9C0">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5B35E896">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DNB (2011)</w:t>
            </w:r>
          </w:p>
        </w:tc>
        <w:tc>
          <w:tcPr>
            <w:tcW w:w="1932" w:type="dxa"/>
            <w:tcBorders>
              <w:top w:val="nil"/>
              <w:left w:val="nil"/>
              <w:bottom w:val="single" w:color="auto" w:sz="4" w:space="0"/>
              <w:right w:val="single" w:color="auto" w:sz="4" w:space="0"/>
            </w:tcBorders>
            <w:vAlign w:val="center"/>
          </w:tcPr>
          <w:p w14:paraId="3E28A699">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Sankara Nethralaya-Diabetic Retinopathy Epidemiology and Molecular Genetic Study (India)</w:t>
            </w:r>
          </w:p>
        </w:tc>
        <w:tc>
          <w:tcPr>
            <w:tcW w:w="1134" w:type="dxa"/>
            <w:tcBorders>
              <w:top w:val="nil"/>
              <w:left w:val="nil"/>
              <w:bottom w:val="single" w:color="auto" w:sz="4" w:space="0"/>
              <w:right w:val="single" w:color="auto" w:sz="4" w:space="0"/>
            </w:tcBorders>
            <w:vAlign w:val="center"/>
          </w:tcPr>
          <w:p w14:paraId="388C08D5">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1261</w:t>
            </w:r>
          </w:p>
        </w:tc>
        <w:tc>
          <w:tcPr>
            <w:tcW w:w="1134" w:type="dxa"/>
            <w:tcBorders>
              <w:top w:val="nil"/>
              <w:left w:val="nil"/>
              <w:bottom w:val="single" w:color="auto" w:sz="4" w:space="0"/>
              <w:right w:val="single" w:color="auto" w:sz="4" w:space="0"/>
            </w:tcBorders>
            <w:vAlign w:val="center"/>
          </w:tcPr>
          <w:p w14:paraId="6F3BB7A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37</w:t>
            </w:r>
          </w:p>
        </w:tc>
        <w:tc>
          <w:tcPr>
            <w:tcW w:w="3953" w:type="dxa"/>
            <w:tcBorders>
              <w:top w:val="nil"/>
              <w:left w:val="nil"/>
              <w:bottom w:val="single" w:color="auto" w:sz="4" w:space="0"/>
              <w:right w:val="single" w:color="auto" w:sz="4" w:space="0"/>
            </w:tcBorders>
            <w:vAlign w:val="center"/>
          </w:tcPr>
          <w:p w14:paraId="61009D0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dietary-fibre intake</w:t>
            </w:r>
          </w:p>
        </w:tc>
        <w:tc>
          <w:tcPr>
            <w:tcW w:w="3502" w:type="dxa"/>
            <w:tcBorders>
              <w:top w:val="nil"/>
              <w:left w:val="nil"/>
              <w:bottom w:val="single" w:color="auto" w:sz="4" w:space="0"/>
              <w:right w:val="single" w:color="auto" w:sz="4" w:space="0"/>
            </w:tcBorders>
            <w:vAlign w:val="center"/>
          </w:tcPr>
          <w:p w14:paraId="6F9564B8">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Sight-threatening diabetic retinopathy was defined as severe non-proliferative diabetic retinopathy, proliferative diabetic retinopathy and clinically significant macular oedema</w:t>
            </w:r>
          </w:p>
        </w:tc>
      </w:tr>
      <w:tr w14:paraId="62DC384A">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7D599B98">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K. Ng (2020)</w:t>
            </w:r>
          </w:p>
        </w:tc>
        <w:tc>
          <w:tcPr>
            <w:tcW w:w="1932" w:type="dxa"/>
            <w:tcBorders>
              <w:top w:val="nil"/>
              <w:left w:val="nil"/>
              <w:bottom w:val="single" w:color="auto" w:sz="4" w:space="0"/>
              <w:right w:val="single" w:color="auto" w:sz="4" w:space="0"/>
            </w:tcBorders>
            <w:vAlign w:val="center"/>
          </w:tcPr>
          <w:p w14:paraId="71B3160B">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Hong Kong West Diabetes Registry, the ophthalmology clinics at Queen Marry Hospital,Tseung Kwan O Hospital, and the United Christian Hospital, Hong Kong (China)</w:t>
            </w:r>
          </w:p>
        </w:tc>
        <w:tc>
          <w:tcPr>
            <w:tcW w:w="1134" w:type="dxa"/>
            <w:tcBorders>
              <w:top w:val="nil"/>
              <w:left w:val="nil"/>
              <w:bottom w:val="single" w:color="auto" w:sz="4" w:space="0"/>
              <w:right w:val="single" w:color="auto" w:sz="4" w:space="0"/>
            </w:tcBorders>
            <w:vAlign w:val="center"/>
          </w:tcPr>
          <w:p w14:paraId="7E619FB3">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3093</w:t>
            </w:r>
          </w:p>
        </w:tc>
        <w:tc>
          <w:tcPr>
            <w:tcW w:w="1134" w:type="dxa"/>
            <w:tcBorders>
              <w:top w:val="nil"/>
              <w:left w:val="nil"/>
              <w:bottom w:val="single" w:color="auto" w:sz="4" w:space="0"/>
              <w:right w:val="single" w:color="auto" w:sz="4" w:space="0"/>
            </w:tcBorders>
            <w:vAlign w:val="center"/>
          </w:tcPr>
          <w:p w14:paraId="0238920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1051</w:t>
            </w:r>
          </w:p>
        </w:tc>
        <w:tc>
          <w:tcPr>
            <w:tcW w:w="3953" w:type="dxa"/>
            <w:tcBorders>
              <w:top w:val="nil"/>
              <w:left w:val="nil"/>
              <w:bottom w:val="single" w:color="auto" w:sz="4" w:space="0"/>
              <w:right w:val="single" w:color="auto" w:sz="4" w:space="0"/>
            </w:tcBorders>
            <w:vAlign w:val="center"/>
          </w:tcPr>
          <w:p w14:paraId="4F472E6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COL5A1, IGSF21-KLHDC7A, CREB5, LOC728275-LOC728316</w:t>
            </w:r>
          </w:p>
        </w:tc>
        <w:tc>
          <w:tcPr>
            <w:tcW w:w="3502" w:type="dxa"/>
            <w:tcBorders>
              <w:top w:val="nil"/>
              <w:left w:val="nil"/>
              <w:bottom w:val="single" w:color="auto" w:sz="4" w:space="0"/>
              <w:right w:val="single" w:color="auto" w:sz="4" w:space="0"/>
            </w:tcBorders>
            <w:vAlign w:val="center"/>
          </w:tcPr>
          <w:p w14:paraId="78CCC63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 xml:space="preserve"> STDR cases were defined as T2DM patients having either PDR (grading R3), pre-PDR (grading R2), or with clinically significant macular edema.</w:t>
            </w:r>
          </w:p>
        </w:tc>
      </w:tr>
      <w:tr w14:paraId="7433EDC3">
        <w:tblPrEx>
          <w:tblCellMar>
            <w:top w:w="0" w:type="dxa"/>
            <w:left w:w="108" w:type="dxa"/>
            <w:bottom w:w="0" w:type="dxa"/>
            <w:right w:w="108" w:type="dxa"/>
          </w:tblCellMar>
        </w:tblPrEx>
        <w:trPr>
          <w:trHeight w:val="600" w:hRule="atLeast"/>
        </w:trPr>
        <w:tc>
          <w:tcPr>
            <w:tcW w:w="2122" w:type="dxa"/>
            <w:tcBorders>
              <w:top w:val="nil"/>
              <w:left w:val="single" w:color="auto" w:sz="4" w:space="0"/>
              <w:bottom w:val="single" w:color="auto" w:sz="4" w:space="0"/>
              <w:right w:val="single" w:color="auto" w:sz="4" w:space="0"/>
            </w:tcBorders>
            <w:vAlign w:val="center"/>
          </w:tcPr>
          <w:p w14:paraId="35685DB4">
            <w:pPr>
              <w:widowControl/>
              <w:spacing w:line="360" w:lineRule="auto"/>
              <w:jc w:val="center"/>
              <w:rPr>
                <w:rFonts w:ascii="Times New Roman" w:hAnsi="Times New Roman" w:eastAsia="等线" w:cs="Times New Roman"/>
                <w:b/>
                <w:bCs/>
                <w:color w:val="000000"/>
                <w:kern w:val="0"/>
                <w:sz w:val="24"/>
                <w:szCs w:val="24"/>
              </w:rPr>
            </w:pPr>
            <w:r>
              <w:rPr>
                <w:rFonts w:ascii="Times New Roman" w:hAnsi="Times New Roman" w:eastAsia="等线" w:cs="Times New Roman"/>
                <w:b/>
                <w:bCs/>
                <w:color w:val="000000"/>
                <w:kern w:val="0"/>
                <w:sz w:val="24"/>
                <w:szCs w:val="24"/>
              </w:rPr>
              <w:t>Zabadi (2022)</w:t>
            </w:r>
          </w:p>
        </w:tc>
        <w:tc>
          <w:tcPr>
            <w:tcW w:w="1932" w:type="dxa"/>
            <w:tcBorders>
              <w:top w:val="nil"/>
              <w:left w:val="nil"/>
              <w:bottom w:val="single" w:color="auto" w:sz="4" w:space="0"/>
              <w:right w:val="single" w:color="auto" w:sz="4" w:space="0"/>
            </w:tcBorders>
            <w:vAlign w:val="center"/>
          </w:tcPr>
          <w:p w14:paraId="7FDF8EAA">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PMoH primary health care centers in all West Bank governorates (Palestine)</w:t>
            </w:r>
          </w:p>
        </w:tc>
        <w:tc>
          <w:tcPr>
            <w:tcW w:w="1134" w:type="dxa"/>
            <w:tcBorders>
              <w:top w:val="nil"/>
              <w:left w:val="nil"/>
              <w:bottom w:val="single" w:color="auto" w:sz="4" w:space="0"/>
              <w:right w:val="single" w:color="auto" w:sz="4" w:space="0"/>
            </w:tcBorders>
            <w:vAlign w:val="center"/>
          </w:tcPr>
          <w:p w14:paraId="3E710C84">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c>
          <w:tcPr>
            <w:tcW w:w="1134" w:type="dxa"/>
            <w:tcBorders>
              <w:top w:val="nil"/>
              <w:left w:val="nil"/>
              <w:bottom w:val="single" w:color="auto" w:sz="4" w:space="0"/>
              <w:right w:val="single" w:color="auto" w:sz="4" w:space="0"/>
            </w:tcBorders>
            <w:vAlign w:val="center"/>
          </w:tcPr>
          <w:p w14:paraId="11F9E811">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NA</w:t>
            </w:r>
          </w:p>
        </w:tc>
        <w:tc>
          <w:tcPr>
            <w:tcW w:w="3953" w:type="dxa"/>
            <w:tcBorders>
              <w:top w:val="nil"/>
              <w:left w:val="nil"/>
              <w:bottom w:val="single" w:color="auto" w:sz="4" w:space="0"/>
              <w:right w:val="single" w:color="auto" w:sz="4" w:space="0"/>
            </w:tcBorders>
            <w:vAlign w:val="center"/>
          </w:tcPr>
          <w:p w14:paraId="3B488BEC">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Directorates categories; Systemic steroid</w:t>
            </w:r>
            <w:r>
              <w:rPr>
                <w:rFonts w:ascii="Times New Roman" w:hAnsi="Times New Roman" w:eastAsia="等线" w:cs="Times New Roman"/>
                <w:color w:val="000000"/>
                <w:kern w:val="0"/>
                <w:sz w:val="24"/>
                <w:szCs w:val="24"/>
              </w:rPr>
              <w:br w:type="textWrapping"/>
            </w:r>
            <w:r>
              <w:rPr>
                <w:rFonts w:ascii="Times New Roman" w:hAnsi="Times New Roman" w:eastAsia="等线" w:cs="Times New Roman"/>
                <w:color w:val="000000"/>
                <w:kern w:val="0"/>
                <w:sz w:val="24"/>
                <w:szCs w:val="24"/>
              </w:rPr>
              <w:t>therapy; cholesterol levels</w:t>
            </w:r>
          </w:p>
        </w:tc>
        <w:tc>
          <w:tcPr>
            <w:tcW w:w="3502" w:type="dxa"/>
            <w:tcBorders>
              <w:top w:val="nil"/>
              <w:left w:val="nil"/>
              <w:bottom w:val="single" w:color="auto" w:sz="4" w:space="0"/>
              <w:right w:val="single" w:color="auto" w:sz="4" w:space="0"/>
            </w:tcBorders>
            <w:vAlign w:val="center"/>
          </w:tcPr>
          <w:p w14:paraId="692CBBF7">
            <w:pPr>
              <w:widowControl/>
              <w:spacing w:line="360" w:lineRule="auto"/>
              <w:jc w:val="center"/>
              <w:rPr>
                <w:rFonts w:ascii="Times New Roman" w:hAnsi="Times New Roman" w:eastAsia="等线" w:cs="Times New Roman"/>
                <w:color w:val="000000"/>
                <w:kern w:val="0"/>
                <w:sz w:val="24"/>
                <w:szCs w:val="24"/>
              </w:rPr>
            </w:pPr>
            <w:r>
              <w:rPr>
                <w:rFonts w:ascii="Times New Roman" w:hAnsi="Times New Roman" w:eastAsia="等线" w:cs="Times New Roman"/>
                <w:color w:val="000000"/>
                <w:kern w:val="0"/>
                <w:sz w:val="24"/>
                <w:szCs w:val="24"/>
              </w:rPr>
              <w:t>threatened vision (PDR, DME)</w:t>
            </w:r>
          </w:p>
        </w:tc>
      </w:tr>
    </w:tbl>
    <w:p w14:paraId="42F14C8C">
      <w:pPr>
        <w:spacing w:line="360" w:lineRule="auto"/>
        <w:ind w:right="-483" w:rightChars="-230"/>
        <w:rPr>
          <w:rFonts w:ascii="Times New Roman" w:hAnsi="Times New Roman" w:cs="Times New Roman"/>
          <w:sz w:val="24"/>
          <w:szCs w:val="24"/>
        </w:rPr>
        <w:sectPr>
          <w:type w:val="continuous"/>
          <w:pgSz w:w="16838" w:h="11906" w:orient="landscape"/>
          <w:pgMar w:top="1440" w:right="1440" w:bottom="1440" w:left="1440" w:header="851" w:footer="992" w:gutter="0"/>
          <w:cols w:space="425" w:num="1"/>
          <w:docGrid w:type="lines" w:linePitch="312" w:charSpace="0"/>
        </w:sectPr>
      </w:pPr>
    </w:p>
    <w:p w14:paraId="7E0D67EC">
      <w:pPr>
        <w:widowControl/>
        <w:spacing w:line="360" w:lineRule="auto"/>
        <w:jc w:val="left"/>
        <w:rPr>
          <w:rFonts w:ascii="Times New Roman" w:hAnsi="Times New Roman" w:cs="Times New Roman"/>
          <w:sz w:val="24"/>
          <w:szCs w:val="24"/>
        </w:rPr>
      </w:pPr>
      <w:r>
        <w:rPr>
          <w:rFonts w:ascii="Times New Roman" w:hAnsi="Times New Roman" w:cs="Times New Roman"/>
          <w:sz w:val="24"/>
          <w:szCs w:val="24"/>
        </w:rPr>
        <w:t>8-OHDG, 8-hydroxy-2′-deoxyguanosine; A2m, alpha-2-macroglobulin; ACD, anterior chamber depth; AL, axial length; ApoA1, apolipoprotein A1; ApoB, apolipoprotein B; ApoC3, apolipoprotein C3; ApoB/A1, apolipoprotein B to apolipoprotein A1 ratio; BAI, body adiposity index; baPWV, brachial–ankle pulse wave velocity; BMI, body mass index; BUN, blood urea nitrogen; Ca, calcium; CA125, cancer antigen 125; CFB, complement factor B; CFH, complement factor H; COL5A1, collagen type V alpha 1 chain; Cr, creatinine; CREB5, cAMP responsive element binding protein 5; CRP, C-reactive protein; CSME, clinically significant macular edema; CSMO, clinically significant macular oedema; DBP, diastolic blood pressure; DME, diabetic macular edema; F2, prothrombin; FABP4, fatty acid-binding protein 4; FBG, fasting blood glucose; FGF21, fibroblast growth factor 21; HbA1c, glycated hemoglobin; HDL, high-density lipoprotein; Hs-CRP, high-sensitivity C-reactive protein; IGSF21-KLHDC7A, immunoglobulin superfamily member 21–kelch domain containing 7A; LDL, low-density lipoprotein; Lp(a), lipoprotein(a); Lp-PLA2, lipoprotein-associated phospholipase A2; LRG-1, leucine-rich alpha-2-glycoprotein 1; MBL, mannose-binding lectin; MetS, metabolic syndrome; NA, not available; NPDR, non-proliferative diabetic retinopathy; PBG, postprandial blood glucose; PDR, proliferative diabetic retinopathy; PMoH, Palestinian Ministry of Health; SBP, systolic blood pressure; Serpin A4, serpin family A member 4; SA, South Asian; STDR, sight-threatening diabetic retinopathy; STR, sight-threatening retinopathy; TyG, triglyceride–glucose index; UACR, urinary albumin-to-creatinine ratio; VDD, vitamin D deficiency; VEGF, vascular endothelial growth factor; WH, White; WHR, waist-to-hip ratio; WHtR, waist-to-height ratio.</w:t>
      </w:r>
    </w:p>
    <w:sectPr>
      <w:type w:val="continuous"/>
      <w:pgSz w:w="11906" w:h="16838"/>
      <w:pgMar w:top="1440" w:right="1440" w:bottom="144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5wzf2ttx0r0tkewze9vs2x0tedafrp05tvx&quot;&gt;近一年新文献&lt;record-ids&gt;&lt;item&gt;154&lt;/item&gt;&lt;item&gt;1201&lt;/item&gt;&lt;item&gt;1202&lt;/item&gt;&lt;item&gt;1729&lt;/item&gt;&lt;item&gt;1763&lt;/item&gt;&lt;item&gt;1878&lt;/item&gt;&lt;/record-ids&gt;&lt;/item&gt;&lt;/Libraries&gt;"/>
  </w:docVars>
  <w:rsids>
    <w:rsidRoot w:val="00691CE4"/>
    <w:rsid w:val="00021CB1"/>
    <w:rsid w:val="00025864"/>
    <w:rsid w:val="000360FE"/>
    <w:rsid w:val="00056A36"/>
    <w:rsid w:val="000572A1"/>
    <w:rsid w:val="000670E5"/>
    <w:rsid w:val="000826FB"/>
    <w:rsid w:val="000B46A7"/>
    <w:rsid w:val="000D61CF"/>
    <w:rsid w:val="000D692C"/>
    <w:rsid w:val="00124787"/>
    <w:rsid w:val="001417DF"/>
    <w:rsid w:val="001567DA"/>
    <w:rsid w:val="0018015A"/>
    <w:rsid w:val="00193393"/>
    <w:rsid w:val="00196B35"/>
    <w:rsid w:val="001A13C9"/>
    <w:rsid w:val="001C7A8E"/>
    <w:rsid w:val="001D4C35"/>
    <w:rsid w:val="00201442"/>
    <w:rsid w:val="002412AD"/>
    <w:rsid w:val="00242B6C"/>
    <w:rsid w:val="00282166"/>
    <w:rsid w:val="00285AAA"/>
    <w:rsid w:val="002A5A0A"/>
    <w:rsid w:val="002C7652"/>
    <w:rsid w:val="002E2CC8"/>
    <w:rsid w:val="00323D4F"/>
    <w:rsid w:val="00332F45"/>
    <w:rsid w:val="00332FDD"/>
    <w:rsid w:val="003504D7"/>
    <w:rsid w:val="003661A7"/>
    <w:rsid w:val="00371738"/>
    <w:rsid w:val="003752CB"/>
    <w:rsid w:val="00377B59"/>
    <w:rsid w:val="00380FFE"/>
    <w:rsid w:val="003824E6"/>
    <w:rsid w:val="00392F7C"/>
    <w:rsid w:val="003933C1"/>
    <w:rsid w:val="00395A44"/>
    <w:rsid w:val="003C0249"/>
    <w:rsid w:val="003E316E"/>
    <w:rsid w:val="003E69B2"/>
    <w:rsid w:val="003F3742"/>
    <w:rsid w:val="003F3FEA"/>
    <w:rsid w:val="00400EC2"/>
    <w:rsid w:val="00401428"/>
    <w:rsid w:val="004237F7"/>
    <w:rsid w:val="0042530C"/>
    <w:rsid w:val="00426AD2"/>
    <w:rsid w:val="00431DC0"/>
    <w:rsid w:val="00433F8C"/>
    <w:rsid w:val="00457741"/>
    <w:rsid w:val="004729D7"/>
    <w:rsid w:val="004865EE"/>
    <w:rsid w:val="004A0861"/>
    <w:rsid w:val="004B65FC"/>
    <w:rsid w:val="004C2B87"/>
    <w:rsid w:val="004D5170"/>
    <w:rsid w:val="004D77AD"/>
    <w:rsid w:val="00513265"/>
    <w:rsid w:val="00520D7F"/>
    <w:rsid w:val="0052594F"/>
    <w:rsid w:val="00561EC7"/>
    <w:rsid w:val="00567C6F"/>
    <w:rsid w:val="00582D21"/>
    <w:rsid w:val="005956EC"/>
    <w:rsid w:val="005B744A"/>
    <w:rsid w:val="005C219A"/>
    <w:rsid w:val="005E597F"/>
    <w:rsid w:val="00605C76"/>
    <w:rsid w:val="00610DBB"/>
    <w:rsid w:val="00625B52"/>
    <w:rsid w:val="006278B4"/>
    <w:rsid w:val="006409FD"/>
    <w:rsid w:val="0064306C"/>
    <w:rsid w:val="00657177"/>
    <w:rsid w:val="00671701"/>
    <w:rsid w:val="006824A6"/>
    <w:rsid w:val="00691CE4"/>
    <w:rsid w:val="006B5925"/>
    <w:rsid w:val="006D0571"/>
    <w:rsid w:val="006D1B21"/>
    <w:rsid w:val="00735B34"/>
    <w:rsid w:val="0074397F"/>
    <w:rsid w:val="007877B8"/>
    <w:rsid w:val="007A638B"/>
    <w:rsid w:val="007B372D"/>
    <w:rsid w:val="00802CD8"/>
    <w:rsid w:val="00806DB0"/>
    <w:rsid w:val="00826AF3"/>
    <w:rsid w:val="00826E13"/>
    <w:rsid w:val="00832246"/>
    <w:rsid w:val="008324D2"/>
    <w:rsid w:val="00833B61"/>
    <w:rsid w:val="00853441"/>
    <w:rsid w:val="00876076"/>
    <w:rsid w:val="00876B00"/>
    <w:rsid w:val="0088047C"/>
    <w:rsid w:val="00885183"/>
    <w:rsid w:val="008A59FC"/>
    <w:rsid w:val="008B0BBD"/>
    <w:rsid w:val="008B16D4"/>
    <w:rsid w:val="008C2346"/>
    <w:rsid w:val="008D0A5A"/>
    <w:rsid w:val="008D38BC"/>
    <w:rsid w:val="00901584"/>
    <w:rsid w:val="0091621B"/>
    <w:rsid w:val="00930FA6"/>
    <w:rsid w:val="00945B76"/>
    <w:rsid w:val="00981F18"/>
    <w:rsid w:val="009932BD"/>
    <w:rsid w:val="009A4963"/>
    <w:rsid w:val="009A79BE"/>
    <w:rsid w:val="009C6C67"/>
    <w:rsid w:val="009E11A5"/>
    <w:rsid w:val="009E2977"/>
    <w:rsid w:val="009E6B74"/>
    <w:rsid w:val="009F1A1D"/>
    <w:rsid w:val="009F6D02"/>
    <w:rsid w:val="00A26FA7"/>
    <w:rsid w:val="00A27191"/>
    <w:rsid w:val="00A424FA"/>
    <w:rsid w:val="00A5524C"/>
    <w:rsid w:val="00A731A5"/>
    <w:rsid w:val="00A827DA"/>
    <w:rsid w:val="00A96112"/>
    <w:rsid w:val="00AB18A9"/>
    <w:rsid w:val="00AC31F6"/>
    <w:rsid w:val="00AC5C63"/>
    <w:rsid w:val="00AD4E14"/>
    <w:rsid w:val="00AD7F81"/>
    <w:rsid w:val="00AE233F"/>
    <w:rsid w:val="00AF464A"/>
    <w:rsid w:val="00B0486E"/>
    <w:rsid w:val="00B075EC"/>
    <w:rsid w:val="00B078E8"/>
    <w:rsid w:val="00B34F6B"/>
    <w:rsid w:val="00B43089"/>
    <w:rsid w:val="00B44AF0"/>
    <w:rsid w:val="00B64650"/>
    <w:rsid w:val="00B65F7A"/>
    <w:rsid w:val="00BB0B19"/>
    <w:rsid w:val="00BE16EB"/>
    <w:rsid w:val="00BE7294"/>
    <w:rsid w:val="00C22E2D"/>
    <w:rsid w:val="00C2798E"/>
    <w:rsid w:val="00C74309"/>
    <w:rsid w:val="00C8211D"/>
    <w:rsid w:val="00C87D33"/>
    <w:rsid w:val="00C915C0"/>
    <w:rsid w:val="00C97709"/>
    <w:rsid w:val="00CB5261"/>
    <w:rsid w:val="00CC05AC"/>
    <w:rsid w:val="00D0248C"/>
    <w:rsid w:val="00D0252A"/>
    <w:rsid w:val="00D055D9"/>
    <w:rsid w:val="00D1025B"/>
    <w:rsid w:val="00D105A7"/>
    <w:rsid w:val="00D352EC"/>
    <w:rsid w:val="00D52024"/>
    <w:rsid w:val="00D63896"/>
    <w:rsid w:val="00D64067"/>
    <w:rsid w:val="00D709EC"/>
    <w:rsid w:val="00D86098"/>
    <w:rsid w:val="00D958C6"/>
    <w:rsid w:val="00DD41B7"/>
    <w:rsid w:val="00DE2728"/>
    <w:rsid w:val="00DE7422"/>
    <w:rsid w:val="00DF7A1E"/>
    <w:rsid w:val="00E13AFC"/>
    <w:rsid w:val="00E15B05"/>
    <w:rsid w:val="00E26A7A"/>
    <w:rsid w:val="00E90208"/>
    <w:rsid w:val="00EB36EF"/>
    <w:rsid w:val="00ED2375"/>
    <w:rsid w:val="00ED4524"/>
    <w:rsid w:val="00ED6AF3"/>
    <w:rsid w:val="00F15CFD"/>
    <w:rsid w:val="00F252D9"/>
    <w:rsid w:val="00F31FFE"/>
    <w:rsid w:val="00F66E82"/>
    <w:rsid w:val="00F916C7"/>
    <w:rsid w:val="00F95EEC"/>
    <w:rsid w:val="00FA111F"/>
    <w:rsid w:val="00FC16FC"/>
    <w:rsid w:val="00FE4DE9"/>
    <w:rsid w:val="00FF6FD9"/>
    <w:rsid w:val="5ABB6FAA"/>
    <w:rsid w:val="602243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uiPriority w:val="99"/>
    <w:pPr>
      <w:widowControl/>
      <w:jc w:val="left"/>
    </w:pPr>
    <w:rPr>
      <w:rFonts w:ascii="Arial" w:hAnsi="Arial" w:eastAsia="宋体" w:cs="Arial"/>
      <w:kern w:val="0"/>
      <w:sz w:val="20"/>
      <w:szCs w:val="20"/>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4"/>
    <w:qFormat/>
    <w:uiPriority w:val="99"/>
    <w:rPr>
      <w:sz w:val="18"/>
      <w:szCs w:val="18"/>
    </w:rPr>
  </w:style>
  <w:style w:type="character" w:customStyle="1" w:styleId="10">
    <w:name w:val="页脚 字符"/>
    <w:basedOn w:val="8"/>
    <w:link w:val="3"/>
    <w:uiPriority w:val="99"/>
    <w:rPr>
      <w:sz w:val="18"/>
      <w:szCs w:val="18"/>
    </w:rPr>
  </w:style>
  <w:style w:type="character" w:customStyle="1" w:styleId="11">
    <w:name w:val="标题 1 字符"/>
    <w:basedOn w:val="8"/>
    <w:link w:val="2"/>
    <w:qFormat/>
    <w:uiPriority w:val="9"/>
    <w:rPr>
      <w:b/>
      <w:bCs/>
      <w:kern w:val="44"/>
      <w:sz w:val="44"/>
      <w:szCs w:val="44"/>
    </w:rPr>
  </w:style>
  <w:style w:type="paragraph" w:styleId="12">
    <w:name w:val="List Paragraph"/>
    <w:basedOn w:val="1"/>
    <w:qFormat/>
    <w:uiPriority w:val="34"/>
    <w:pPr>
      <w:ind w:firstLine="420" w:firstLineChars="200"/>
    </w:pPr>
  </w:style>
  <w:style w:type="character" w:customStyle="1" w:styleId="13">
    <w:name w:val="result"/>
    <w:basedOn w:val="8"/>
    <w:qFormat/>
    <w:uiPriority w:val="0"/>
    <w:rPr>
      <w:color w:val="000080"/>
    </w:rPr>
  </w:style>
  <w:style w:type="paragraph" w:customStyle="1" w:styleId="14">
    <w:name w:val="EndNote Bibliography Title"/>
    <w:basedOn w:val="1"/>
    <w:link w:val="15"/>
    <w:qFormat/>
    <w:uiPriority w:val="0"/>
    <w:pPr>
      <w:jc w:val="center"/>
    </w:pPr>
    <w:rPr>
      <w:rFonts w:ascii="等线" w:hAnsi="等线" w:eastAsia="等线"/>
      <w:sz w:val="20"/>
    </w:rPr>
  </w:style>
  <w:style w:type="character" w:customStyle="1" w:styleId="15">
    <w:name w:val="EndNote Bibliography Title 字符"/>
    <w:basedOn w:val="8"/>
    <w:link w:val="14"/>
    <w:qFormat/>
    <w:uiPriority w:val="0"/>
    <w:rPr>
      <w:rFonts w:ascii="等线" w:hAnsi="等线" w:eastAsia="等线"/>
      <w:sz w:val="20"/>
    </w:rPr>
  </w:style>
  <w:style w:type="paragraph" w:customStyle="1" w:styleId="16">
    <w:name w:val="EndNote Bibliography"/>
    <w:basedOn w:val="1"/>
    <w:link w:val="17"/>
    <w:qFormat/>
    <w:uiPriority w:val="0"/>
    <w:rPr>
      <w:rFonts w:ascii="等线" w:hAnsi="等线" w:eastAsia="等线"/>
      <w:sz w:val="20"/>
    </w:rPr>
  </w:style>
  <w:style w:type="character" w:customStyle="1" w:styleId="17">
    <w:name w:val="EndNote Bibliography 字符"/>
    <w:basedOn w:val="8"/>
    <w:link w:val="16"/>
    <w:qFormat/>
    <w:uiPriority w:val="0"/>
    <w:rPr>
      <w:rFonts w:ascii="等线" w:hAnsi="等线" w:eastAsia="等线"/>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5F8F8-5BBC-4A78-9476-4EF027252CA9}">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2473</Words>
  <Characters>15829</Characters>
  <Lines>184</Lines>
  <Paragraphs>52</Paragraphs>
  <TotalTime>3</TotalTime>
  <ScaleCrop>false</ScaleCrop>
  <LinksUpToDate>false</LinksUpToDate>
  <CharactersWithSpaces>17861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2026-08-07T15:54:00Z</dcterms:created>
  <dc:creator>Administrator</dc:creator>
  <cp:lastModifiedBy>Dong</cp:lastModifiedBy>
  <dcterms:modified xsi:type="dcterms:W3CDTF">2026-08-31T02:08:02Z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eyJoZGlkIjoiNTRmYjc2Yzk3YzdiYjdhOTIwMjcxMmZmZDkyYzg1NjEiLCJ1c2VySWQiOiI0MTIxMDk1MTgifQ==</vt:lpwstr>
  </property>
  <property fmtid="{D5CDD505-2E9C-101B-9397-08002B2CF9AE}" pid="3" name="KSOProductBuildVer">
    <vt:lpwstr>2052-12.1.0.28043</vt:lpwstr>
  </property>
  <property fmtid="{D5CDD505-2E9C-101B-9397-08002B2CF9AE}" pid="4" name="ICV">
    <vt:lpwstr>48FFF4D84BF3474588B6D2785590DF06_12</vt:lpwstr>
  </property>
</Properties>
</file>