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92BC9">
      <w:pPr>
        <w:pStyle w:val="28"/>
        <w:spacing w:before="81" w:after="163"/>
      </w:pPr>
      <w:r>
        <w:rPr>
          <w:rFonts w:hint="eastAsia"/>
          <w:b/>
          <w:bCs/>
        </w:rPr>
        <w:t>Tab. A</w:t>
      </w:r>
      <w:r>
        <w:rPr>
          <w:rFonts w:hint="eastAsia"/>
        </w:rPr>
        <w:t>.</w:t>
      </w:r>
      <w:r>
        <w:rPr>
          <w:rFonts w:hint="eastAsia"/>
          <w:b/>
          <w:bCs/>
        </w:rPr>
        <w:t>2</w:t>
      </w:r>
      <w:r>
        <w:rPr>
          <w:rFonts w:hint="eastAsia"/>
        </w:rPr>
        <w:t xml:space="preserve"> Principal component </w:t>
      </w:r>
      <w:r>
        <w:t>e</w:t>
      </w:r>
      <w:r>
        <w:rPr>
          <w:rFonts w:hint="eastAsia"/>
        </w:rPr>
        <w:t xml:space="preserve">igenvalues and </w:t>
      </w:r>
      <w:r>
        <w:t>c</w:t>
      </w:r>
      <w:r>
        <w:rPr>
          <w:rFonts w:hint="eastAsia"/>
        </w:rPr>
        <w:t xml:space="preserve">ontribution </w:t>
      </w:r>
      <w:r>
        <w:t>r</w:t>
      </w:r>
      <w:r>
        <w:rPr>
          <w:rFonts w:hint="eastAsia"/>
        </w:rPr>
        <w:t>ates</w:t>
      </w:r>
    </w:p>
    <w:tbl>
      <w:tblPr>
        <w:tblStyle w:val="27"/>
        <w:tblW w:w="875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255"/>
        <w:gridCol w:w="2255"/>
        <w:gridCol w:w="2255"/>
      </w:tblGrid>
      <w:tr w14:paraId="2D0D6D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4531862D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Principal component</w:t>
            </w:r>
          </w:p>
        </w:tc>
        <w:tc>
          <w:tcPr>
            <w:tcW w:w="2255" w:type="dxa"/>
            <w:tcBorders>
              <w:top w:val="single" w:color="auto" w:sz="4" w:space="0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7F5431E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haracteristic value</w:t>
            </w:r>
          </w:p>
        </w:tc>
        <w:tc>
          <w:tcPr>
            <w:tcW w:w="2255" w:type="dxa"/>
            <w:tcBorders>
              <w:top w:val="single" w:color="auto" w:sz="4" w:space="0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371C966A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Variance contribution</w:t>
            </w:r>
          </w:p>
          <w:p w14:paraId="5EC3230B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Rate (%)</w:t>
            </w:r>
          </w:p>
        </w:tc>
        <w:tc>
          <w:tcPr>
            <w:tcW w:w="2255" w:type="dxa"/>
            <w:tcBorders>
              <w:top w:val="single" w:color="auto" w:sz="4" w:space="0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7F244238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ascii="Times New Roman" w:hAnsi="Times New Roman" w:eastAsia="宋体"/>
                <w:b w:val="0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sz w:val="21"/>
                <w:szCs w:val="21"/>
              </w:rPr>
              <w:t>Cumulative contribution rate (%)</w:t>
            </w:r>
          </w:p>
        </w:tc>
      </w:tr>
      <w:tr w14:paraId="0638DD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85" w:type="dxa"/>
            <w:tcBorders>
              <w:top w:val="single" w:color="auto" w:sz="4" w:space="0"/>
              <w:bottom w:val="nil"/>
            </w:tcBorders>
            <w:vAlign w:val="center"/>
          </w:tcPr>
          <w:p w14:paraId="7738786D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2255" w:type="dxa"/>
            <w:tcBorders>
              <w:top w:val="single" w:color="auto" w:sz="4" w:space="0"/>
              <w:bottom w:val="nil"/>
            </w:tcBorders>
            <w:vAlign w:val="center"/>
          </w:tcPr>
          <w:p w14:paraId="4C70DC57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4.943</w:t>
            </w:r>
          </w:p>
        </w:tc>
        <w:tc>
          <w:tcPr>
            <w:tcW w:w="2255" w:type="dxa"/>
            <w:tcBorders>
              <w:top w:val="single" w:color="auto" w:sz="4" w:space="0"/>
              <w:bottom w:val="nil"/>
            </w:tcBorders>
            <w:vAlign w:val="center"/>
          </w:tcPr>
          <w:p w14:paraId="20C1E16E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27.46</w:t>
            </w:r>
          </w:p>
        </w:tc>
        <w:tc>
          <w:tcPr>
            <w:tcW w:w="2255" w:type="dxa"/>
            <w:tcBorders>
              <w:top w:val="single" w:color="auto" w:sz="4" w:space="0"/>
              <w:bottom w:val="nil"/>
            </w:tcBorders>
            <w:vAlign w:val="center"/>
          </w:tcPr>
          <w:p w14:paraId="48F1FB0C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27.46</w:t>
            </w:r>
          </w:p>
        </w:tc>
      </w:tr>
      <w:tr w14:paraId="328C7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4E88897D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2255" w:type="dxa"/>
            <w:tcBorders>
              <w:top w:val="nil"/>
              <w:bottom w:val="nil"/>
            </w:tcBorders>
            <w:vAlign w:val="center"/>
          </w:tcPr>
          <w:p w14:paraId="670F7153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2.987</w:t>
            </w:r>
          </w:p>
        </w:tc>
        <w:tc>
          <w:tcPr>
            <w:tcW w:w="2255" w:type="dxa"/>
            <w:tcBorders>
              <w:top w:val="nil"/>
              <w:bottom w:val="nil"/>
            </w:tcBorders>
            <w:vAlign w:val="center"/>
          </w:tcPr>
          <w:p w14:paraId="567B7317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16.60</w:t>
            </w:r>
          </w:p>
        </w:tc>
        <w:tc>
          <w:tcPr>
            <w:tcW w:w="2255" w:type="dxa"/>
            <w:tcBorders>
              <w:top w:val="nil"/>
              <w:bottom w:val="nil"/>
              <w:right w:val="nil"/>
            </w:tcBorders>
            <w:vAlign w:val="center"/>
          </w:tcPr>
          <w:p w14:paraId="58FB0F72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44.06</w:t>
            </w:r>
          </w:p>
        </w:tc>
      </w:tr>
      <w:tr w14:paraId="22DD0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52AFDA99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2255" w:type="dxa"/>
            <w:tcBorders>
              <w:top w:val="nil"/>
            </w:tcBorders>
            <w:vAlign w:val="center"/>
          </w:tcPr>
          <w:p w14:paraId="3F620170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1.863</w:t>
            </w:r>
          </w:p>
        </w:tc>
        <w:tc>
          <w:tcPr>
            <w:tcW w:w="2255" w:type="dxa"/>
            <w:tcBorders>
              <w:top w:val="nil"/>
            </w:tcBorders>
            <w:vAlign w:val="center"/>
          </w:tcPr>
          <w:p w14:paraId="2DDE0812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10.35</w:t>
            </w:r>
          </w:p>
        </w:tc>
        <w:tc>
          <w:tcPr>
            <w:tcW w:w="2255" w:type="dxa"/>
            <w:tcBorders>
              <w:top w:val="nil"/>
            </w:tcBorders>
            <w:vAlign w:val="center"/>
          </w:tcPr>
          <w:p w14:paraId="39E860F9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54.41</w:t>
            </w:r>
          </w:p>
        </w:tc>
      </w:tr>
      <w:tr w14:paraId="6E7BCD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85" w:type="dxa"/>
            <w:vAlign w:val="center"/>
          </w:tcPr>
          <w:p w14:paraId="1365685B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2255" w:type="dxa"/>
            <w:vAlign w:val="center"/>
          </w:tcPr>
          <w:p w14:paraId="346124FB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1.609</w:t>
            </w:r>
          </w:p>
        </w:tc>
        <w:tc>
          <w:tcPr>
            <w:tcW w:w="2255" w:type="dxa"/>
            <w:vAlign w:val="center"/>
          </w:tcPr>
          <w:p w14:paraId="0DD47453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8.94</w:t>
            </w:r>
          </w:p>
        </w:tc>
        <w:tc>
          <w:tcPr>
            <w:tcW w:w="2255" w:type="dxa"/>
            <w:vAlign w:val="center"/>
          </w:tcPr>
          <w:p w14:paraId="2A7F3E0A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63.35</w:t>
            </w:r>
          </w:p>
        </w:tc>
      </w:tr>
      <w:tr w14:paraId="380513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85" w:type="dxa"/>
            <w:vAlign w:val="center"/>
          </w:tcPr>
          <w:p w14:paraId="1E8FB548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2255" w:type="dxa"/>
            <w:vAlign w:val="center"/>
          </w:tcPr>
          <w:p w14:paraId="0A2A4FDE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1.384</w:t>
            </w:r>
          </w:p>
        </w:tc>
        <w:tc>
          <w:tcPr>
            <w:tcW w:w="2255" w:type="dxa"/>
            <w:vAlign w:val="center"/>
          </w:tcPr>
          <w:p w14:paraId="1446C0C8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7.69</w:t>
            </w:r>
          </w:p>
        </w:tc>
        <w:tc>
          <w:tcPr>
            <w:tcW w:w="2255" w:type="dxa"/>
            <w:vAlign w:val="center"/>
          </w:tcPr>
          <w:p w14:paraId="795E76EB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71.04</w:t>
            </w:r>
          </w:p>
        </w:tc>
      </w:tr>
      <w:tr w14:paraId="4C7EF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14:paraId="35C61DFA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2255" w:type="dxa"/>
            <w:tcBorders>
              <w:bottom w:val="single" w:color="auto" w:sz="4" w:space="0"/>
            </w:tcBorders>
            <w:vAlign w:val="center"/>
          </w:tcPr>
          <w:p w14:paraId="0C78C535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1.108</w:t>
            </w:r>
          </w:p>
        </w:tc>
        <w:tc>
          <w:tcPr>
            <w:tcW w:w="2255" w:type="dxa"/>
            <w:tcBorders>
              <w:bottom w:val="single" w:color="auto" w:sz="4" w:space="0"/>
            </w:tcBorders>
            <w:vAlign w:val="center"/>
          </w:tcPr>
          <w:p w14:paraId="10323D60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6.16</w:t>
            </w:r>
          </w:p>
        </w:tc>
        <w:tc>
          <w:tcPr>
            <w:tcW w:w="2255" w:type="dxa"/>
            <w:tcBorders>
              <w:bottom w:val="single" w:color="auto" w:sz="4" w:space="0"/>
            </w:tcBorders>
            <w:vAlign w:val="center"/>
          </w:tcPr>
          <w:p w14:paraId="72694B69">
            <w:pPr>
              <w:keepNext w:val="0"/>
              <w:keepLines w:val="0"/>
              <w:widowControl/>
              <w:suppressLineNumbers w:val="0"/>
              <w:wordWrap/>
              <w:spacing w:before="81" w:beforeLines="25" w:beforeAutospacing="0" w:after="163" w:afterLines="5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77.20</w:t>
            </w:r>
          </w:p>
        </w:tc>
      </w:tr>
    </w:tbl>
    <w:p w14:paraId="3EAB5503">
      <w:pPr>
        <w:rPr>
          <w:rFonts w:cs="Times New Roman"/>
        </w:rPr>
      </w:pPr>
    </w:p>
    <w:p w14:paraId="375CDF26">
      <w:pPr>
        <w:pStyle w:val="6"/>
        <w:spacing w:before="81" w:beforeLines="25"/>
        <w:jc w:val="left"/>
        <w:rPr>
          <w:rFonts w:hint="eastAsia" w:ascii="Times New Roman" w:hAnsi="Times New Roman" w:cs="Times New Roman"/>
          <w:b/>
          <w:bCs/>
          <w:sz w:val="21"/>
          <w:szCs w:val="21"/>
        </w:rPr>
      </w:pPr>
    </w:p>
    <w:p w14:paraId="0AB263CD">
      <w:pPr>
        <w:pStyle w:val="6"/>
        <w:spacing w:before="81" w:beforeLines="25"/>
        <w:jc w:val="left"/>
        <w:rPr>
          <w:rFonts w:hint="eastAsia" w:ascii="Times New Roman" w:hAnsi="Times New Roman" w:cs="Times New Roman"/>
          <w:b/>
          <w:bCs/>
          <w:sz w:val="21"/>
          <w:szCs w:val="21"/>
        </w:rPr>
      </w:pPr>
    </w:p>
    <w:p w14:paraId="725A2FD8">
      <w:pPr>
        <w:pStyle w:val="6"/>
        <w:spacing w:before="81" w:beforeLines="25"/>
        <w:jc w:val="left"/>
        <w:rPr>
          <w:rFonts w:hint="eastAsia" w:ascii="Times New Roman" w:hAnsi="Times New Roman" w:cs="Times New Roman"/>
          <w:b/>
          <w:bCs/>
          <w:sz w:val="21"/>
          <w:szCs w:val="21"/>
        </w:rPr>
      </w:pPr>
    </w:p>
    <w:p w14:paraId="22AA35CE">
      <w:pPr>
        <w:pStyle w:val="6"/>
        <w:spacing w:before="81" w:beforeLines="25"/>
        <w:jc w:val="left"/>
        <w:rPr>
          <w:rFonts w:hint="eastAsia" w:ascii="Times New Roman" w:hAnsi="Times New Roman" w:cs="Times New Roman"/>
          <w:b/>
          <w:bCs/>
          <w:sz w:val="21"/>
          <w:szCs w:val="21"/>
        </w:rPr>
      </w:pPr>
    </w:p>
    <w:p w14:paraId="7FF11621">
      <w:pPr>
        <w:rPr>
          <w:rFonts w:hint="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3AD1043B"/>
    <w:rsid w:val="42BB21C4"/>
    <w:rsid w:val="477E06B3"/>
    <w:rsid w:val="4D2E1FA3"/>
    <w:rsid w:val="68D14D5C"/>
    <w:rsid w:val="75E46D5F"/>
    <w:rsid w:val="79D1044B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qFormat/>
    <w:uiPriority w:val="0"/>
    <w:pPr>
      <w:jc w:val="left"/>
    </w:pPr>
  </w:style>
  <w:style w:type="paragraph" w:styleId="8">
    <w:name w:val="Body Text"/>
    <w:basedOn w:val="1"/>
    <w:link w:val="43"/>
    <w:qFormat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qFormat/>
    <w:uiPriority w:val="0"/>
    <w:pPr>
      <w:snapToGrid w:val="0"/>
      <w:jc w:val="left"/>
    </w:pPr>
  </w:style>
  <w:style w:type="paragraph" w:styleId="10">
    <w:name w:val="Balloon Text"/>
    <w:basedOn w:val="1"/>
    <w:link w:val="40"/>
    <w:qFormat/>
    <w:uiPriority w:val="0"/>
    <w:rPr>
      <w:sz w:val="18"/>
    </w:rPr>
  </w:style>
  <w:style w:type="paragraph" w:styleId="11">
    <w:name w:val="footer"/>
    <w:basedOn w:val="1"/>
    <w:link w:val="3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qFormat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qFormat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uiPriority w:val="0"/>
    <w:rPr>
      <w:vertAlign w:val="superscript"/>
    </w:rPr>
  </w:style>
  <w:style w:type="character" w:styleId="20">
    <w:name w:val="FollowedHyperlink"/>
    <w:basedOn w:val="17"/>
    <w:qFormat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qFormat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uiPriority w:val="0"/>
    <w:rPr>
      <w:color w:val="808080"/>
    </w:rPr>
  </w:style>
  <w:style w:type="character" w:customStyle="1" w:styleId="38">
    <w:name w:val="页眉 字符"/>
    <w:basedOn w:val="17"/>
    <w:link w:val="12"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qFormat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qFormat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qFormat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qFormat/>
    <w:uiPriority w:val="0"/>
  </w:style>
  <w:style w:type="character" w:customStyle="1" w:styleId="47">
    <w:name w:val="EndNote Bibliography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qFormat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