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E63B05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OLE_LINK4"/>
      <w:bookmarkStart w:id="1" w:name="OLE_LINK6"/>
      <w:r>
        <w:rPr>
          <w:rFonts w:ascii="Times New Roman" w:hAnsi="Times New Roman" w:cs="Times New Roman"/>
          <w:b/>
          <w:bCs/>
          <w:sz w:val="24"/>
          <w:szCs w:val="24"/>
        </w:rPr>
        <w:t>Supplementa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ry table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5</w:t>
      </w:r>
      <w:bookmarkStart w:id="12" w:name="_GoBack"/>
      <w:bookmarkEnd w:id="12"/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: </w:t>
      </w:r>
      <w:bookmarkEnd w:id="0"/>
      <w:bookmarkStart w:id="2" w:name="OLE_LINK10"/>
      <w:bookmarkStart w:id="3" w:name="OLE_LINK5"/>
      <w:r>
        <w:rPr>
          <w:rFonts w:hint="eastAsia" w:ascii="Times New Roman" w:hAnsi="Times New Roman" w:cs="Times New Roman"/>
          <w:b/>
          <w:bCs/>
          <w:sz w:val="24"/>
          <w:szCs w:val="24"/>
        </w:rPr>
        <w:t>Reported levels of platelet activation-associated indicators in MCT-induced pulmonary arterial hypertension rat models</w:t>
      </w:r>
      <w:bookmarkEnd w:id="2"/>
      <w:r>
        <w:rPr>
          <w:rFonts w:hint="eastAsia" w:ascii="Times New Roman" w:hAnsi="Times New Roman" w:cs="Times New Roman"/>
          <w:b/>
          <w:bCs/>
          <w:sz w:val="24"/>
          <w:szCs w:val="24"/>
        </w:rPr>
        <w:t>.</w:t>
      </w:r>
      <w:bookmarkEnd w:id="1"/>
      <w:bookmarkEnd w:id="3"/>
    </w:p>
    <w:tbl>
      <w:tblPr>
        <w:tblStyle w:val="16"/>
        <w:tblW w:w="13153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5"/>
        <w:gridCol w:w="1474"/>
        <w:gridCol w:w="1304"/>
        <w:gridCol w:w="1531"/>
        <w:gridCol w:w="1531"/>
        <w:gridCol w:w="1304"/>
        <w:gridCol w:w="1474"/>
      </w:tblGrid>
      <w:tr w14:paraId="4AA45D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tblHeader/>
          <w:jc w:val="center"/>
        </w:trPr>
        <w:tc>
          <w:tcPr>
            <w:tcW w:w="4535" w:type="dxa"/>
            <w:tcBorders>
              <w:bottom w:val="single" w:color="auto" w:sz="8" w:space="0"/>
            </w:tcBorders>
            <w:noWrap/>
            <w:vAlign w:val="center"/>
          </w:tcPr>
          <w:p w14:paraId="75F57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ndicators</w:t>
            </w:r>
          </w:p>
        </w:tc>
        <w:tc>
          <w:tcPr>
            <w:tcW w:w="1474" w:type="dxa"/>
            <w:tcBorders>
              <w:bottom w:val="single" w:color="auto" w:sz="8" w:space="0"/>
            </w:tcBorders>
            <w:noWrap/>
            <w:vAlign w:val="center"/>
          </w:tcPr>
          <w:p w14:paraId="1DC58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ontrol</w:t>
            </w:r>
          </w:p>
          <w:p w14:paraId="3DFEA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OLE_LINK7"/>
            <w:r>
              <w:rPr>
                <w:rFonts w:hint="eastAsia" w:ascii="Times New Roman" w:hAnsi="Times New Roman" w:cs="Times New Roman"/>
                <w:sz w:val="24"/>
                <w:szCs w:val="24"/>
              </w:rPr>
              <w:t>group</w:t>
            </w:r>
            <w:bookmarkEnd w:id="4"/>
          </w:p>
        </w:tc>
        <w:tc>
          <w:tcPr>
            <w:tcW w:w="1304" w:type="dxa"/>
            <w:tcBorders>
              <w:bottom w:val="single" w:color="auto" w:sz="8" w:space="0"/>
            </w:tcBorders>
            <w:noWrap/>
            <w:vAlign w:val="center"/>
          </w:tcPr>
          <w:p w14:paraId="52958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 week</w:t>
            </w:r>
          </w:p>
          <w:p w14:paraId="215EF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</w:t>
            </w:r>
          </w:p>
        </w:tc>
        <w:tc>
          <w:tcPr>
            <w:tcW w:w="1531" w:type="dxa"/>
            <w:tcBorders>
              <w:bottom w:val="single" w:color="auto" w:sz="8" w:space="0"/>
            </w:tcBorders>
            <w:noWrap/>
            <w:vAlign w:val="center"/>
          </w:tcPr>
          <w:p w14:paraId="47791F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 week</w:t>
            </w:r>
          </w:p>
          <w:p w14:paraId="53EE6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</w:t>
            </w:r>
          </w:p>
        </w:tc>
        <w:tc>
          <w:tcPr>
            <w:tcW w:w="1531" w:type="dxa"/>
            <w:tcBorders>
              <w:bottom w:val="single" w:color="auto" w:sz="8" w:space="0"/>
            </w:tcBorders>
            <w:noWrap/>
            <w:vAlign w:val="center"/>
          </w:tcPr>
          <w:p w14:paraId="45BA48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 week</w:t>
            </w:r>
          </w:p>
          <w:p w14:paraId="7D043B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04" w:type="dxa"/>
            <w:tcBorders>
              <w:bottom w:val="single" w:color="auto" w:sz="8" w:space="0"/>
            </w:tcBorders>
            <w:vAlign w:val="center"/>
          </w:tcPr>
          <w:p w14:paraId="59812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 week</w:t>
            </w:r>
          </w:p>
          <w:p w14:paraId="26634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</w:t>
            </w:r>
          </w:p>
        </w:tc>
        <w:tc>
          <w:tcPr>
            <w:tcW w:w="1474" w:type="dxa"/>
            <w:tcBorders>
              <w:bottom w:val="single" w:color="auto" w:sz="8" w:space="0"/>
            </w:tcBorders>
            <w:noWrap/>
            <w:vAlign w:val="center"/>
          </w:tcPr>
          <w:p w14:paraId="48E9C1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14:paraId="2933F42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4535" w:type="dxa"/>
            <w:noWrap/>
            <w:vAlign w:val="center"/>
          </w:tcPr>
          <w:p w14:paraId="72D6C7B1">
            <w:pPr>
              <w:spacing w:before="156" w:beforeLines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equestered platelets in pulmonary alveolar capillaries (</w:t>
            </w:r>
            <w:bookmarkStart w:id="5" w:name="OLE_LINK8"/>
            <w:r>
              <w:rPr>
                <w:rFonts w:hint="eastAsia" w:ascii="Times New Roman" w:hAnsi="Times New Roman" w:cs="Times New Roman"/>
                <w:sz w:val="24"/>
                <w:szCs w:val="24"/>
              </w:rPr>
              <w:t>mean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SD</w:t>
            </w:r>
            <w:bookmarkEnd w:id="5"/>
            <w:r>
              <w:rPr>
                <w:rFonts w:hint="eastAsia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74" w:type="dxa"/>
            <w:noWrap/>
            <w:vAlign w:val="center"/>
          </w:tcPr>
          <w:p w14:paraId="34B7B70E">
            <w:pPr>
              <w:spacing w:before="156" w:beforeLines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0.1</w:t>
            </w:r>
            <w:bookmarkStart w:id="6" w:name="OLE_LINK2"/>
            <w:r>
              <w:rPr>
                <w:rFonts w:hint="eastAsia" w:ascii="Times New Roman" w:hAnsi="Times New Roman" w:cs="Times New Roman"/>
                <w:sz w:val="24"/>
                <w:szCs w:val="24"/>
              </w:rPr>
              <w:t>±</w:t>
            </w:r>
            <w:bookmarkEnd w:id="6"/>
            <w:r>
              <w:rPr>
                <w:rFonts w:hint="eastAsia"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304" w:type="dxa"/>
            <w:noWrap/>
            <w:vAlign w:val="center"/>
          </w:tcPr>
          <w:p w14:paraId="06F66157">
            <w:pPr>
              <w:spacing w:before="156" w:beforeLines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531" w:type="dxa"/>
            <w:noWrap/>
            <w:vAlign w:val="center"/>
          </w:tcPr>
          <w:p w14:paraId="3501047F">
            <w:pPr>
              <w:spacing w:before="156" w:beforeLines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3.3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531" w:type="dxa"/>
            <w:noWrap/>
            <w:vAlign w:val="center"/>
          </w:tcPr>
          <w:p w14:paraId="03165754">
            <w:pPr>
              <w:spacing w:before="156" w:beforeLines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OLE_LINK1"/>
            <w:r>
              <w:rPr>
                <w:rFonts w:hint="eastAsia" w:ascii="Times New Roman" w:hAnsi="Times New Roman" w:cs="Times New Roman"/>
                <w:sz w:val="24"/>
                <w:szCs w:val="24"/>
              </w:rPr>
              <w:t>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0.8</w:t>
            </w:r>
            <w:bookmarkEnd w:id="7"/>
          </w:p>
        </w:tc>
        <w:tc>
          <w:tcPr>
            <w:tcW w:w="1304" w:type="dxa"/>
            <w:noWrap/>
            <w:vAlign w:val="center"/>
          </w:tcPr>
          <w:p w14:paraId="0B20E72B">
            <w:pPr>
              <w:spacing w:before="156" w:beforeLines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474" w:type="dxa"/>
            <w:noWrap/>
            <w:vAlign w:val="center"/>
          </w:tcPr>
          <w:p w14:paraId="08511233">
            <w:pPr>
              <w:spacing w:before="156" w:beforeLines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Kato,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 xml:space="preserve"> et al.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PEVuZE5vdGU+PENpdGU+PEF1dGhvcj5LYXRvPC9BdXRob3I+PFllYXI+MTk5NzwvWWVhcj48UmVj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PEVuZE5vdGU+PENpdGU+PEF1dGhvcj5LYXRvPC9BdXRob3I+PFllYXI+MTk5NzwvWWVhcj48UmVj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[1]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72245F7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4535" w:type="dxa"/>
            <w:noWrap/>
            <w:vAlign w:val="center"/>
          </w:tcPr>
          <w:p w14:paraId="492956C1">
            <w:pPr>
              <w:spacing w:before="156" w:beforeLines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Fibrinogen-binding platelets</w:t>
            </w:r>
            <w:bookmarkStart w:id="8" w:name="OLE_LINK3"/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 (%, mean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SD)</w:t>
            </w:r>
            <w:bookmarkEnd w:id="8"/>
          </w:p>
        </w:tc>
        <w:tc>
          <w:tcPr>
            <w:tcW w:w="1474" w:type="dxa"/>
            <w:noWrap/>
            <w:vAlign w:val="center"/>
          </w:tcPr>
          <w:p w14:paraId="51F208F9">
            <w:pPr>
              <w:spacing w:before="156" w:beforeLines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28.09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304" w:type="dxa"/>
            <w:noWrap/>
            <w:vAlign w:val="center"/>
          </w:tcPr>
          <w:p w14:paraId="4D4F10A6">
            <w:pPr>
              <w:spacing w:before="156" w:beforeLines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OLE_LINK9"/>
            <w:r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bookmarkEnd w:id="9"/>
          </w:p>
        </w:tc>
        <w:tc>
          <w:tcPr>
            <w:tcW w:w="1531" w:type="dxa"/>
            <w:noWrap/>
            <w:vAlign w:val="center"/>
          </w:tcPr>
          <w:p w14:paraId="6D3E8220">
            <w:pPr>
              <w:spacing w:before="156" w:beforeLines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58.35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16.70</w:t>
            </w:r>
          </w:p>
        </w:tc>
        <w:tc>
          <w:tcPr>
            <w:tcW w:w="1531" w:type="dxa"/>
            <w:noWrap/>
            <w:vAlign w:val="center"/>
          </w:tcPr>
          <w:p w14:paraId="1212ECF4">
            <w:pPr>
              <w:spacing w:before="156" w:beforeLines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65.55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18.22</w:t>
            </w:r>
          </w:p>
        </w:tc>
        <w:tc>
          <w:tcPr>
            <w:tcW w:w="1304" w:type="dxa"/>
            <w:noWrap/>
            <w:vAlign w:val="center"/>
          </w:tcPr>
          <w:p w14:paraId="7B1912B2">
            <w:pPr>
              <w:spacing w:before="156" w:beforeLines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74" w:type="dxa"/>
            <w:noWrap/>
            <w:vAlign w:val="center"/>
          </w:tcPr>
          <w:p w14:paraId="0BEF3080">
            <w:pPr>
              <w:spacing w:before="156" w:beforeLines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Hu, et al.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&lt;EndNote&gt;&lt;Cite&gt;&lt;Author&gt;Hu&lt;/Author&gt;&lt;Year&gt;2010&lt;/Year&gt;&lt;RecNum&gt;496&lt;/RecNum&gt;&lt;DisplayText&gt;&lt;style face="superscript"&gt;[2]&lt;/style&gt;&lt;/DisplayText&gt;&lt;record&gt;&lt;rec-number&gt;496&lt;/rec-number&gt;&lt;foreign-keys&gt;&lt;key app="EN" db-id="v029pddpy0fazoef90oxzvtuvf2f0zzefs9w" timestamp="1767668924"&gt;496&lt;/key&gt;&lt;/foreign-keys&gt;&lt;ref-type name="Journal Article"&gt;17&lt;/ref-type&gt;&lt;contributors&gt;&lt;authors&gt;&lt;author&gt;Hu, X. S.&lt;/author&gt;&lt;author&gt;Du, C. Q.&lt;/author&gt;&lt;author&gt;Zeng, C. L.&lt;/author&gt;&lt;author&gt;Yao, L.&lt;/author&gt;&lt;author&gt;Zhang, F. R.&lt;/author&gt;&lt;author&gt;Wang, K.&lt;/author&gt;&lt;author&gt;Chen, J. Z.&lt;/author&gt;&lt;author&gt;Li, N.&lt;/author&gt;&lt;author&gt;Hu, H.&lt;/author&gt;&lt;/authors&gt;&lt;/contributors&gt;&lt;auth-address&gt;Department of Cardiology, The First Affiliated Hospital, School of Medicine, Zhejiang University, Hangzhou, PR China.&lt;/auth-address&gt;&lt;titles&gt;&lt;title&gt;Systemic evaluation of platelet and leukocyte activation and interaction in a rat model of pulmonary arterial hypertension&lt;/title&gt;&lt;secondary-title&gt;Cardiology&lt;/secondary-title&gt;&lt;/titles&gt;&lt;periodical&gt;&lt;full-title&gt;Cardiology&lt;/full-title&gt;&lt;/periodical&gt;&lt;pages&gt;44-53&lt;/pages&gt;&lt;volume&gt;117&lt;/volume&gt;&lt;number&gt;1&lt;/number&gt;&lt;edition&gt;2010/10/07&lt;/edition&gt;&lt;keywords&gt;&lt;keyword&gt;Animals&lt;/keyword&gt;&lt;keyword&gt;Cell Communication/immunology&lt;/keyword&gt;&lt;keyword&gt;Disease Models, Animal&lt;/keyword&gt;&lt;keyword&gt;Flow Cytometry&lt;/keyword&gt;&lt;keyword&gt;Hypertension, Pulmonary/chemically induced/*immunology/*physiopathology&lt;/keyword&gt;&lt;keyword&gt;Hypertrophy, Right Ventricular/chemically induced/immunology/physiopathology&lt;/keyword&gt;&lt;keyword&gt;Leukocytes/*physiology&lt;/keyword&gt;&lt;keyword&gt;Male&lt;/keyword&gt;&lt;keyword&gt;Monocrotaline&lt;/keyword&gt;&lt;keyword&gt;Platelet Activation/*physiology&lt;/keyword&gt;&lt;keyword&gt;Rats&lt;/keyword&gt;&lt;keyword&gt;Rats, Sprague-Dawley&lt;/keyword&gt;&lt;/keywords&gt;&lt;dates&gt;&lt;year&gt;2010&lt;/year&gt;&lt;/dates&gt;&lt;isbn&gt;0008-6312&lt;/isbn&gt;&lt;accession-num&gt;20924177&lt;/accession-num&gt;&lt;urls&gt;&lt;/urls&gt;&lt;electronic-resource-num&gt;10.1159/000320107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[2]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01D899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4535" w:type="dxa"/>
            <w:noWrap/>
            <w:vAlign w:val="center"/>
          </w:tcPr>
          <w:p w14:paraId="786F1E36">
            <w:pPr>
              <w:spacing w:before="156" w:beforeLines="5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</w:rPr>
              <w:t>irculating platelet-neutrophil aggregation (%, mean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</w:rPr>
              <w:t>SD)</w:t>
            </w:r>
          </w:p>
        </w:tc>
        <w:tc>
          <w:tcPr>
            <w:tcW w:w="1474" w:type="dxa"/>
            <w:noWrap/>
            <w:vAlign w:val="center"/>
          </w:tcPr>
          <w:p w14:paraId="59E6F0A2">
            <w:pPr>
              <w:spacing w:before="156" w:beforeLines="5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</w:rPr>
              <w:t>6.01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</w:rPr>
              <w:t>2.91%</w:t>
            </w:r>
          </w:p>
        </w:tc>
        <w:tc>
          <w:tcPr>
            <w:tcW w:w="1304" w:type="dxa"/>
            <w:noWrap/>
            <w:vAlign w:val="center"/>
          </w:tcPr>
          <w:p w14:paraId="0BAA49CD">
            <w:pPr>
              <w:spacing w:before="156" w:beforeLines="5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1531" w:type="dxa"/>
            <w:noWrap/>
            <w:vAlign w:val="center"/>
          </w:tcPr>
          <w:p w14:paraId="1EDDF3DF">
            <w:pPr>
              <w:spacing w:before="156" w:beforeLines="5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</w:rPr>
              <w:t>14.93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</w:rPr>
              <w:t>4.22%</w:t>
            </w:r>
          </w:p>
        </w:tc>
        <w:tc>
          <w:tcPr>
            <w:tcW w:w="1531" w:type="dxa"/>
            <w:noWrap/>
            <w:vAlign w:val="center"/>
          </w:tcPr>
          <w:p w14:paraId="43E186E8">
            <w:pPr>
              <w:spacing w:before="156" w:beforeLines="5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</w:rPr>
              <w:t>15.19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</w:rPr>
              <w:t>4.78%</w:t>
            </w:r>
          </w:p>
        </w:tc>
        <w:tc>
          <w:tcPr>
            <w:tcW w:w="1304" w:type="dxa"/>
            <w:noWrap/>
            <w:vAlign w:val="center"/>
          </w:tcPr>
          <w:p w14:paraId="3E014467">
            <w:pPr>
              <w:spacing w:before="156" w:beforeLines="5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1474" w:type="dxa"/>
            <w:noWrap/>
            <w:vAlign w:val="center"/>
          </w:tcPr>
          <w:p w14:paraId="51AA0041">
            <w:pPr>
              <w:spacing w:before="156" w:beforeLines="5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Hu, et al.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instrText xml:space="preserve"> ADDIN EN.CITE &lt;EndNote&gt;&lt;Cite&gt;&lt;Author&gt;Hu&lt;/Author&gt;&lt;Year&gt;2010&lt;/Year&gt;&lt;RecNum&gt;496&lt;/RecNum&gt;&lt;DisplayText&gt;&lt;style face="superscript"&gt;[2]&lt;/style&gt;&lt;/DisplayText&gt;&lt;record&gt;&lt;rec-number&gt;496&lt;/rec-number&gt;&lt;foreign-keys&gt;&lt;key app="EN" db-id="v029pddpy0fazoef90oxzvtuvf2f0zzefs9w" timestamp="1767668924"&gt;496&lt;/key&gt;&lt;/foreign-keys&gt;&lt;ref-type name="Journal Article"&gt;17&lt;/ref-type&gt;&lt;contributors&gt;&lt;authors&gt;&lt;author&gt;Hu, X. S.&lt;/author&gt;&lt;author&gt;Du, C. Q.&lt;/author&gt;&lt;author&gt;Zeng, C. L.&lt;/author&gt;&lt;author&gt;Yao, L.&lt;/author&gt;&lt;author&gt;Zhang, F. R.&lt;/author&gt;&lt;author&gt;Wang, K.&lt;/author&gt;&lt;author&gt;Chen, J. Z.&lt;/author&gt;&lt;author&gt;Li, N.&lt;/author&gt;&lt;author&gt;Hu, H.&lt;/author&gt;&lt;/authors&gt;&lt;/contributors&gt;&lt;auth-address&gt;Department of Cardiology, The First Affiliated Hospital, School of Medicine, Zhejiang University, Hangzhou, PR China.&lt;/auth-address&gt;&lt;titles&gt;&lt;title&gt;Systemic evaluation of platelet and leukocyte activation and interaction in a rat model of pulmonary arterial hypertension&lt;/title&gt;&lt;secondary-title&gt;Cardiology&lt;/secondary-title&gt;&lt;/titles&gt;&lt;periodical&gt;&lt;full-title&gt;Cardiology&lt;/full-title&gt;&lt;/periodical&gt;&lt;pages&gt;44-53&lt;/pages&gt;&lt;volume&gt;117&lt;/volume&gt;&lt;number&gt;1&lt;/number&gt;&lt;edition&gt;2010/10/07&lt;/edition&gt;&lt;keywords&gt;&lt;keyword&gt;Animals&lt;/keyword&gt;&lt;keyword&gt;Cell Communication/immunology&lt;/keyword&gt;&lt;keyword&gt;Disease Models, Animal&lt;/keyword&gt;&lt;keyword&gt;Flow Cytometry&lt;/keyword&gt;&lt;keyword&gt;Hypertension, Pulmonary/chemically induced/*immunology/*physiopathology&lt;/keyword&gt;&lt;keyword&gt;Hypertrophy, Right Ventricular/chemically induced/immunology/physiopathology&lt;/keyword&gt;&lt;keyword&gt;Leukocytes/*physiology&lt;/keyword&gt;&lt;keyword&gt;Male&lt;/keyword&gt;&lt;keyword&gt;Monocrotaline&lt;/keyword&gt;&lt;keyword&gt;Platelet Activation/*physiology&lt;/keyword&gt;&lt;keyword&gt;Rats&lt;/keyword&gt;&lt;keyword&gt;Rats, Sprague-Dawley&lt;/keyword&gt;&lt;/keywords&gt;&lt;dates&gt;&lt;year&gt;2010&lt;/year&gt;&lt;/dates&gt;&lt;isbn&gt;0008-6312&lt;/isbn&gt;&lt;accession-num&gt;20924177&lt;/accession-num&gt;&lt;urls&gt;&lt;/urls&gt;&lt;electronic-resource-num&gt;10.1159/000320107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  <w:vertAlign w:val="superscript"/>
              </w:rPr>
              <w:t>[2]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fldChar w:fldCharType="end"/>
            </w:r>
          </w:p>
        </w:tc>
      </w:tr>
      <w:tr w14:paraId="4062AA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4535" w:type="dxa"/>
            <w:tcBorders>
              <w:bottom w:val="nil"/>
            </w:tcBorders>
            <w:noWrap/>
            <w:vAlign w:val="center"/>
          </w:tcPr>
          <w:p w14:paraId="0790097D">
            <w:pPr>
              <w:spacing w:before="156" w:beforeLines="5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</w:rPr>
              <w:t xml:space="preserve">latelet-activating factor in lung tissue (ng,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approximate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</w:rPr>
              <w:t>mean value)</w:t>
            </w:r>
          </w:p>
        </w:tc>
        <w:tc>
          <w:tcPr>
            <w:tcW w:w="1474" w:type="dxa"/>
            <w:tcBorders>
              <w:bottom w:val="nil"/>
            </w:tcBorders>
            <w:noWrap/>
            <w:vAlign w:val="center"/>
          </w:tcPr>
          <w:p w14:paraId="3BC8A4FA">
            <w:pPr>
              <w:spacing w:before="156" w:beforeLines="5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304" w:type="dxa"/>
            <w:tcBorders>
              <w:bottom w:val="nil"/>
            </w:tcBorders>
            <w:noWrap/>
            <w:vAlign w:val="center"/>
          </w:tcPr>
          <w:p w14:paraId="1B6DD6E0">
            <w:pPr>
              <w:spacing w:before="156" w:beforeLines="5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531" w:type="dxa"/>
            <w:tcBorders>
              <w:bottom w:val="nil"/>
            </w:tcBorders>
            <w:noWrap/>
            <w:vAlign w:val="center"/>
          </w:tcPr>
          <w:p w14:paraId="5FD910DC">
            <w:pPr>
              <w:spacing w:before="156" w:beforeLines="5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531" w:type="dxa"/>
            <w:tcBorders>
              <w:bottom w:val="nil"/>
            </w:tcBorders>
            <w:noWrap/>
            <w:vAlign w:val="center"/>
          </w:tcPr>
          <w:p w14:paraId="2568BEAF">
            <w:pPr>
              <w:spacing w:before="156" w:beforeLines="5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304" w:type="dxa"/>
            <w:tcBorders>
              <w:bottom w:val="nil"/>
            </w:tcBorders>
            <w:noWrap/>
            <w:vAlign w:val="center"/>
          </w:tcPr>
          <w:p w14:paraId="3E681598">
            <w:pPr>
              <w:spacing w:before="156" w:beforeLines="5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10" w:name="OLE_LINK12"/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  <w:bookmarkEnd w:id="10"/>
          </w:p>
        </w:tc>
        <w:tc>
          <w:tcPr>
            <w:tcW w:w="1474" w:type="dxa"/>
            <w:tcBorders>
              <w:bottom w:val="nil"/>
            </w:tcBorders>
            <w:noWrap/>
            <w:vAlign w:val="center"/>
          </w:tcPr>
          <w:p w14:paraId="3A112FC7">
            <w:pPr>
              <w:spacing w:before="156" w:beforeLines="5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</w:rPr>
              <w:t>Ono, et al.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&lt;EndNote&gt;&lt;Cite&gt;&lt;Author&gt;Ono&lt;/Author&gt;&lt;Year&gt;1991&lt;/Year&gt;&lt;RecNum&gt;497&lt;/RecNum&gt;&lt;DisplayText&gt;&lt;style face="superscript"&gt;[3]&lt;/style&gt;&lt;/DisplayText&gt;&lt;record&gt;&lt;rec-number&gt;497&lt;/rec-number&gt;&lt;foreign-keys&gt;&lt;key app="EN" db-id="v029pddpy0fazoef90oxzvtuvf2f0zzefs9w" timestamp="1767693538"&gt;497&lt;/key&gt;&lt;/foreign-keys&gt;&lt;ref-type name="Journal Article"&gt;17&lt;/ref-type&gt;&lt;contributors&gt;&lt;authors&gt;&lt;author&gt;Ono, S.&lt;/author&gt;&lt;author&gt;Voelkel, N. F.&lt;/author&gt;&lt;/authors&gt;&lt;/contributors&gt;&lt;auth-address&gt;Department of Medicine, University of Colorado Health Sciences Center, Denver 80262.&lt;/auth-address&gt;&lt;titles&gt;&lt;title&gt;PAF antagonists inhibit monocrotaline-induced lung injury and pulmonary hypertension&lt;/title&gt;&lt;secondary-title&gt;J Appl Physiol (1985)&lt;/secondary-title&gt;&lt;/titles&gt;&lt;periodical&gt;&lt;full-title&gt;J Appl Physiol (1985)&lt;/full-title&gt;&lt;/periodical&gt;&lt;pages&gt;2483-92&lt;/pages&gt;&lt;volume&gt;71&lt;/volume&gt;&lt;number&gt;6&lt;/number&gt;&lt;edition&gt;1991/12/01&lt;/edition&gt;&lt;keywords&gt;&lt;keyword&gt;Animals&lt;/keyword&gt;&lt;keyword&gt;Azepines/pharmacology&lt;/keyword&gt;&lt;keyword&gt;Cardiomegaly/chemically induced/prevention &amp;amp; control&lt;/keyword&gt;&lt;keyword&gt;Hypertension, Pulmonary/chemically induced/pathology/*prevention &amp;amp; control&lt;/keyword&gt;&lt;keyword&gt;Lung/*drug effects/pathology&lt;/keyword&gt;&lt;keyword&gt;*Lung Injury&lt;/keyword&gt;&lt;keyword&gt;Male&lt;/keyword&gt;&lt;keyword&gt;Monocrotaline&lt;/keyword&gt;&lt;keyword&gt;Platelet Activating Factor/*antagonists &amp;amp; inhibitors/physiology&lt;/keyword&gt;&lt;keyword&gt;Rats&lt;/keyword&gt;&lt;keyword&gt;Rats, Inbred Strains&lt;/keyword&gt;&lt;keyword&gt;Triazoles/pharmacology&lt;/keyword&gt;&lt;/keywords&gt;&lt;dates&gt;&lt;year&gt;1991&lt;/year&gt;&lt;pub-dates&gt;&lt;date&gt;Dec&lt;/date&gt;&lt;/pub-dates&gt;&lt;/dates&gt;&lt;isbn&gt;8750-7587 (Print)&amp;#xD;0161-7567&lt;/isbn&gt;&lt;accession-num&gt;1838107&lt;/accession-num&gt;&lt;urls&gt;&lt;/urls&gt;&lt;electronic-resource-num&gt;10.1152/jappl.1991.71.6.2483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[3]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</w:tr>
      <w:tr w14:paraId="3734A0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4535" w:type="dxa"/>
            <w:tcBorders>
              <w:top w:val="nil"/>
              <w:bottom w:val="single" w:color="auto" w:sz="12" w:space="0"/>
            </w:tcBorders>
            <w:noWrap/>
            <w:vAlign w:val="center"/>
          </w:tcPr>
          <w:p w14:paraId="6D84AB51">
            <w:pPr>
              <w:spacing w:before="156" w:beforeLines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 xml:space="preserve">CD62P expression in the surface of platelet (positive rate %,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approximate 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mean value)</w:t>
            </w:r>
          </w:p>
        </w:tc>
        <w:tc>
          <w:tcPr>
            <w:tcW w:w="1474" w:type="dxa"/>
            <w:tcBorders>
              <w:top w:val="nil"/>
              <w:bottom w:val="single" w:color="auto" w:sz="12" w:space="0"/>
            </w:tcBorders>
            <w:noWrap/>
            <w:vAlign w:val="center"/>
          </w:tcPr>
          <w:p w14:paraId="15AD4601">
            <w:pPr>
              <w:spacing w:before="156" w:beforeLines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1304" w:type="dxa"/>
            <w:tcBorders>
              <w:top w:val="nil"/>
              <w:bottom w:val="single" w:color="auto" w:sz="12" w:space="0"/>
            </w:tcBorders>
            <w:noWrap/>
            <w:vAlign w:val="center"/>
          </w:tcPr>
          <w:p w14:paraId="33635D6B">
            <w:pPr>
              <w:spacing w:before="156" w:beforeLines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531" w:type="dxa"/>
            <w:tcBorders>
              <w:top w:val="nil"/>
              <w:bottom w:val="single" w:color="auto" w:sz="12" w:space="0"/>
            </w:tcBorders>
            <w:noWrap/>
            <w:vAlign w:val="center"/>
          </w:tcPr>
          <w:p w14:paraId="0603AF89">
            <w:pPr>
              <w:spacing w:before="156" w:beforeLines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531" w:type="dxa"/>
            <w:tcBorders>
              <w:top w:val="nil"/>
              <w:bottom w:val="single" w:color="auto" w:sz="12" w:space="0"/>
            </w:tcBorders>
            <w:noWrap/>
            <w:vAlign w:val="center"/>
          </w:tcPr>
          <w:p w14:paraId="5671D031">
            <w:pPr>
              <w:spacing w:before="156" w:beforeLines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304" w:type="dxa"/>
            <w:tcBorders>
              <w:top w:val="nil"/>
              <w:bottom w:val="single" w:color="auto" w:sz="12" w:space="0"/>
            </w:tcBorders>
            <w:noWrap/>
            <w:vAlign w:val="center"/>
          </w:tcPr>
          <w:p w14:paraId="674CD532">
            <w:pPr>
              <w:spacing w:before="156" w:beforeLines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74" w:type="dxa"/>
            <w:tcBorders>
              <w:top w:val="nil"/>
              <w:bottom w:val="single" w:color="auto" w:sz="12" w:space="0"/>
            </w:tcBorders>
            <w:noWrap/>
            <w:vAlign w:val="center"/>
          </w:tcPr>
          <w:p w14:paraId="099BC080">
            <w:pPr>
              <w:spacing w:before="156" w:beforeLines="5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Zhu, et al.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PEVuZE5vdGU+PENpdGU+PEF1dGhvcj5aaHU8L0F1dGhvcj48WWVhcj4yMDIyPC9ZZWFyPjxSZWNO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</w:fldData>
              </w:fldChar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fldChar w:fldCharType="begin">
                <w:fldData xml:space="preserve">PEVuZE5vdGU+PENpdGU+PEF1dGhvcj5aaHU8L0F1dGhvcj48WWVhcj4yMDIyPC9ZZWFyPjxSZWNO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</w:fldData>
              </w:fldChar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[4]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fldChar w:fldCharType="end"/>
            </w:r>
          </w:p>
        </w:tc>
      </w:tr>
    </w:tbl>
    <w:p w14:paraId="3EFF59D2">
      <w:pPr>
        <w:rPr>
          <w:rFonts w:ascii="Times New Roman" w:hAnsi="Times New Roman" w:cs="Times New Roman"/>
          <w:sz w:val="24"/>
          <w:szCs w:val="24"/>
        </w:rPr>
      </w:pPr>
    </w:p>
    <w:p w14:paraId="70DCCAE8">
      <w:pPr>
        <w:rPr>
          <w:rFonts w:ascii="Times New Roman" w:hAnsi="Times New Roman" w:cs="Times New Roman"/>
          <w:sz w:val="24"/>
          <w:szCs w:val="24"/>
        </w:rPr>
      </w:pPr>
    </w:p>
    <w:p w14:paraId="01752EA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Reference</w:t>
      </w:r>
    </w:p>
    <w:p w14:paraId="1D2C37B0">
      <w:pPr>
        <w:pStyle w:val="39"/>
        <w:rPr>
          <w:rFonts w:ascii="Times New Roman" w:hAnsi="Times New Roman" w:cs="Times New Roman"/>
          <w:sz w:val="24"/>
        </w:rPr>
      </w:pPr>
      <w:bookmarkStart w:id="11" w:name="_Hlk195794213"/>
      <w:r>
        <w:rPr>
          <w:rFonts w:hint="eastAsia"/>
        </w:rPr>
        <w:fldChar w:fldCharType="begin"/>
      </w:r>
      <w:r>
        <w:rPr>
          <w:rFonts w:hint="eastAsia"/>
        </w:rPr>
        <w:instrText xml:space="preserve"> ADDIN EN.REFLIST </w:instrText>
      </w:r>
      <w:r>
        <w:rPr>
          <w:rFonts w:hint="eastAsia"/>
        </w:rPr>
        <w:fldChar w:fldCharType="separate"/>
      </w:r>
      <w:r>
        <w:rPr>
          <w:rFonts w:hint="eastAsia" w:ascii="Times New Roman" w:hAnsi="Times New Roman" w:cs="Times New Roman"/>
          <w:b/>
          <w:sz w:val="24"/>
        </w:rPr>
        <w:t>[1]</w:t>
      </w:r>
      <w:r>
        <w:rPr>
          <w:rFonts w:hint="eastAsia"/>
        </w:rPr>
        <w:tab/>
      </w:r>
      <w:r>
        <w:rPr>
          <w:rFonts w:hint="eastAsia" w:ascii="Times New Roman" w:hAnsi="Times New Roman" w:cs="Times New Roman"/>
          <w:sz w:val="24"/>
        </w:rPr>
        <w:t>Kato S, Ohnuma N, Ohno K, et al. Changes in sequestered leukocytes and platelets in the pulmonary microvasculature of rats with monocrotaline-induced pulmonary hypertension [J]. Int J Microcirc Clin Exp. 1997, 17(6): 290-297.</w:t>
      </w:r>
    </w:p>
    <w:p w14:paraId="301C1922">
      <w:pPr>
        <w:pStyle w:val="39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sz w:val="24"/>
        </w:rPr>
        <w:t>[2]</w:t>
      </w:r>
      <w:r>
        <w:rPr>
          <w:rFonts w:hint="eastAsia"/>
        </w:rPr>
        <w:tab/>
      </w:r>
      <w:r>
        <w:rPr>
          <w:rFonts w:hint="eastAsia" w:ascii="Times New Roman" w:hAnsi="Times New Roman" w:cs="Times New Roman"/>
          <w:sz w:val="24"/>
        </w:rPr>
        <w:t>Hu X S, Du C Q, Zeng C L, et al. Systemic evaluation of platelet and leukocyte activation and interaction in a rat model of pulmonary arterial hypertension [J]. Cardiology. 2010, 117(1): 44-53.</w:t>
      </w:r>
    </w:p>
    <w:p w14:paraId="25781F71">
      <w:pPr>
        <w:pStyle w:val="39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sz w:val="24"/>
        </w:rPr>
        <w:t>[3]</w:t>
      </w:r>
      <w:r>
        <w:rPr>
          <w:rFonts w:hint="eastAsia"/>
        </w:rPr>
        <w:tab/>
      </w:r>
      <w:r>
        <w:rPr>
          <w:rFonts w:hint="eastAsia" w:ascii="Times New Roman" w:hAnsi="Times New Roman" w:cs="Times New Roman"/>
          <w:sz w:val="24"/>
        </w:rPr>
        <w:t>Ono S, Voelkel N F. PAF antagonists inhibit monocrotaline-induced lung injury and pulmonary hypertension [J]. J Appl Physiol (1985). 1991, 71(6): 2483-2492.</w:t>
      </w:r>
    </w:p>
    <w:p w14:paraId="4B66FA63">
      <w:pPr>
        <w:pStyle w:val="39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sz w:val="24"/>
        </w:rPr>
        <w:t>[4]</w:t>
      </w:r>
      <w:r>
        <w:rPr>
          <w:rFonts w:hint="eastAsia"/>
        </w:rPr>
        <w:tab/>
      </w:r>
      <w:r>
        <w:rPr>
          <w:rFonts w:hint="eastAsia" w:ascii="Times New Roman" w:hAnsi="Times New Roman" w:cs="Times New Roman"/>
          <w:sz w:val="24"/>
        </w:rPr>
        <w:t>Zhu Y, Shu D, Gong X, et al. Platelet-Derived TGF (Transforming Growth Factor)-β1 Enhances the Aerobic Glycolysis of Pulmonary Arterial Smooth Muscle Cells by PKM2 (Pyruvate Kinase Muscle Isoform 2) Upregulation [J]. Hypertension. 2022, 79(5): 932-945.</w:t>
      </w:r>
    </w:p>
    <w:p w14:paraId="45F153B0">
      <w:pPr>
        <w:rPr>
          <w:rFonts w:hint="eastAsia"/>
        </w:rPr>
      </w:pPr>
      <w:r>
        <w:rPr>
          <w:rFonts w:hint="eastAsia"/>
        </w:rPr>
        <w:fldChar w:fldCharType="end"/>
      </w:r>
    </w:p>
    <w:bookmarkEnd w:id="11"/>
    <w:p w14:paraId="1B9911A8">
      <w:pPr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77D23212-F780-499B-B1D2-735A301732FF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DCFF08C7-729F-479B-99CB-B24830E01D3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B36E9B98-2AE7-4451-9CD3-F7BCE09F730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C84E8296-568C-4461-BF68-31053B0CD65C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9409BD30-BF80-4B6A-B9BC-51B60A87FEF4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1C60EABB-E185-4B64-8FEE-A90DE6D60D56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毕业论文格式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029pddpy0fazoef90oxzvtuvf2f0zzefs9w&quot;&gt;My EndNote Library&lt;record-ids&gt;&lt;item&gt;495&lt;/item&gt;&lt;item&gt;496&lt;/item&gt;&lt;item&gt;497&lt;/item&gt;&lt;item&gt;498&lt;/item&gt;&lt;/record-ids&gt;&lt;/item&gt;&lt;/Libraries&gt;"/>
  </w:docVars>
  <w:rsids>
    <w:rsidRoot w:val="00234E58"/>
    <w:rsid w:val="00002447"/>
    <w:rsid w:val="00024516"/>
    <w:rsid w:val="00030F45"/>
    <w:rsid w:val="000669DB"/>
    <w:rsid w:val="00083EF4"/>
    <w:rsid w:val="00084F92"/>
    <w:rsid w:val="00095029"/>
    <w:rsid w:val="000E12FC"/>
    <w:rsid w:val="000E3250"/>
    <w:rsid w:val="000E6296"/>
    <w:rsid w:val="000E72F3"/>
    <w:rsid w:val="00137FFB"/>
    <w:rsid w:val="001727A1"/>
    <w:rsid w:val="00177ACC"/>
    <w:rsid w:val="00202BC9"/>
    <w:rsid w:val="00207476"/>
    <w:rsid w:val="00234E58"/>
    <w:rsid w:val="002376AA"/>
    <w:rsid w:val="0029375B"/>
    <w:rsid w:val="002C1056"/>
    <w:rsid w:val="0030441F"/>
    <w:rsid w:val="0031354D"/>
    <w:rsid w:val="00320A20"/>
    <w:rsid w:val="0033386F"/>
    <w:rsid w:val="00357A89"/>
    <w:rsid w:val="00363BBF"/>
    <w:rsid w:val="00371C18"/>
    <w:rsid w:val="003C484E"/>
    <w:rsid w:val="003E6A74"/>
    <w:rsid w:val="004102FF"/>
    <w:rsid w:val="0041149F"/>
    <w:rsid w:val="00412C88"/>
    <w:rsid w:val="004241C0"/>
    <w:rsid w:val="004306D4"/>
    <w:rsid w:val="00440003"/>
    <w:rsid w:val="00487207"/>
    <w:rsid w:val="00494E6C"/>
    <w:rsid w:val="004A60E5"/>
    <w:rsid w:val="004D7883"/>
    <w:rsid w:val="004E078F"/>
    <w:rsid w:val="004F4986"/>
    <w:rsid w:val="0050431B"/>
    <w:rsid w:val="00507F3D"/>
    <w:rsid w:val="00527693"/>
    <w:rsid w:val="0056050B"/>
    <w:rsid w:val="00561C5B"/>
    <w:rsid w:val="00567D97"/>
    <w:rsid w:val="005958E9"/>
    <w:rsid w:val="005E43DA"/>
    <w:rsid w:val="0062300F"/>
    <w:rsid w:val="00623671"/>
    <w:rsid w:val="0065011F"/>
    <w:rsid w:val="00686DE9"/>
    <w:rsid w:val="0068799D"/>
    <w:rsid w:val="006948AF"/>
    <w:rsid w:val="00697BB6"/>
    <w:rsid w:val="006A3F35"/>
    <w:rsid w:val="006B1D15"/>
    <w:rsid w:val="006F3544"/>
    <w:rsid w:val="006F61D7"/>
    <w:rsid w:val="00714A6E"/>
    <w:rsid w:val="0071667D"/>
    <w:rsid w:val="00725234"/>
    <w:rsid w:val="00786E0F"/>
    <w:rsid w:val="00795533"/>
    <w:rsid w:val="007E3541"/>
    <w:rsid w:val="007E7492"/>
    <w:rsid w:val="008111A1"/>
    <w:rsid w:val="0081454B"/>
    <w:rsid w:val="008240D9"/>
    <w:rsid w:val="008440FA"/>
    <w:rsid w:val="008832C1"/>
    <w:rsid w:val="00883555"/>
    <w:rsid w:val="008D1B1E"/>
    <w:rsid w:val="008E1938"/>
    <w:rsid w:val="008F43CA"/>
    <w:rsid w:val="009029B8"/>
    <w:rsid w:val="009315FC"/>
    <w:rsid w:val="0093198C"/>
    <w:rsid w:val="00941E15"/>
    <w:rsid w:val="009556DD"/>
    <w:rsid w:val="0096571B"/>
    <w:rsid w:val="00971F3A"/>
    <w:rsid w:val="009D73BC"/>
    <w:rsid w:val="00A56B6A"/>
    <w:rsid w:val="00A82557"/>
    <w:rsid w:val="00A95A87"/>
    <w:rsid w:val="00AE6658"/>
    <w:rsid w:val="00B356DB"/>
    <w:rsid w:val="00B53233"/>
    <w:rsid w:val="00B65C68"/>
    <w:rsid w:val="00B84FD7"/>
    <w:rsid w:val="00B8573D"/>
    <w:rsid w:val="00C02DDC"/>
    <w:rsid w:val="00C02E22"/>
    <w:rsid w:val="00C05734"/>
    <w:rsid w:val="00C15E54"/>
    <w:rsid w:val="00C47D53"/>
    <w:rsid w:val="00C87C6A"/>
    <w:rsid w:val="00C90FCD"/>
    <w:rsid w:val="00C9381C"/>
    <w:rsid w:val="00CA08BF"/>
    <w:rsid w:val="00CC66C7"/>
    <w:rsid w:val="00D12F7B"/>
    <w:rsid w:val="00D159AD"/>
    <w:rsid w:val="00D17711"/>
    <w:rsid w:val="00D67A03"/>
    <w:rsid w:val="00D94A5A"/>
    <w:rsid w:val="00DA37DB"/>
    <w:rsid w:val="00DB4209"/>
    <w:rsid w:val="00E3448E"/>
    <w:rsid w:val="00E554F4"/>
    <w:rsid w:val="00E71B05"/>
    <w:rsid w:val="00E82833"/>
    <w:rsid w:val="00E84C28"/>
    <w:rsid w:val="00EB3B85"/>
    <w:rsid w:val="00F4777A"/>
    <w:rsid w:val="00F63022"/>
    <w:rsid w:val="00FB2690"/>
    <w:rsid w:val="00FE0890"/>
    <w:rsid w:val="00FE7E7D"/>
    <w:rsid w:val="0DCD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4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42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4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Hyperlink"/>
    <w:basedOn w:val="17"/>
    <w:unhideWhenUsed/>
    <w:qFormat/>
    <w:uiPriority w:val="99"/>
    <w:rPr>
      <w:color w:val="467886" w:themeColor="hyperlink"/>
      <w:u w:val="single"/>
    </w:rPr>
  </w:style>
  <w:style w:type="character" w:customStyle="1" w:styleId="19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uiPriority w:val="9"/>
    <w:rPr>
      <w:rFonts w:cstheme="majorBidi"/>
      <w:color w:val="0F4761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0F4761" w:themeColor="accent1" w:themeShade="BF"/>
      <w:sz w:val="24"/>
      <w:szCs w:val="24"/>
    </w:rPr>
  </w:style>
  <w:style w:type="character" w:customStyle="1" w:styleId="24">
    <w:name w:val="标题 6 字符"/>
    <w:basedOn w:val="17"/>
    <w:link w:val="7"/>
    <w:semiHidden/>
    <w:uiPriority w:val="9"/>
    <w:rPr>
      <w:rFonts w:cstheme="majorBidi"/>
      <w:b/>
      <w:bCs/>
      <w:color w:val="0F4761" w:themeColor="accent1" w:themeShade="BF"/>
    </w:rPr>
  </w:style>
  <w:style w:type="character" w:customStyle="1" w:styleId="25">
    <w:name w:val="标题 7 字符"/>
    <w:basedOn w:val="17"/>
    <w:link w:val="8"/>
    <w:semiHidden/>
    <w:uiPriority w:val="9"/>
    <w:rPr>
      <w:rFonts w:cstheme="majorBidi"/>
      <w:b/>
      <w:bCs/>
      <w:color w:val="585858" w:themeColor="text1" w:themeTint="A6"/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85858" w:themeColor="text1" w:themeTint="A6"/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8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31">
    <w:name w:val="引用 字符"/>
    <w:basedOn w:val="17"/>
    <w:link w:val="30"/>
    <w:uiPriority w:val="29"/>
    <w:rPr>
      <w:i/>
      <w:iCs/>
      <w:color w:val="3F3F3F" w:themeColor="text1" w:themeTint="BF"/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7"/>
    <w:qFormat/>
    <w:uiPriority w:val="21"/>
    <w:rPr>
      <w:i/>
      <w:iCs/>
      <w:color w:val="0F4761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35">
    <w:name w:val="明显引用 字符"/>
    <w:basedOn w:val="17"/>
    <w:link w:val="34"/>
    <w:uiPriority w:val="30"/>
    <w:rPr>
      <w:i/>
      <w:iCs/>
      <w:color w:val="0F4761" w:themeColor="accent1" w:themeShade="BF"/>
    </w:rPr>
  </w:style>
  <w:style w:type="character" w:customStyle="1" w:styleId="36">
    <w:name w:val="Intense Reference"/>
    <w:basedOn w:val="17"/>
    <w:qFormat/>
    <w:uiPriority w:val="32"/>
    <w:rPr>
      <w:b/>
      <w:bCs/>
      <w:smallCaps/>
      <w:color w:val="0F4761" w:themeColor="accent1" w:themeShade="BF"/>
      <w:spacing w:val="5"/>
    </w:rPr>
  </w:style>
  <w:style w:type="paragraph" w:customStyle="1" w:styleId="37">
    <w:name w:val="EndNote Bibliography Title"/>
    <w:basedOn w:val="1"/>
    <w:link w:val="38"/>
    <w:qFormat/>
    <w:uiPriority w:val="0"/>
    <w:pPr>
      <w:jc w:val="center"/>
    </w:pPr>
    <w:rPr>
      <w:rFonts w:ascii="等线" w:hAnsi="等线" w:eastAsia="等线"/>
      <w:sz w:val="20"/>
    </w:rPr>
  </w:style>
  <w:style w:type="character" w:customStyle="1" w:styleId="38">
    <w:name w:val="EndNote Bibliography Title 字符"/>
    <w:basedOn w:val="17"/>
    <w:link w:val="37"/>
    <w:uiPriority w:val="0"/>
    <w:rPr>
      <w:rFonts w:ascii="等线" w:hAnsi="等线" w:eastAsia="等线"/>
      <w:sz w:val="20"/>
    </w:rPr>
  </w:style>
  <w:style w:type="paragraph" w:customStyle="1" w:styleId="39">
    <w:name w:val="EndNote Bibliography"/>
    <w:basedOn w:val="1"/>
    <w:link w:val="40"/>
    <w:qFormat/>
    <w:uiPriority w:val="0"/>
    <w:rPr>
      <w:rFonts w:ascii="等线" w:hAnsi="等线" w:eastAsia="等线"/>
      <w:sz w:val="20"/>
    </w:rPr>
  </w:style>
  <w:style w:type="character" w:customStyle="1" w:styleId="40">
    <w:name w:val="EndNote Bibliography 字符"/>
    <w:basedOn w:val="17"/>
    <w:link w:val="39"/>
    <w:qFormat/>
    <w:uiPriority w:val="0"/>
    <w:rPr>
      <w:rFonts w:ascii="等线" w:hAnsi="等线" w:eastAsia="等线"/>
      <w:sz w:val="20"/>
    </w:rPr>
  </w:style>
  <w:style w:type="character" w:customStyle="1" w:styleId="41">
    <w:name w:val="Unresolved Mention"/>
    <w:basedOn w:val="1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2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43">
    <w:name w:val="页脚 字符"/>
    <w:basedOn w:val="17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241</Words>
  <Characters>1388</Characters>
  <Lines>53</Lines>
  <Paragraphs>15</Paragraphs>
  <TotalTime>2765</TotalTime>
  <ScaleCrop>false</ScaleCrop>
  <LinksUpToDate>false</LinksUpToDate>
  <CharactersWithSpaces>1575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2025-04-03T04:00:00Z</dcterms:created>
  <dc:creator>张财斌</dc:creator>
  <cp:lastModifiedBy>Dong</cp:lastModifiedBy>
  <dcterms:modified xsi:type="dcterms:W3CDTF">2026-09-23T07:23:55Z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eyJoZGlkIjoiNTRmYjc2Yzk3YzdiYjdhOTIwMjcxMmZmZDkyYzg1NjEiLCJ1c2VySWQiOiI0MTIxMDk1MTgifQ==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474A38945F5344D095942E7BBFFC2AAD_12</vt:lpwstr>
  </property>
</Properties>
</file>