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wmf" ContentType="image/x-w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8960CC">
      <w:pPr>
        <w:widowControl/>
        <w:adjustRightInd w:val="0"/>
        <w:snapToGrid w:val="0"/>
        <w:spacing w:line="360" w:lineRule="auto"/>
        <w:jc w:val="center"/>
        <w:rPr>
          <w:rFonts w:ascii="Times New Roman" w:hAnsi="Times New Roman" w:eastAsia="微软雅黑"/>
          <w:b/>
          <w:kern w:val="0"/>
          <w:sz w:val="32"/>
          <w:szCs w:val="32"/>
        </w:rPr>
      </w:pPr>
      <w:r>
        <w:rPr>
          <w:rFonts w:ascii="Times New Roman" w:hAnsi="Times New Roman" w:eastAsia="微软雅黑"/>
          <w:b/>
          <w:kern w:val="0"/>
          <w:sz w:val="32"/>
          <w:szCs w:val="32"/>
        </w:rPr>
        <w:t>Supporting Information</w:t>
      </w:r>
    </w:p>
    <w:p w14:paraId="5E5336E4">
      <w:pPr>
        <w:spacing w:line="480" w:lineRule="auto"/>
        <w:jc w:val="center"/>
        <w:rPr>
          <w:rFonts w:ascii="Times New Roman" w:hAnsi="Times New Roman" w:eastAsia="微软雅黑" w:cs="Times New Roman"/>
          <w:b/>
          <w:bCs/>
          <w:sz w:val="28"/>
          <w:szCs w:val="28"/>
        </w:rPr>
      </w:pPr>
      <w:r>
        <w:rPr>
          <w:rFonts w:ascii="Times New Roman" w:hAnsi="Times New Roman" w:eastAsia="微软雅黑" w:cs="Times New Roman"/>
          <w:b/>
          <w:bCs/>
          <w:kern w:val="0"/>
          <w:sz w:val="28"/>
          <w:szCs w:val="28"/>
        </w:rPr>
        <w:t>High-Capacity and Selective Adsorption of Uranium by Porous Sodium Alginate Composite Gel Microspheres</w:t>
      </w:r>
    </w:p>
    <w:p w14:paraId="396DBF4A">
      <w:pPr>
        <w:spacing w:line="480" w:lineRule="auto"/>
        <w:jc w:val="center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Yuzhi Xie</w:t>
      </w:r>
      <w:r>
        <w:rPr>
          <w:rFonts w:hint="eastAsia" w:ascii="Times New Roman" w:hAnsi="Times New Roman" w:cs="Times New Roman"/>
          <w:vertAlign w:val="superscript"/>
        </w:rPr>
        <w:t>1,#</w:t>
      </w:r>
      <w:r>
        <w:rPr>
          <w:rFonts w:hint="eastAsia" w:ascii="Times New Roman" w:hAnsi="Times New Roman" w:cs="Times New Roman"/>
        </w:rPr>
        <w:t>, Sai Yang</w:t>
      </w:r>
      <w:r>
        <w:rPr>
          <w:rFonts w:hint="eastAsia" w:ascii="Times New Roman" w:hAnsi="Times New Roman" w:cs="Times New Roman"/>
          <w:vertAlign w:val="superscript"/>
        </w:rPr>
        <w:t>1,#</w:t>
      </w:r>
      <w:r>
        <w:rPr>
          <w:rFonts w:hint="eastAsia" w:ascii="Times New Roman" w:hAnsi="Times New Roman" w:cs="Times New Roman"/>
        </w:rPr>
        <w:t>, Huanhuan Dong</w:t>
      </w:r>
      <w:r>
        <w:rPr>
          <w:rFonts w:hint="eastAsia" w:ascii="Times New Roman" w:hAnsi="Times New Roman" w:cs="Times New Roman"/>
          <w:vertAlign w:val="superscript"/>
        </w:rPr>
        <w:t>1,#</w:t>
      </w:r>
      <w:r>
        <w:rPr>
          <w:rFonts w:hint="eastAsia" w:ascii="Times New Roman" w:hAnsi="Times New Roman" w:cs="Times New Roman"/>
        </w:rPr>
        <w:t>, Xudong Wu</w:t>
      </w:r>
      <w:r>
        <w:rPr>
          <w:rFonts w:hint="eastAsia" w:ascii="Times New Roman" w:hAnsi="Times New Roman" w:cs="Times New Roman"/>
          <w:vertAlign w:val="superscript"/>
        </w:rPr>
        <w:t>1</w:t>
      </w:r>
      <w:r>
        <w:rPr>
          <w:rFonts w:hint="eastAsia" w:ascii="Times New Roman" w:hAnsi="Times New Roman" w:cs="Times New Roman"/>
        </w:rPr>
        <w:t>, Lechang Xu</w:t>
      </w:r>
      <w:r>
        <w:rPr>
          <w:rFonts w:hint="eastAsia" w:ascii="Times New Roman" w:hAnsi="Times New Roman" w:cs="Times New Roman"/>
          <w:vertAlign w:val="superscript"/>
        </w:rPr>
        <w:t>2</w:t>
      </w:r>
      <w:r>
        <w:rPr>
          <w:rFonts w:hint="eastAsia" w:ascii="Times New Roman" w:hAnsi="Times New Roman" w:cs="Times New Roman"/>
        </w:rPr>
        <w:t>, Jie Kang</w:t>
      </w:r>
      <w:r>
        <w:rPr>
          <w:rFonts w:hint="eastAsia" w:ascii="Times New Roman" w:hAnsi="Times New Roman" w:cs="Times New Roman"/>
          <w:vertAlign w:val="superscript"/>
        </w:rPr>
        <w:t>3</w:t>
      </w:r>
      <w:r>
        <w:rPr>
          <w:rFonts w:hint="eastAsia" w:ascii="Times New Roman" w:hAnsi="Times New Roman" w:cs="Times New Roman"/>
        </w:rPr>
        <w:t>, Xue Jiang</w:t>
      </w:r>
      <w:r>
        <w:rPr>
          <w:rFonts w:hint="eastAsia" w:ascii="Times New Roman" w:hAnsi="Times New Roman" w:cs="Times New Roman"/>
          <w:vertAlign w:val="superscript"/>
        </w:rPr>
        <w:t>1</w:t>
      </w:r>
      <w:r>
        <w:rPr>
          <w:rFonts w:hint="eastAsia" w:ascii="Times New Roman" w:hAnsi="Times New Roman" w:cs="Times New Roman"/>
        </w:rPr>
        <w:t>, Wenli Zhou</w:t>
      </w:r>
      <w:r>
        <w:rPr>
          <w:rFonts w:hint="eastAsia" w:ascii="Times New Roman" w:hAnsi="Times New Roman" w:cs="Times New Roman"/>
          <w:vertAlign w:val="superscript"/>
        </w:rPr>
        <w:t>1</w:t>
      </w:r>
      <w:r>
        <w:rPr>
          <w:rFonts w:hint="eastAsia" w:ascii="Times New Roman" w:hAnsi="Times New Roman" w:cs="Times New Roman"/>
        </w:rPr>
        <w:t>, Jin Zhang</w:t>
      </w:r>
      <w:r>
        <w:rPr>
          <w:rFonts w:hint="eastAsia" w:ascii="Times New Roman" w:hAnsi="Times New Roman" w:cs="Times New Roman"/>
          <w:vertAlign w:val="superscript"/>
        </w:rPr>
        <w:t>1</w:t>
      </w:r>
      <w:r>
        <w:rPr>
          <w:rFonts w:hint="eastAsia" w:ascii="Times New Roman" w:hAnsi="Times New Roman" w:cs="Times New Roman"/>
        </w:rPr>
        <w:t>, Xi Wu</w:t>
      </w:r>
      <w:r>
        <w:rPr>
          <w:rFonts w:hint="eastAsia" w:ascii="Times New Roman" w:hAnsi="Times New Roman" w:cs="Times New Roman"/>
          <w:vertAlign w:val="superscript"/>
        </w:rPr>
        <w:t>1</w:t>
      </w:r>
      <w:r>
        <w:rPr>
          <w:rFonts w:hint="eastAsia" w:ascii="Times New Roman" w:hAnsi="Times New Roman" w:cs="Times New Roman"/>
        </w:rPr>
        <w:t>, Jian Zhang</w:t>
      </w:r>
      <w:r>
        <w:rPr>
          <w:rFonts w:hint="eastAsia" w:ascii="Times New Roman" w:hAnsi="Times New Roman" w:cs="Times New Roman"/>
          <w:vertAlign w:val="superscript"/>
        </w:rPr>
        <w:t>1</w:t>
      </w:r>
      <w:r>
        <w:rPr>
          <w:rFonts w:hint="eastAsia" w:ascii="Times New Roman" w:hAnsi="Times New Roman" w:cs="Times New Roman"/>
        </w:rPr>
        <w:t>, Tao Chen</w:t>
      </w:r>
      <w:r>
        <w:rPr>
          <w:rFonts w:hint="eastAsia" w:ascii="Times New Roman" w:hAnsi="Times New Roman" w:cs="Times New Roman"/>
          <w:vertAlign w:val="superscript"/>
        </w:rPr>
        <w:t>1,</w:t>
      </w:r>
      <w:r>
        <w:rPr>
          <w:rFonts w:hint="eastAsia" w:ascii="Times New Roman" w:hAnsi="Times New Roman" w:cs="Times New Roman"/>
          <w:vertAlign w:val="superscript"/>
          <w:lang w:val="de-DE"/>
        </w:rPr>
        <w:t>*</w:t>
      </w:r>
      <w:r>
        <w:rPr>
          <w:rFonts w:hint="eastAsia" w:ascii="Times New Roman" w:hAnsi="Times New Roman" w:cs="Times New Roman"/>
        </w:rPr>
        <w:t>, Wenkun Zhu</w:t>
      </w:r>
      <w:r>
        <w:rPr>
          <w:rFonts w:hint="eastAsia" w:ascii="Times New Roman" w:hAnsi="Times New Roman" w:cs="Times New Roman"/>
          <w:vertAlign w:val="superscript"/>
        </w:rPr>
        <w:t>1,</w:t>
      </w:r>
      <w:r>
        <w:rPr>
          <w:rFonts w:hint="eastAsia" w:ascii="Times New Roman" w:hAnsi="Times New Roman" w:cs="Times New Roman"/>
          <w:vertAlign w:val="superscript"/>
          <w:lang w:val="de-DE"/>
        </w:rPr>
        <w:t>*</w:t>
      </w:r>
    </w:p>
    <w:p w14:paraId="42505A64">
      <w:pPr>
        <w:spacing w:line="480" w:lineRule="auto"/>
        <w:rPr>
          <w:rFonts w:ascii="Times New Roman" w:hAnsi="Times New Roman" w:eastAsia="宋体" w:cs="Times New Roman"/>
          <w:iCs/>
          <w:kern w:val="0"/>
          <w:szCs w:val="21"/>
        </w:rPr>
      </w:pPr>
      <w:r>
        <w:rPr>
          <w:rFonts w:hint="eastAsia" w:ascii="Times New Roman" w:hAnsi="Times New Roman" w:eastAsia="宋体" w:cs="Times New Roman"/>
          <w:b/>
          <w:bCs/>
          <w:color w:val="000000" w:themeColor="text1"/>
          <w:sz w:val="24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 w:eastAsia="宋体" w:cs="Times New Roman"/>
          <w:iCs/>
          <w:kern w:val="0"/>
          <w:szCs w:val="21"/>
          <w:vertAlign w:val="superscript"/>
        </w:rPr>
        <w:t>[1]</w:t>
      </w:r>
      <w:r>
        <w:rPr>
          <w:rFonts w:hint="eastAsia" w:ascii="Times New Roman" w:hAnsi="Times New Roman" w:eastAsia="宋体" w:cs="Times New Roman"/>
          <w:iCs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iCs/>
          <w:kern w:val="0"/>
          <w:szCs w:val="21"/>
        </w:rPr>
        <w:t>CAEA Innovation Center of Nuclear Environmental Safety Technology, School of National Defense &amp; Nuclear Science and Technology, Southwest University of Science and Technology, Mianyang, Sichuan 621010, China</w:t>
      </w:r>
    </w:p>
    <w:p w14:paraId="1FA8865F">
      <w:pPr>
        <w:spacing w:line="480" w:lineRule="auto"/>
        <w:rPr>
          <w:rFonts w:ascii="Times New Roman" w:hAnsi="Times New Roman" w:eastAsia="宋体" w:cs="Times New Roman"/>
          <w:iCs/>
          <w:kern w:val="0"/>
          <w:szCs w:val="21"/>
        </w:rPr>
      </w:pPr>
      <w:r>
        <w:rPr>
          <w:rFonts w:hint="eastAsia" w:ascii="Times New Roman" w:hAnsi="Times New Roman" w:eastAsia="宋体" w:cs="Times New Roman"/>
          <w:iCs/>
          <w:kern w:val="0"/>
          <w:szCs w:val="21"/>
          <w:vertAlign w:val="superscript"/>
        </w:rPr>
        <w:t>[2]</w:t>
      </w:r>
      <w:r>
        <w:rPr>
          <w:rFonts w:hint="eastAsia" w:ascii="Times New Roman" w:hAnsi="Times New Roman" w:eastAsia="宋体" w:cs="Times New Roman"/>
          <w:iCs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iCs/>
          <w:kern w:val="0"/>
          <w:szCs w:val="21"/>
        </w:rPr>
        <w:t>Beijing Research Institute of Chemical Engineering and Metallurgy, CNNC, Beijing</w:t>
      </w:r>
      <w:r>
        <w:rPr>
          <w:rFonts w:hint="eastAsia" w:ascii="Times New Roman" w:hAnsi="Times New Roman" w:eastAsia="宋体" w:cs="Times New Roman"/>
          <w:iCs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iCs/>
          <w:kern w:val="0"/>
          <w:szCs w:val="21"/>
        </w:rPr>
        <w:t>101149, China</w:t>
      </w:r>
    </w:p>
    <w:p w14:paraId="1F37AE66">
      <w:pPr>
        <w:spacing w:line="480" w:lineRule="auto"/>
        <w:rPr>
          <w:rFonts w:ascii="Times New Roman" w:hAnsi="Times New Roman" w:eastAsia="宋体" w:cs="Times New Roman"/>
          <w:iCs/>
          <w:kern w:val="0"/>
          <w:szCs w:val="21"/>
        </w:rPr>
      </w:pPr>
      <w:r>
        <w:rPr>
          <w:rFonts w:hint="eastAsia" w:ascii="Times New Roman" w:hAnsi="Times New Roman" w:eastAsia="宋体" w:cs="Times New Roman"/>
          <w:iCs/>
          <w:kern w:val="0"/>
          <w:szCs w:val="21"/>
          <w:vertAlign w:val="superscript"/>
        </w:rPr>
        <w:t>[3]</w:t>
      </w:r>
      <w:r>
        <w:rPr>
          <w:rFonts w:hint="eastAsia" w:ascii="Times New Roman" w:hAnsi="Times New Roman" w:eastAsia="宋体" w:cs="Times New Roman"/>
          <w:iCs/>
          <w:kern w:val="0"/>
          <w:szCs w:val="21"/>
        </w:rPr>
        <w:t xml:space="preserve"> </w:t>
      </w:r>
      <w:r>
        <w:rPr>
          <w:rFonts w:ascii="Times New Roman" w:hAnsi="Times New Roman" w:eastAsia="宋体" w:cs="Times New Roman"/>
          <w:iCs/>
          <w:kern w:val="0"/>
          <w:szCs w:val="21"/>
        </w:rPr>
        <w:t>CNNC Lanzhou Uranium Enrichment Co., Ltd., Lanzhou 730065, China</w:t>
      </w:r>
    </w:p>
    <w:p w14:paraId="362A4843">
      <w:pPr>
        <w:spacing w:line="480" w:lineRule="auto"/>
        <w:rPr>
          <w:rFonts w:ascii="Times New Roman" w:hAnsi="Times New Roman" w:eastAsia="宋体" w:cs="Times New Roman"/>
          <w:iCs/>
          <w:kern w:val="0"/>
          <w:szCs w:val="21"/>
        </w:rPr>
      </w:pPr>
      <w:r>
        <w:rPr>
          <w:rFonts w:ascii="Times New Roman" w:hAnsi="Times New Roman" w:eastAsia="宋体" w:cs="Times New Roman"/>
          <w:iCs/>
          <w:kern w:val="0"/>
          <w:szCs w:val="21"/>
          <w:lang w:val="de-DE"/>
        </w:rPr>
        <w:t>*</w:t>
      </w:r>
      <w:r>
        <w:rPr>
          <w:rFonts w:ascii="Times New Roman" w:hAnsi="Times New Roman" w:eastAsia="宋体" w:cs="Times New Roman"/>
          <w:iCs/>
          <w:kern w:val="0"/>
          <w:szCs w:val="21"/>
        </w:rPr>
        <w:t>Corresponding author. E-mail: chent@swust.edu.cn(T. Chen), zhuwenkun@swust.edu.cn(W. Zhu).</w:t>
      </w:r>
    </w:p>
    <w:p w14:paraId="0F22F794">
      <w:pPr>
        <w:spacing w:line="480" w:lineRule="auto"/>
        <w:rPr>
          <w:rFonts w:ascii="Times New Roman" w:hAnsi="Times New Roman" w:cs="Times New Roman"/>
        </w:rPr>
      </w:pPr>
    </w:p>
    <w:p w14:paraId="4B8095F2">
      <w:pPr>
        <w:widowControl/>
        <w:spacing w:line="480" w:lineRule="auto"/>
        <w:ind w:firstLine="480" w:firstLineChars="200"/>
        <w:rPr>
          <w:rFonts w:ascii="Times New Roman" w:hAnsi="Times New Roman"/>
          <w:sz w:val="24"/>
        </w:rPr>
      </w:pPr>
    </w:p>
    <w:p w14:paraId="2FE51F28">
      <w:pPr>
        <w:spacing w:line="360" w:lineRule="auto"/>
        <w:jc w:val="center"/>
        <w:rPr>
          <w:rFonts w:ascii="Times New Roman" w:hAnsi="Times New Roman" w:eastAsia="宋体" w:cs="Times New Roman"/>
          <w:color w:val="0000FF"/>
          <w:sz w:val="24"/>
          <w:szCs w:val="22"/>
        </w:rPr>
      </w:pPr>
      <w:r>
        <w:rPr>
          <w:rFonts w:hint="eastAsia" w:ascii="Times New Roman" w:hAnsi="Times New Roman"/>
          <w:sz w:val="24"/>
        </w:rPr>
        <w:br w:type="page"/>
      </w:r>
      <w:r>
        <w:rPr>
          <w:rFonts w:hint="eastAsia" w:ascii="Times New Roman" w:hAnsi="Times New Roman" w:eastAsia="宋体" w:cs="Times New Roman"/>
          <w:color w:val="0000FF"/>
          <w:sz w:val="24"/>
          <w:szCs w:val="22"/>
        </w:rPr>
        <w:drawing>
          <wp:inline distT="0" distB="0" distL="0" distR="0">
            <wp:extent cx="5274310" cy="1473200"/>
            <wp:effectExtent l="0" t="0" r="0" b="0"/>
            <wp:docPr id="3263438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34386" name="图片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E91887">
      <w:pPr>
        <w:spacing w:line="36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  <w:lang w:val="en-US" w:eastAsia="zh-CN"/>
        </w:rPr>
        <w:t xml:space="preserve">Supplementary </w:t>
      </w:r>
      <w:r>
        <w:rPr>
          <w:rFonts w:hint="eastAsia" w:ascii="Times New Roman" w:hAnsi="Times New Roman"/>
          <w:sz w:val="24"/>
        </w:rPr>
        <w:t>Fig</w:t>
      </w:r>
      <w:r>
        <w:rPr>
          <w:rFonts w:hint="eastAsia" w:ascii="Times New Roman" w:hAnsi="Times New Roman"/>
          <w:sz w:val="24"/>
          <w:lang w:val="en-US" w:eastAsia="zh-CN"/>
        </w:rPr>
        <w:t>.</w:t>
      </w:r>
      <w:r>
        <w:rPr>
          <w:rFonts w:hint="eastAsia" w:ascii="Times New Roman" w:hAnsi="Times New Roman"/>
          <w:sz w:val="24"/>
        </w:rPr>
        <w:t xml:space="preserve"> S1. Digital photographs of the as-prepared microspheres, (a) SA-Ca microspheres, (b) SA-Cu microspheres, (c) SA-CC microspheres.</w:t>
      </w:r>
    </w:p>
    <w:p w14:paraId="4F10AE72">
      <w:pPr>
        <w:spacing w:line="360" w:lineRule="auto"/>
        <w:rPr>
          <w:rFonts w:ascii="Times New Roman" w:hAnsi="Times New Roman"/>
          <w:sz w:val="24"/>
        </w:rPr>
      </w:pPr>
    </w:p>
    <w:p w14:paraId="6096809D">
      <w:pPr>
        <w:spacing w:line="360" w:lineRule="auto"/>
        <w:jc w:val="center"/>
        <w:rPr>
          <w:rFonts w:ascii="Times New Roman" w:hAnsi="Times New Roman" w:eastAsia="宋体" w:cs="Times New Roman"/>
          <w:color w:val="0000FF"/>
          <w:sz w:val="24"/>
          <w:szCs w:val="22"/>
        </w:rPr>
      </w:pPr>
      <w:r>
        <w:rPr>
          <w:rFonts w:ascii="Times New Roman" w:hAnsi="Times New Roman" w:eastAsia="宋体" w:cs="Times New Roman"/>
          <w:color w:val="0000FF"/>
          <w:sz w:val="24"/>
          <w:szCs w:val="22"/>
        </w:rPr>
        <w:drawing>
          <wp:inline distT="0" distB="0" distL="0" distR="0">
            <wp:extent cx="3599815" cy="2941955"/>
            <wp:effectExtent l="0" t="0" r="0" b="0"/>
            <wp:docPr id="5345465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546576" name="图片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942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6BE3F">
      <w:pPr>
        <w:spacing w:line="36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  <w:lang w:val="en-US" w:eastAsia="zh-CN"/>
        </w:rPr>
        <w:t xml:space="preserve">Supplementary </w:t>
      </w:r>
      <w:r>
        <w:rPr>
          <w:rFonts w:hint="eastAsia" w:ascii="Times New Roman" w:hAnsi="Times New Roman"/>
          <w:sz w:val="24"/>
        </w:rPr>
        <w:t>Fig</w:t>
      </w:r>
      <w:r>
        <w:rPr>
          <w:rFonts w:hint="eastAsia" w:ascii="Times New Roman" w:hAnsi="Times New Roman"/>
          <w:sz w:val="24"/>
          <w:lang w:val="en-US" w:eastAsia="zh-CN"/>
        </w:rPr>
        <w:t>.</w:t>
      </w:r>
      <w:r>
        <w:rPr>
          <w:rFonts w:hint="eastAsia" w:ascii="Times New Roman" w:hAnsi="Times New Roman"/>
          <w:sz w:val="24"/>
        </w:rPr>
        <w:t xml:space="preserve">S2. </w:t>
      </w:r>
      <w:r>
        <w:rPr>
          <w:rFonts w:ascii="Times New Roman" w:hAnsi="Times New Roman"/>
          <w:sz w:val="24"/>
        </w:rPr>
        <w:t>Effect of initial uranium concentration on the adsorption performance of SA-based materials at pH 4.5.</w:t>
      </w:r>
    </w:p>
    <w:p w14:paraId="1F055310">
      <w:pPr>
        <w:widowControl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 xml:space="preserve">Pseudo-first-order model: </w:t>
      </w:r>
    </w:p>
    <w:p w14:paraId="2A5040BD">
      <w:pPr>
        <w:spacing w:line="360" w:lineRule="auto"/>
        <w:ind w:firstLine="480" w:firstLineChars="20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The adsorption</w:t>
      </w:r>
      <w:r>
        <w:rPr>
          <w:rFonts w:hint="eastAsia"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 xml:space="preserve">kinetics of U(VI) on </w:t>
      </w:r>
      <w:r>
        <w:rPr>
          <w:rFonts w:hint="eastAsia" w:ascii="Times New Roman" w:hAnsi="Times New Roman" w:cs="Times New Roman"/>
          <w:sz w:val="24"/>
          <w:szCs w:val="32"/>
        </w:rPr>
        <w:t>gel microspheres</w:t>
      </w:r>
      <w:r>
        <w:rPr>
          <w:rFonts w:ascii="Times New Roman" w:hAnsi="Times New Roman"/>
          <w:color w:val="000000"/>
          <w:sz w:val="24"/>
        </w:rPr>
        <w:t xml:space="preserve"> was simulated</w:t>
      </w:r>
      <w:r>
        <w:rPr>
          <w:rFonts w:hint="eastAsia"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by pseudo-first-order which were used to describe the</w:t>
      </w:r>
      <w:r>
        <w:rPr>
          <w:rFonts w:hint="eastAsia" w:ascii="Times New Roman" w:hAnsi="Times New Roman"/>
          <w:color w:val="000000"/>
          <w:sz w:val="24"/>
        </w:rPr>
        <w:t xml:space="preserve"> </w:t>
      </w:r>
      <w:r>
        <w:rPr>
          <w:rFonts w:ascii="Times New Roman" w:hAnsi="Times New Roman"/>
          <w:color w:val="000000"/>
          <w:sz w:val="24"/>
        </w:rPr>
        <w:t>physisorption behavior.</w:t>
      </w:r>
    </w:p>
    <w:p w14:paraId="63D067C7">
      <w:pPr>
        <w:widowControl/>
        <w:spacing w:line="48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linear:</w:t>
      </w:r>
      <w:r>
        <w:rPr>
          <w:rFonts w:hint="eastAsia" w:ascii="Times New Roman" w:hAnsi="Times New Roman"/>
          <w:position w:val="-12"/>
          <w:sz w:val="24"/>
        </w:rPr>
        <w:object>
          <v:shape id="_x0000_i1025" o:spt="75" type="#_x0000_t75" style="height:18.3pt;width:109.45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Equation.3" ShapeID="_x0000_i1025" DrawAspect="Content" ObjectID="_1468075725" r:id="rId6">
            <o:LockedField>false</o:LockedField>
          </o:OLEObject>
        </w:object>
      </w:r>
      <w:r>
        <w:rPr>
          <w:rFonts w:hint="eastAsia" w:ascii="Times New Roman" w:hAnsi="Times New Roman"/>
          <w:position w:val="-12"/>
          <w:sz w:val="24"/>
        </w:rPr>
        <w:t xml:space="preserve">                                      </w:t>
      </w:r>
      <w:r>
        <w:rPr>
          <w:rFonts w:hint="eastAsia" w:ascii="Times New Roman" w:hAnsi="Times New Roman"/>
          <w:sz w:val="24"/>
        </w:rPr>
        <w:t>(S1)</w:t>
      </w:r>
    </w:p>
    <w:p w14:paraId="4D2A2452">
      <w:pPr>
        <w:wordWrap w:val="0"/>
        <w:spacing w:line="360" w:lineRule="auto"/>
        <w:ind w:firstLine="420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non-linear: </w:t>
      </w:r>
      <w:r>
        <w:rPr>
          <w:rFonts w:ascii="Times New Roman" w:hAnsi="Times New Roman"/>
          <w:position w:val="-12"/>
          <w:sz w:val="24"/>
        </w:rPr>
        <w:object>
          <v:shape id="_x0000_i1026" o:spt="75" type="#_x0000_t75" style="height:19.55pt;width:76.6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Equation.DSMT4" ShapeID="_x0000_i1026" DrawAspect="Content" ObjectID="_1468075726" r:id="rId8">
            <o:LockedField>false</o:LockedField>
          </o:OLEObject>
        </w:object>
      </w:r>
      <w:r>
        <w:rPr>
          <w:rFonts w:ascii="Times New Roman" w:hAnsi="Times New Roman"/>
          <w:sz w:val="24"/>
        </w:rPr>
        <w:t xml:space="preserve">                                       (</w:t>
      </w:r>
      <w:r>
        <w:rPr>
          <w:rFonts w:hint="eastAsia" w:ascii="Times New Roman" w:hAnsi="Times New Roman"/>
          <w:sz w:val="24"/>
        </w:rPr>
        <w:t>S</w:t>
      </w:r>
      <w:r>
        <w:rPr>
          <w:rFonts w:ascii="Times New Roman" w:hAnsi="Times New Roman"/>
          <w:sz w:val="24"/>
        </w:rPr>
        <w:t>2)</w:t>
      </w:r>
    </w:p>
    <w:p w14:paraId="64C02E43">
      <w:pPr>
        <w:widowControl/>
        <w:spacing w:line="480" w:lineRule="auto"/>
        <w:ind w:firstLine="480" w:firstLineChars="200"/>
        <w:rPr>
          <w:rFonts w:ascii="Times New Roman" w:hAnsi="Times New Roman" w:eastAsia="等线" w:cs="Times New Roman"/>
          <w:b/>
          <w:bCs/>
          <w:i/>
          <w:iCs/>
          <w:color w:val="000000"/>
          <w:sz w:val="24"/>
        </w:rPr>
      </w:pPr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 xml:space="preserve">Pseudo-second-order model: </w:t>
      </w:r>
    </w:p>
    <w:p w14:paraId="3BBB9D54">
      <w:pPr>
        <w:spacing w:line="360" w:lineRule="auto"/>
        <w:ind w:firstLine="480" w:firstLineChars="20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 xml:space="preserve">The </w:t>
      </w:r>
      <w:r>
        <w:rPr>
          <w:rFonts w:ascii="Times New Roman" w:hAnsi="Times New Roman"/>
          <w:sz w:val="24"/>
        </w:rPr>
        <w:t>pseudo-second-order</w:t>
      </w:r>
      <w:r>
        <w:rPr>
          <w:rFonts w:ascii="Times New Roman" w:hAnsi="Times New Roman"/>
          <w:color w:val="000000"/>
          <w:sz w:val="24"/>
        </w:rPr>
        <w:t xml:space="preserve"> presumed that the rate limiting step </w:t>
      </w:r>
      <w:r>
        <w:rPr>
          <w:rFonts w:hint="eastAsia" w:ascii="Times New Roman" w:hAnsi="Times New Roman"/>
          <w:color w:val="000000"/>
          <w:sz w:val="24"/>
        </w:rPr>
        <w:t>was</w:t>
      </w:r>
      <w:r>
        <w:rPr>
          <w:rFonts w:ascii="Times New Roman" w:hAnsi="Times New Roman"/>
          <w:color w:val="000000"/>
          <w:sz w:val="24"/>
        </w:rPr>
        <w:t xml:space="preserve"> essentially chemisorption</w:t>
      </w:r>
      <w:r>
        <w:rPr>
          <w:rFonts w:hint="eastAsia" w:ascii="Times New Roman" w:hAnsi="Times New Roman"/>
          <w:color w:val="000000"/>
          <w:sz w:val="24"/>
        </w:rPr>
        <w:t xml:space="preserve"> and th</w:t>
      </w:r>
      <w:r>
        <w:rPr>
          <w:rFonts w:ascii="Times New Roman" w:hAnsi="Times New Roman"/>
          <w:color w:val="000000"/>
          <w:sz w:val="24"/>
        </w:rPr>
        <w:t>e mechanism m</w:t>
      </w:r>
      <w:r>
        <w:rPr>
          <w:rFonts w:hint="eastAsia" w:ascii="Times New Roman" w:hAnsi="Times New Roman"/>
          <w:color w:val="000000"/>
          <w:sz w:val="24"/>
        </w:rPr>
        <w:t>ight</w:t>
      </w:r>
      <w:r>
        <w:rPr>
          <w:rFonts w:ascii="Times New Roman" w:hAnsi="Times New Roman"/>
          <w:color w:val="000000"/>
          <w:sz w:val="24"/>
        </w:rPr>
        <w:t xml:space="preserve"> involve valence forces by sharing or through the exchange of electrons between adsorbate and adsorbent.</w:t>
      </w:r>
    </w:p>
    <w:p w14:paraId="278F62F4">
      <w:pPr>
        <w:widowControl/>
        <w:spacing w:line="48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linear:</w:t>
      </w:r>
      <w:r>
        <w:rPr>
          <w:rFonts w:ascii="Times New Roman" w:hAnsi="Times New Roman"/>
          <w:position w:val="-32"/>
          <w:sz w:val="24"/>
        </w:rPr>
        <w:object>
          <v:shape id="_x0000_i1027" o:spt="75" type="#_x0000_t75" style="height:34.55pt;width:78.25pt;" o:ole="t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  <w10:wrap type="none"/>
            <w10:anchorlock/>
          </v:shape>
          <o:OLEObject Type="Embed" ProgID="Equation.3" ShapeID="_x0000_i1027" DrawAspect="Content" ObjectID="_1468075727" r:id="rId10">
            <o:LockedField>false</o:LockedField>
          </o:OLEObject>
        </w:object>
      </w:r>
      <w:r>
        <w:rPr>
          <w:rFonts w:hint="eastAsia" w:ascii="Times New Roman" w:hAnsi="Times New Roman"/>
          <w:position w:val="-32"/>
          <w:sz w:val="24"/>
        </w:rPr>
        <w:t xml:space="preserve">                                           </w:t>
      </w:r>
      <w:r>
        <w:rPr>
          <w:rFonts w:hint="eastAsia" w:ascii="Times New Roman" w:hAnsi="Times New Roman"/>
          <w:sz w:val="24"/>
        </w:rPr>
        <w:t>(S3)</w:t>
      </w:r>
    </w:p>
    <w:p w14:paraId="42D3F066">
      <w:pPr>
        <w:wordWrap w:val="0"/>
        <w:spacing w:line="360" w:lineRule="auto"/>
        <w:ind w:firstLine="420"/>
        <w:jc w:val="right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sz w:val="24"/>
        </w:rPr>
        <w:t xml:space="preserve">non-linear: </w:t>
      </w:r>
      <w:r>
        <w:rPr>
          <w:rFonts w:ascii="Times New Roman" w:hAnsi="Times New Roman"/>
          <w:position w:val="-30"/>
          <w:sz w:val="24"/>
        </w:rPr>
        <w:object>
          <v:shape id="_x0000_i1028" o:spt="75" type="#_x0000_t75" style="height:37.05pt;width:72.85pt;" o:ole="t" filled="f" o:preferrelative="t" stroked="f" coordsize="21600,21600">
            <v:path/>
            <v:fill on="f" focussize="0,0"/>
            <v:stroke on="f" joinstyle="miter"/>
            <v:imagedata r:id="rId13" o:title=""/>
            <o:lock v:ext="edit" aspectratio="t"/>
            <w10:wrap type="none"/>
            <w10:anchorlock/>
          </v:shape>
          <o:OLEObject Type="Embed" ProgID="Equation.DSMT4" ShapeID="_x0000_i1028" DrawAspect="Content" ObjectID="_1468075728" r:id="rId12">
            <o:LockedField>false</o:LockedField>
          </o:OLEObject>
        </w:object>
      </w:r>
      <w:r>
        <w:rPr>
          <w:rFonts w:ascii="Times New Roman" w:hAnsi="Times New Roman"/>
          <w:sz w:val="24"/>
        </w:rPr>
        <w:t xml:space="preserve">                                        (S4)</w:t>
      </w:r>
    </w:p>
    <w:p w14:paraId="57BA5703">
      <w:pPr>
        <w:widowControl/>
        <w:spacing w:line="480" w:lineRule="auto"/>
        <w:ind w:firstLine="480" w:firstLineChars="200"/>
        <w:rPr>
          <w:rFonts w:ascii="Times New Roman" w:hAnsi="Times New Roman" w:eastAsia="等线" w:cs="Times New Roman"/>
          <w:b/>
          <w:bCs/>
          <w:i/>
          <w:iCs/>
          <w:color w:val="000000"/>
          <w:sz w:val="24"/>
        </w:rPr>
      </w:pPr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 xml:space="preserve">the Elovich model: </w:t>
      </w:r>
    </w:p>
    <w:p w14:paraId="22A905C1">
      <w:pPr>
        <w:spacing w:line="360" w:lineRule="auto"/>
        <w:ind w:firstLine="480" w:firstLineChars="20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The Elovich kinetic model considered that the rate-controlling step is the diffusion of the target ions and it revealed the behaviors of chemisorption.</w:t>
      </w:r>
    </w:p>
    <w:p w14:paraId="494E73A9">
      <w:pPr>
        <w:widowControl/>
        <w:spacing w:line="48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position w:val="-24"/>
          <w:sz w:val="24"/>
        </w:rPr>
        <w:object>
          <v:shape id="_x0000_i1029" o:spt="75" type="#_x0000_t75" style="height:30.8pt;width:79.1pt;" o:ole="t" filled="f" o:preferrelative="t" stroked="f" coordsize="21600,21600">
            <v:path/>
            <v:fill on="f" focussize="0,0"/>
            <v:stroke on="f" joinstyle="miter"/>
            <v:imagedata r:id="rId15" o:title=""/>
            <o:lock v:ext="edit" aspectratio="t"/>
            <w10:wrap type="none"/>
            <w10:anchorlock/>
          </v:shape>
          <o:OLEObject Type="Embed" ProgID="Equation.3" ShapeID="_x0000_i1029" DrawAspect="Content" ObjectID="_1468075729" r:id="rId14">
            <o:LockedField>false</o:LockedField>
          </o:OLEObject>
        </w:object>
      </w:r>
      <w:r>
        <w:rPr>
          <w:rFonts w:hint="eastAsia" w:ascii="Times New Roman" w:hAnsi="Times New Roman"/>
          <w:position w:val="-12"/>
          <w:sz w:val="24"/>
        </w:rPr>
        <w:t xml:space="preserve">                                                </w:t>
      </w:r>
      <w:r>
        <w:rPr>
          <w:rFonts w:hint="eastAsia" w:ascii="Times New Roman" w:hAnsi="Times New Roman"/>
          <w:sz w:val="24"/>
        </w:rPr>
        <w:t>(S5)</w:t>
      </w:r>
    </w:p>
    <w:p w14:paraId="61B7FD39">
      <w:pPr>
        <w:widowControl/>
        <w:spacing w:line="480" w:lineRule="auto"/>
        <w:ind w:firstLine="480" w:firstLineChars="200"/>
        <w:rPr>
          <w:rFonts w:ascii="Times New Roman" w:hAnsi="Times New Roman" w:eastAsia="等线" w:cs="Times New Roman"/>
          <w:b/>
          <w:bCs/>
          <w:i/>
          <w:iCs/>
          <w:color w:val="000000"/>
          <w:sz w:val="24"/>
        </w:rPr>
      </w:pPr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 xml:space="preserve">the </w:t>
      </w:r>
      <w:bookmarkStart w:id="0" w:name="OLE_LINK76"/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>intra-particle diffusion kinetic</w:t>
      </w:r>
      <w:bookmarkEnd w:id="0"/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 xml:space="preserve"> model: </w:t>
      </w:r>
    </w:p>
    <w:p w14:paraId="6A7A63F3">
      <w:pPr>
        <w:spacing w:line="360" w:lineRule="auto"/>
        <w:ind w:firstLine="480" w:firstLineChars="200"/>
        <w:rPr>
          <w:rFonts w:ascii="Times New Roman" w:hAnsi="Times New Roman"/>
          <w:color w:val="000000"/>
          <w:sz w:val="24"/>
        </w:rPr>
      </w:pPr>
      <w:r>
        <w:rPr>
          <w:rFonts w:hint="eastAsia" w:ascii="Times New Roman" w:hAnsi="Times New Roman"/>
          <w:color w:val="000000"/>
          <w:sz w:val="24"/>
        </w:rPr>
        <w:t xml:space="preserve">The </w:t>
      </w:r>
      <w:r>
        <w:rPr>
          <w:rFonts w:ascii="Times New Roman" w:hAnsi="Times New Roman"/>
          <w:bCs/>
          <w:sz w:val="24"/>
        </w:rPr>
        <w:t>intraparticle diffusion</w:t>
      </w:r>
      <w:r>
        <w:rPr>
          <w:rFonts w:hint="eastAsia" w:ascii="Times New Roman" w:hAnsi="Times New Roman"/>
          <w:bCs/>
          <w:sz w:val="24"/>
        </w:rPr>
        <w:t xml:space="preserve"> </w:t>
      </w:r>
      <w:bookmarkStart w:id="1" w:name="_Hlk47795037"/>
      <w:r>
        <w:rPr>
          <w:rFonts w:ascii="Times New Roman" w:hAnsi="Times New Roman"/>
          <w:color w:val="000000"/>
          <w:sz w:val="24"/>
        </w:rPr>
        <w:t>kinetic model</w:t>
      </w:r>
      <w:bookmarkEnd w:id="1"/>
      <w:r>
        <w:rPr>
          <w:rFonts w:ascii="Times New Roman" w:hAnsi="Times New Roman"/>
          <w:color w:val="000000"/>
          <w:sz w:val="24"/>
        </w:rPr>
        <w:t xml:space="preserve"> assume</w:t>
      </w:r>
      <w:r>
        <w:rPr>
          <w:rFonts w:hint="eastAsia" w:ascii="Times New Roman" w:hAnsi="Times New Roman"/>
          <w:color w:val="000000"/>
          <w:sz w:val="24"/>
        </w:rPr>
        <w:t>d</w:t>
      </w:r>
      <w:r>
        <w:rPr>
          <w:rFonts w:ascii="Times New Roman" w:hAnsi="Times New Roman"/>
          <w:color w:val="000000"/>
          <w:sz w:val="24"/>
        </w:rPr>
        <w:t xml:space="preserve"> that </w:t>
      </w:r>
      <w:r>
        <w:rPr>
          <w:rFonts w:hint="eastAsia" w:ascii="Times New Roman" w:hAnsi="Times New Roman"/>
          <w:color w:val="000000"/>
          <w:sz w:val="24"/>
        </w:rPr>
        <w:t xml:space="preserve">the </w:t>
      </w:r>
      <w:r>
        <w:rPr>
          <w:rFonts w:ascii="Times New Roman" w:hAnsi="Times New Roman"/>
          <w:color w:val="000000"/>
          <w:sz w:val="24"/>
        </w:rPr>
        <w:t xml:space="preserve">internal diffusion </w:t>
      </w:r>
      <w:r>
        <w:rPr>
          <w:rFonts w:hint="eastAsia" w:ascii="Times New Roman" w:hAnsi="Times New Roman"/>
          <w:color w:val="000000"/>
          <w:sz w:val="24"/>
        </w:rPr>
        <w:t>wa</w:t>
      </w:r>
      <w:r>
        <w:rPr>
          <w:rFonts w:ascii="Times New Roman" w:hAnsi="Times New Roman"/>
          <w:color w:val="000000"/>
          <w:sz w:val="24"/>
        </w:rPr>
        <w:t>s a velocit</w:t>
      </w:r>
      <w:r>
        <w:rPr>
          <w:rFonts w:hint="eastAsia" w:ascii="Times New Roman" w:hAnsi="Times New Roman"/>
          <w:color w:val="000000"/>
          <w:sz w:val="24"/>
        </w:rPr>
        <w:t>y</w:t>
      </w:r>
      <w:r>
        <w:rPr>
          <w:rFonts w:ascii="Times New Roman" w:hAnsi="Times New Roman"/>
          <w:color w:val="000000"/>
          <w:sz w:val="24"/>
        </w:rPr>
        <w:t>-controlled step and the direction of diffusion is random.</w:t>
      </w:r>
    </w:p>
    <w:p w14:paraId="74593EDC">
      <w:pPr>
        <w:widowControl/>
        <w:spacing w:line="48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position w:val="-12"/>
          <w:sz w:val="24"/>
        </w:rPr>
        <w:object>
          <v:shape id="_x0000_i1030" o:spt="75" type="#_x0000_t75" style="height:18.3pt;width:70.7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Equation.3" ShapeID="_x0000_i1030" DrawAspect="Content" ObjectID="_1468075730" r:id="rId16">
            <o:LockedField>false</o:LockedField>
          </o:OLEObject>
        </w:object>
      </w:r>
      <w:r>
        <w:rPr>
          <w:rFonts w:hint="eastAsia" w:ascii="Times New Roman" w:hAnsi="Times New Roman"/>
          <w:position w:val="-12"/>
          <w:sz w:val="24"/>
        </w:rPr>
        <w:t xml:space="preserve">               </w:t>
      </w:r>
      <w:bookmarkStart w:id="2" w:name="OLE_LINK3"/>
      <w:r>
        <w:rPr>
          <w:rFonts w:hint="eastAsia" w:ascii="Times New Roman" w:hAnsi="Times New Roman"/>
          <w:position w:val="-12"/>
          <w:sz w:val="24"/>
        </w:rPr>
        <w:t xml:space="preserve">                                   </w:t>
      </w:r>
      <w:r>
        <w:rPr>
          <w:rFonts w:hint="eastAsia" w:ascii="Times New Roman" w:hAnsi="Times New Roman"/>
          <w:sz w:val="24"/>
        </w:rPr>
        <w:t>(S6)</w:t>
      </w:r>
    </w:p>
    <w:bookmarkEnd w:id="2"/>
    <w:p w14:paraId="1ECD791B">
      <w:pPr>
        <w:widowControl/>
        <w:spacing w:line="480" w:lineRule="auto"/>
        <w:ind w:firstLine="480" w:firstLineChars="200"/>
        <w:rPr>
          <w:rFonts w:ascii="Times New Roman" w:hAnsi="Times New Roman" w:eastAsia="等线" w:cs="Times New Roman"/>
          <w:b/>
          <w:bCs/>
          <w:i/>
          <w:iCs/>
          <w:color w:val="000000"/>
          <w:sz w:val="24"/>
        </w:rPr>
      </w:pPr>
      <w:bookmarkStart w:id="3" w:name="OLE_LINK31"/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>the bangham model:</w:t>
      </w:r>
      <w:bookmarkEnd w:id="3"/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 xml:space="preserve"> </w:t>
      </w:r>
    </w:p>
    <w:p w14:paraId="4BABCBF6">
      <w:pPr>
        <w:widowControl/>
        <w:spacing w:line="48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color w:val="000000"/>
          <w:sz w:val="24"/>
        </w:rPr>
        <w:t>The</w:t>
      </w:r>
      <w:r>
        <w:rPr>
          <w:rFonts w:hint="eastAsia" w:ascii="Times New Roman" w:hAnsi="Times New Roman"/>
          <w:sz w:val="24"/>
        </w:rPr>
        <w:t xml:space="preserve"> bangham model often used to describe pore diffusion mechanisms. </w:t>
      </w:r>
    </w:p>
    <w:p w14:paraId="18BC7D54">
      <w:pPr>
        <w:widowControl/>
        <w:spacing w:line="480" w:lineRule="auto"/>
        <w:ind w:firstLine="480" w:firstLineChars="200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position w:val="-30"/>
          <w:sz w:val="24"/>
        </w:rPr>
        <w:object>
          <v:shape id="_x0000_i1031" o:spt="75" type="#_x0000_t75" style="height:33.7pt;width:203.95pt;" o:ole="t" filled="f" o:preferrelative="t" stroked="f" coordsize="21600,21600">
            <v:path/>
            <v:fill on="f" focussize="0,0"/>
            <v:stroke on="f" joinstyle="miter"/>
            <v:imagedata r:id="rId19" o:title=""/>
            <o:lock v:ext="edit" aspectratio="t"/>
            <w10:wrap type="none"/>
            <w10:anchorlock/>
          </v:shape>
          <o:OLEObject Type="Embed" ProgID="Equation.3" ShapeID="_x0000_i1031" DrawAspect="Content" ObjectID="_1468075731" r:id="rId18">
            <o:LockedField>false</o:LockedField>
          </o:OLEObject>
        </w:object>
      </w:r>
      <w:r>
        <w:rPr>
          <w:rFonts w:hint="eastAsia" w:ascii="Times New Roman" w:hAnsi="Times New Roman"/>
          <w:position w:val="-12"/>
          <w:sz w:val="24"/>
        </w:rPr>
        <w:t xml:space="preserve">                           </w:t>
      </w:r>
      <w:r>
        <w:rPr>
          <w:rFonts w:hint="eastAsia" w:ascii="Times New Roman" w:hAnsi="Times New Roman"/>
          <w:sz w:val="24"/>
        </w:rPr>
        <w:t>(S7)</w:t>
      </w:r>
    </w:p>
    <w:p w14:paraId="1220B4A5">
      <w:r>
        <w:br w:type="page"/>
      </w:r>
    </w:p>
    <w:p w14:paraId="0BBEC91B">
      <w:pPr>
        <w:jc w:val="center"/>
      </w:pPr>
      <w:r>
        <w:rPr>
          <w:rFonts w:hint="eastAsia"/>
        </w:rPr>
        <w:drawing>
          <wp:inline distT="0" distB="0" distL="114300" distR="114300">
            <wp:extent cx="3578225" cy="2800985"/>
            <wp:effectExtent l="0" t="0" r="3175" b="18415"/>
            <wp:docPr id="2" name="图片 2" descr="Graph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Graph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rcRect l="4169" t="6815" r="11640"/>
                    <a:stretch>
                      <a:fillRect/>
                    </a:stretch>
                  </pic:blipFill>
                  <pic:spPr>
                    <a:xfrm>
                      <a:off x="0" y="0"/>
                      <a:ext cx="3578225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35B5E6">
      <w:pPr>
        <w:spacing w:line="36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  <w:lang w:val="en-US" w:eastAsia="zh-CN"/>
        </w:rPr>
        <w:t xml:space="preserve">Supplementary </w:t>
      </w:r>
      <w:r>
        <w:rPr>
          <w:rFonts w:hint="eastAsia" w:ascii="Times New Roman" w:hAnsi="Times New Roman"/>
          <w:sz w:val="24"/>
        </w:rPr>
        <w:t>Fig</w:t>
      </w:r>
      <w:r>
        <w:rPr>
          <w:rFonts w:hint="eastAsia" w:ascii="Times New Roman" w:hAnsi="Times New Roman"/>
          <w:sz w:val="24"/>
          <w:lang w:val="en-US" w:eastAsia="zh-CN"/>
        </w:rPr>
        <w:t xml:space="preserve">. </w:t>
      </w:r>
      <w:r>
        <w:rPr>
          <w:rFonts w:hint="eastAsia" w:ascii="Times New Roman" w:hAnsi="Times New Roman"/>
          <w:sz w:val="24"/>
        </w:rPr>
        <w:t xml:space="preserve">S3. </w:t>
      </w:r>
      <w:r>
        <w:rPr>
          <w:rFonts w:ascii="Times New Roman" w:hAnsi="Times New Roman"/>
          <w:sz w:val="24"/>
        </w:rPr>
        <w:t>non-linear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Linear kinetic model </w:t>
      </w:r>
      <w:r>
        <w:rPr>
          <w:rFonts w:hint="eastAsia" w:ascii="Times New Roman" w:hAnsi="Times New Roman"/>
          <w:sz w:val="24"/>
        </w:rPr>
        <w:t>of</w:t>
      </w:r>
      <w:r>
        <w:rPr>
          <w:rFonts w:ascii="Times New Roman" w:hAnsi="Times New Roman"/>
          <w:sz w:val="24"/>
        </w:rPr>
        <w:t xml:space="preserve"> pseudo-first-order and pseudo-second-order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>(C</w:t>
      </w:r>
      <w:r>
        <w:rPr>
          <w:rFonts w:ascii="Times New Roman" w:hAnsi="Times New Roman"/>
          <w:sz w:val="24"/>
          <w:vertAlign w:val="subscript"/>
        </w:rPr>
        <w:t>0</w:t>
      </w:r>
      <w:r>
        <w:rPr>
          <w:rFonts w:ascii="Times New Roman" w:hAnsi="Times New Roman"/>
          <w:sz w:val="24"/>
        </w:rPr>
        <w:t xml:space="preserve"> = 10 mg/L, m/V = 0.1 g/L, pH = </w:t>
      </w:r>
      <w:r>
        <w:rPr>
          <w:rFonts w:hint="eastAsia" w:ascii="Times New Roman" w:hAnsi="Times New Roman"/>
          <w:sz w:val="24"/>
        </w:rPr>
        <w:t xml:space="preserve">4.5 </w:t>
      </w:r>
      <w:r>
        <w:rPr>
          <w:rFonts w:ascii="Times New Roman" w:hAnsi="Times New Roman"/>
          <w:sz w:val="24"/>
        </w:rPr>
        <w:t>and T = 298 K).</w:t>
      </w:r>
    </w:p>
    <w:p w14:paraId="74900F05">
      <w:pPr>
        <w:spacing w:line="360" w:lineRule="auto"/>
        <w:rPr>
          <w:rFonts w:ascii="Times New Roman" w:hAnsi="Times New Roman"/>
          <w:sz w:val="24"/>
        </w:rPr>
      </w:pPr>
    </w:p>
    <w:p w14:paraId="559D242F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0881F22C">
      <w:pPr>
        <w:spacing w:line="36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  <w:lang w:val="en-US" w:eastAsia="zh-CN"/>
        </w:rPr>
        <w:t xml:space="preserve">Supplementary </w:t>
      </w:r>
      <w:r>
        <w:rPr>
          <w:rFonts w:hint="eastAsia" w:ascii="Times New Roman" w:hAnsi="Times New Roman"/>
          <w:sz w:val="24"/>
        </w:rPr>
        <w:t>Fig</w:t>
      </w:r>
      <w:r>
        <w:rPr>
          <w:rFonts w:hint="eastAsia" w:ascii="Times New Roman" w:hAnsi="Times New Roman"/>
          <w:sz w:val="24"/>
          <w:lang w:val="en-US" w:eastAsia="zh-CN"/>
        </w:rPr>
        <w:t xml:space="preserve">. </w:t>
      </w:r>
      <w:r>
        <w:rPr>
          <w:rFonts w:ascii="Times New Roman" w:hAnsi="Times New Roman"/>
          <w:sz w:val="24"/>
        </w:rPr>
        <w:t>S</w:t>
      </w:r>
      <w:r>
        <w:rPr>
          <w:rFonts w:hint="eastAsia" w:ascii="Times New Roman" w:hAnsi="Times New Roman"/>
          <w:sz w:val="24"/>
        </w:rPr>
        <w:t>1</w:t>
      </w:r>
      <w:r>
        <w:rPr>
          <w:rFonts w:ascii="Times New Roman" w:hAnsi="Times New Roman"/>
          <w:sz w:val="24"/>
        </w:rPr>
        <w:t xml:space="preserve">. Kinetic parameters of uranium (VI) adsorption </w:t>
      </w:r>
      <w:r>
        <w:rPr>
          <w:rFonts w:hint="eastAsia" w:ascii="Times New Roman" w:hAnsi="Times New Roman"/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>SA-Ca, SA-Cu</w:t>
      </w:r>
      <w:r>
        <w:rPr>
          <w:rFonts w:ascii="Times New Roman" w:hAnsi="Times New Roman"/>
          <w:sz w:val="24"/>
        </w:rPr>
        <w:t xml:space="preserve"> and</w:t>
      </w:r>
      <w:r>
        <w:rPr>
          <w:rFonts w:hint="eastAsia" w:ascii="Times New Roman" w:hAnsi="Times New Roman"/>
          <w:sz w:val="24"/>
        </w:rPr>
        <w:t xml:space="preserve"> SA-CC</w:t>
      </w:r>
      <w:r>
        <w:rPr>
          <w:rFonts w:ascii="Times New Roman" w:hAnsi="Times New Roman"/>
          <w:sz w:val="24"/>
        </w:rPr>
        <w:t>.</w:t>
      </w:r>
    </w:p>
    <w:tbl>
      <w:tblPr>
        <w:tblStyle w:val="6"/>
        <w:tblW w:w="4999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64"/>
        <w:gridCol w:w="1299"/>
        <w:gridCol w:w="2433"/>
        <w:gridCol w:w="2327"/>
        <w:gridCol w:w="957"/>
      </w:tblGrid>
      <w:tr w14:paraId="0B4DD4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7C34465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Models</w:t>
            </w:r>
          </w:p>
        </w:tc>
        <w:tc>
          <w:tcPr>
            <w:tcW w:w="608" w:type="pct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7C7A8470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</w:t>
            </w:r>
            <w:r>
              <w:rPr>
                <w:rFonts w:ascii="Times New Roman" w:hAnsi="Times New Roman"/>
                <w:sz w:val="24"/>
              </w:rPr>
              <w:t>amples</w:t>
            </w:r>
          </w:p>
        </w:tc>
        <w:tc>
          <w:tcPr>
            <w:tcW w:w="2676" w:type="pct"/>
            <w:gridSpan w:val="3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0337B600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Parameters</w:t>
            </w:r>
          </w:p>
        </w:tc>
      </w:tr>
      <w:tr w14:paraId="6911309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restart"/>
            <w:tcBorders>
              <w:top w:val="single" w:color="auto" w:sz="8" w:space="0"/>
              <w:left w:val="nil"/>
              <w:right w:val="nil"/>
            </w:tcBorders>
            <w:vAlign w:val="center"/>
          </w:tcPr>
          <w:p w14:paraId="43DD01D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P</w:t>
            </w:r>
            <w:r>
              <w:rPr>
                <w:rFonts w:ascii="Times New Roman" w:hAnsi="Times New Roman"/>
                <w:sz w:val="24"/>
              </w:rPr>
              <w:t>seudo-first-order model</w:t>
            </w:r>
          </w:p>
        </w:tc>
        <w:tc>
          <w:tcPr>
            <w:tcW w:w="608" w:type="pct"/>
            <w:tcBorders>
              <w:top w:val="single" w:color="auto" w:sz="8" w:space="0"/>
              <w:left w:val="nil"/>
              <w:bottom w:val="nil"/>
              <w:right w:val="nil"/>
            </w:tcBorders>
          </w:tcPr>
          <w:p w14:paraId="109BBA49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9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4146476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Q</w:t>
            </w:r>
            <w:r>
              <w:rPr>
                <w:rFonts w:ascii="Times New Roman" w:hAnsi="Times New Roman"/>
                <w:sz w:val="24"/>
                <w:vertAlign w:val="subscript"/>
              </w:rPr>
              <w:t>e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(mg/g)</w:t>
            </w:r>
          </w:p>
        </w:tc>
        <w:tc>
          <w:tcPr>
            <w:tcW w:w="1089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402D2B4E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</w:t>
            </w:r>
            <w:r>
              <w:rPr>
                <w:rFonts w:ascii="Times New Roman" w:hAnsi="Times New Roman"/>
                <w:sz w:val="24"/>
                <w:vertAlign w:val="subscript"/>
              </w:rPr>
              <w:t>1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(min</w:t>
            </w:r>
            <w:r>
              <w:rPr>
                <w:rFonts w:ascii="Times New Roman" w:hAnsi="Times New Roman"/>
                <w:sz w:val="24"/>
                <w:vertAlign w:val="superscript"/>
              </w:rPr>
              <w:t>-1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447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1FE32BB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 w14:paraId="54DC687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left w:val="nil"/>
              <w:right w:val="nil"/>
            </w:tcBorders>
            <w:vAlign w:val="center"/>
          </w:tcPr>
          <w:p w14:paraId="53832A7D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6A01D85F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SA-Ca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</w:tcPr>
          <w:p w14:paraId="63D6A1F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85.4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</w:tcPr>
          <w:p w14:paraId="3C11027C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</w:t>
            </w:r>
            <w:r>
              <w:rPr>
                <w:rFonts w:hint="eastAsia" w:ascii="Times New Roman" w:hAnsi="Times New Roman"/>
                <w:sz w:val="24"/>
              </w:rPr>
              <w:t>238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</w:tcPr>
          <w:p w14:paraId="739922E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>.9</w:t>
            </w:r>
            <w:r>
              <w:rPr>
                <w:rFonts w:hint="eastAsia" w:ascii="Times New Roman" w:hAnsi="Times New Roman"/>
                <w:sz w:val="24"/>
              </w:rPr>
              <w:t>46</w:t>
            </w:r>
          </w:p>
        </w:tc>
      </w:tr>
      <w:tr w14:paraId="018510F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left w:val="nil"/>
              <w:right w:val="nil"/>
            </w:tcBorders>
            <w:vAlign w:val="center"/>
          </w:tcPr>
          <w:p w14:paraId="26A1270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0F620F8F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</w:tcPr>
          <w:p w14:paraId="3FFB8B49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87.7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</w:tcPr>
          <w:p w14:paraId="301B3B0C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</w:t>
            </w:r>
            <w:r>
              <w:rPr>
                <w:rFonts w:hint="eastAsia" w:ascii="Times New Roman" w:hAnsi="Times New Roman"/>
                <w:sz w:val="24"/>
              </w:rPr>
              <w:t>2</w:t>
            </w: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</w:tcPr>
          <w:p w14:paraId="1FB518CC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>.9</w:t>
            </w:r>
            <w:r>
              <w:rPr>
                <w:rFonts w:hint="eastAsia" w:ascii="Times New Roman" w:hAnsi="Times New Roman"/>
                <w:sz w:val="24"/>
              </w:rPr>
              <w:t>32</w:t>
            </w:r>
          </w:p>
        </w:tc>
      </w:tr>
      <w:tr w14:paraId="256202E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left w:val="nil"/>
              <w:bottom w:val="nil"/>
              <w:right w:val="nil"/>
            </w:tcBorders>
            <w:vAlign w:val="center"/>
          </w:tcPr>
          <w:p w14:paraId="68E9B3A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689E875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SA-Cu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</w:tcPr>
          <w:p w14:paraId="24BA8F83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90.6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</w:tcPr>
          <w:p w14:paraId="242060F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0.0</w:t>
            </w:r>
            <w:r>
              <w:rPr>
                <w:rFonts w:hint="eastAsia" w:ascii="Times New Roman" w:hAnsi="Times New Roman"/>
                <w:sz w:val="24"/>
              </w:rPr>
              <w:t>239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</w:tcPr>
          <w:p w14:paraId="0933DAE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>.9</w:t>
            </w:r>
            <w:r>
              <w:rPr>
                <w:rFonts w:hint="eastAsia" w:ascii="Times New Roman" w:hAnsi="Times New Roman"/>
                <w:sz w:val="24"/>
              </w:rPr>
              <w:t>40</w:t>
            </w:r>
          </w:p>
        </w:tc>
      </w:tr>
      <w:tr w14:paraId="188973F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C16EF40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P</w:t>
            </w:r>
            <w:r>
              <w:rPr>
                <w:rFonts w:ascii="Times New Roman" w:hAnsi="Times New Roman"/>
                <w:sz w:val="24"/>
              </w:rPr>
              <w:t>seudo-second-order model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56E54A15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57EDAF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Q</w:t>
            </w:r>
            <w:r>
              <w:rPr>
                <w:rFonts w:ascii="Times New Roman" w:hAnsi="Times New Roman"/>
                <w:sz w:val="24"/>
                <w:vertAlign w:val="subscript"/>
              </w:rPr>
              <w:t>e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(mg/g)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461530">
            <w:pPr>
              <w:spacing w:line="36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</w:t>
            </w:r>
            <w:r>
              <w:rPr>
                <w:rFonts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(g min</w:t>
            </w:r>
            <w:r>
              <w:rPr>
                <w:rFonts w:ascii="Times New Roman" w:hAnsi="Times New Roman"/>
                <w:sz w:val="24"/>
                <w:vertAlign w:val="superscript"/>
              </w:rPr>
              <w:t>-1</w:t>
            </w:r>
            <w:r>
              <w:rPr>
                <w:rFonts w:ascii="Times New Roman" w:hAnsi="Times New Roman"/>
                <w:sz w:val="24"/>
              </w:rPr>
              <w:t xml:space="preserve"> mg</w:t>
            </w:r>
            <w:r>
              <w:rPr>
                <w:rFonts w:ascii="Times New Roman" w:hAnsi="Times New Roman"/>
                <w:sz w:val="24"/>
                <w:vertAlign w:val="superscript"/>
              </w:rPr>
              <w:t>-1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A79845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 w14:paraId="424E2DF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left w:val="nil"/>
              <w:right w:val="nil"/>
            </w:tcBorders>
            <w:vAlign w:val="center"/>
          </w:tcPr>
          <w:p w14:paraId="6C33CACF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19F86AD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SA-Ca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</w:tcPr>
          <w:p w14:paraId="6A27E637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92.6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</w:tcPr>
          <w:p w14:paraId="17B7AE97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>.001</w:t>
            </w:r>
            <w:r>
              <w:rPr>
                <w:rFonts w:hint="eastAsia" w:ascii="Times New Roman" w:hAnsi="Times New Roman"/>
                <w:sz w:val="24"/>
              </w:rPr>
              <w:t>3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</w:tcPr>
          <w:p w14:paraId="7CB18BD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>.9</w:t>
            </w:r>
            <w:r>
              <w:rPr>
                <w:rFonts w:hint="eastAsia" w:ascii="Times New Roman" w:hAnsi="Times New Roman"/>
                <w:sz w:val="24"/>
              </w:rPr>
              <w:t>87</w:t>
            </w:r>
          </w:p>
        </w:tc>
      </w:tr>
      <w:tr w14:paraId="13B6C9B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left w:val="nil"/>
              <w:right w:val="nil"/>
            </w:tcBorders>
            <w:vAlign w:val="center"/>
          </w:tcPr>
          <w:p w14:paraId="4C463093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3BC25B0F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</w:tcPr>
          <w:p w14:paraId="2A2C184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9</w:t>
            </w:r>
            <w:r>
              <w:rPr>
                <w:rFonts w:hint="eastAsia" w:ascii="Times New Roman" w:hAnsi="Times New Roman"/>
                <w:sz w:val="24"/>
              </w:rPr>
              <w:t>7.7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</w:tcPr>
          <w:p w14:paraId="78AB4C3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>.001</w:t>
            </w:r>
            <w:r>
              <w:rPr>
                <w:rFonts w:hint="eastAsia" w:ascii="Times New Roman" w:hAnsi="Times New Roman"/>
                <w:sz w:val="24"/>
              </w:rPr>
              <w:t>2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</w:tcPr>
          <w:p w14:paraId="5E984C5F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>.9</w:t>
            </w:r>
            <w:r>
              <w:rPr>
                <w:rFonts w:hint="eastAsia" w:ascii="Times New Roman" w:hAnsi="Times New Roman"/>
                <w:sz w:val="24"/>
              </w:rPr>
              <w:t>90</w:t>
            </w:r>
          </w:p>
        </w:tc>
      </w:tr>
      <w:tr w14:paraId="6B9FC33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left w:val="nil"/>
              <w:bottom w:val="nil"/>
              <w:right w:val="nil"/>
            </w:tcBorders>
            <w:vAlign w:val="center"/>
          </w:tcPr>
          <w:p w14:paraId="6665D00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6AEA156C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SA-Cu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</w:tcPr>
          <w:p w14:paraId="3144C69F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99.8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</w:tcPr>
          <w:p w14:paraId="36849B4D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>.001</w:t>
            </w:r>
            <w:r>
              <w:rPr>
                <w:rFonts w:hint="eastAsia" w:ascii="Times New Roman" w:hAnsi="Times New Roman"/>
                <w:sz w:val="24"/>
              </w:rPr>
              <w:t>3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</w:tcPr>
          <w:p w14:paraId="1846B523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</w:t>
            </w:r>
            <w:r>
              <w:rPr>
                <w:rFonts w:ascii="Times New Roman" w:hAnsi="Times New Roman"/>
                <w:sz w:val="24"/>
              </w:rPr>
              <w:t>.9</w:t>
            </w:r>
            <w:r>
              <w:rPr>
                <w:rFonts w:hint="eastAsia" w:ascii="Times New Roman" w:hAnsi="Times New Roman"/>
                <w:sz w:val="24"/>
              </w:rPr>
              <w:t>82</w:t>
            </w:r>
          </w:p>
        </w:tc>
      </w:tr>
      <w:tr w14:paraId="7B2309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6B1154C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Elovich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12EEEFF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780F05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 xml:space="preserve">a (mg </w:t>
            </w:r>
            <w:r>
              <w:rPr>
                <w:rFonts w:ascii="Times New Roman" w:hAnsi="Times New Roman"/>
                <w:sz w:val="24"/>
              </w:rPr>
              <w:t>g</w:t>
            </w:r>
            <w:r>
              <w:rPr>
                <w:rFonts w:ascii="Times New Roman" w:hAnsi="Times New Roman"/>
                <w:sz w:val="24"/>
                <w:vertAlign w:val="superscript"/>
              </w:rPr>
              <w:t>-1</w:t>
            </w:r>
            <w:r>
              <w:rPr>
                <w:rFonts w:hint="eastAsia" w:ascii="Times New Roman" w:hAnsi="Times New Roman"/>
                <w:sz w:val="24"/>
              </w:rPr>
              <w:t xml:space="preserve"> min)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</w:tcPr>
          <w:p w14:paraId="5FE53989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b (g m</w:t>
            </w:r>
            <w:r>
              <w:rPr>
                <w:rFonts w:ascii="Times New Roman" w:hAnsi="Times New Roman"/>
                <w:sz w:val="24"/>
              </w:rPr>
              <w:t>g</w:t>
            </w:r>
            <w:r>
              <w:rPr>
                <w:rFonts w:ascii="Times New Roman" w:hAnsi="Times New Roman"/>
                <w:sz w:val="24"/>
                <w:vertAlign w:val="superscript"/>
              </w:rPr>
              <w:t>-1</w:t>
            </w:r>
            <w:r>
              <w:rPr>
                <w:rFonts w:hint="eastAsia" w:ascii="Times New Roman" w:hAnsi="Times New Roman"/>
                <w:sz w:val="24"/>
              </w:rPr>
              <w:t>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DD2D6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 w14:paraId="6D1AC1E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left w:val="nil"/>
              <w:right w:val="nil"/>
            </w:tcBorders>
            <w:vAlign w:val="center"/>
          </w:tcPr>
          <w:p w14:paraId="0A1E384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44618A1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SA-Ca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FBFBE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38.68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</w:tcPr>
          <w:p w14:paraId="19FAF149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0.0102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72B73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0.944</w:t>
            </w:r>
          </w:p>
        </w:tc>
      </w:tr>
      <w:tr w14:paraId="643EBE62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left w:val="nil"/>
              <w:right w:val="nil"/>
            </w:tcBorders>
            <w:vAlign w:val="center"/>
          </w:tcPr>
          <w:p w14:paraId="368CAC2E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4DB639A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CE867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39.23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</w:tcPr>
          <w:p w14:paraId="2808A7E5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0.0099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1DC5E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0.984</w:t>
            </w:r>
          </w:p>
        </w:tc>
      </w:tr>
      <w:tr w14:paraId="36AB3C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left w:val="nil"/>
              <w:bottom w:val="nil"/>
              <w:right w:val="nil"/>
            </w:tcBorders>
            <w:vAlign w:val="center"/>
          </w:tcPr>
          <w:p w14:paraId="561A92BD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547C2E0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SA-Cu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ECCC9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37.92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</w:tcPr>
          <w:p w14:paraId="5C0319B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0.0102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FEE52F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0.971</w:t>
            </w:r>
          </w:p>
        </w:tc>
      </w:tr>
      <w:tr w14:paraId="0A7361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3CE13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Intra-particle diffusion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5499490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93A56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k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1</w:t>
            </w:r>
            <w:r>
              <w:rPr>
                <w:rFonts w:hint="eastAsia" w:ascii="Times New Roman" w:hAnsi="Times New Roman"/>
                <w:sz w:val="24"/>
              </w:rPr>
              <w:t xml:space="preserve"> (mg g</w:t>
            </w:r>
            <w:r>
              <w:rPr>
                <w:rFonts w:ascii="Times New Roman" w:hAnsi="Times New Roman"/>
                <w:sz w:val="24"/>
                <w:vertAlign w:val="superscript"/>
              </w:rPr>
              <w:t>-1</w:t>
            </w:r>
            <w:r>
              <w:rPr>
                <w:rFonts w:hint="eastAsia" w:ascii="Times New Roman" w:hAnsi="Times New Roman"/>
                <w:sz w:val="24"/>
              </w:rPr>
              <w:t xml:space="preserve"> min</w:t>
            </w:r>
            <w:r>
              <w:rPr>
                <w:rFonts w:ascii="Times New Roman" w:hAnsi="Times New Roman"/>
                <w:sz w:val="24"/>
                <w:vertAlign w:val="superscript"/>
              </w:rPr>
              <w:t>-</w:t>
            </w:r>
            <w:r>
              <w:rPr>
                <w:rFonts w:hint="eastAsia" w:ascii="Times New Roman" w:hAnsi="Times New Roman"/>
                <w:sz w:val="24"/>
                <w:vertAlign w:val="superscript"/>
              </w:rPr>
              <w:t>0.5</w:t>
            </w:r>
            <w:r>
              <w:rPr>
                <w:rFonts w:hint="eastAsia" w:ascii="Times New Roman" w:hAnsi="Times New Roman"/>
                <w:sz w:val="24"/>
              </w:rPr>
              <w:t>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</w:tcPr>
          <w:p w14:paraId="163C3C2E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C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1</w:t>
            </w:r>
            <w:r>
              <w:rPr>
                <w:rFonts w:hint="eastAsia" w:ascii="Times New Roman" w:hAnsi="Times New Roman"/>
                <w:sz w:val="24"/>
              </w:rPr>
              <w:t xml:space="preserve"> (mg g</w:t>
            </w:r>
            <w:r>
              <w:rPr>
                <w:rFonts w:ascii="Times New Roman" w:hAnsi="Times New Roman"/>
                <w:sz w:val="24"/>
                <w:vertAlign w:val="superscript"/>
              </w:rPr>
              <w:t>-1</w:t>
            </w:r>
            <w:r>
              <w:rPr>
                <w:rFonts w:hint="eastAsia" w:ascii="Times New Roman" w:hAnsi="Times New Roman"/>
                <w:sz w:val="24"/>
              </w:rPr>
              <w:t xml:space="preserve"> 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DD5E3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 w14:paraId="1C1E2B7F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E8F50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377CA05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SA-Ca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1F1C5E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4.774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</w:tcPr>
          <w:p w14:paraId="1B900CEE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1.215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4CC495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0.955</w:t>
            </w:r>
          </w:p>
        </w:tc>
      </w:tr>
      <w:tr w14:paraId="10EFF00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7776C9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1E14E87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7093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4.846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98DFE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5.783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D2ED8D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0.980</w:t>
            </w:r>
          </w:p>
        </w:tc>
      </w:tr>
      <w:tr w14:paraId="3C2B5D68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D7D9B0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76C7280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SA-Cu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576E6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4.719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2775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5.086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971B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0.965</w:t>
            </w:r>
          </w:p>
        </w:tc>
      </w:tr>
      <w:tr w14:paraId="416C505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AB2AE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4F99F519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CB2B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k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 xml:space="preserve"> (mg g</w:t>
            </w:r>
            <w:r>
              <w:rPr>
                <w:rFonts w:ascii="Times New Roman" w:hAnsi="Times New Roman"/>
                <w:sz w:val="24"/>
                <w:vertAlign w:val="superscript"/>
              </w:rPr>
              <w:t>-1</w:t>
            </w:r>
            <w:r>
              <w:rPr>
                <w:rFonts w:hint="eastAsia" w:ascii="Times New Roman" w:hAnsi="Times New Roman"/>
                <w:sz w:val="24"/>
              </w:rPr>
              <w:t xml:space="preserve"> min</w:t>
            </w:r>
            <w:r>
              <w:rPr>
                <w:rFonts w:ascii="Times New Roman" w:hAnsi="Times New Roman"/>
                <w:sz w:val="24"/>
                <w:vertAlign w:val="superscript"/>
              </w:rPr>
              <w:t>-</w:t>
            </w:r>
            <w:r>
              <w:rPr>
                <w:rFonts w:hint="eastAsia" w:ascii="Times New Roman" w:hAnsi="Times New Roman"/>
                <w:sz w:val="24"/>
                <w:vertAlign w:val="superscript"/>
              </w:rPr>
              <w:t>0.5</w:t>
            </w:r>
            <w:r>
              <w:rPr>
                <w:rFonts w:hint="eastAsia" w:ascii="Times New Roman" w:hAnsi="Times New Roman"/>
                <w:sz w:val="24"/>
              </w:rPr>
              <w:t>)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</w:tcPr>
          <w:p w14:paraId="5F413999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C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2</w:t>
            </w:r>
            <w:r>
              <w:rPr>
                <w:rFonts w:hint="eastAsia" w:ascii="Times New Roman" w:hAnsi="Times New Roman"/>
                <w:sz w:val="24"/>
              </w:rPr>
              <w:t xml:space="preserve"> (mg g</w:t>
            </w:r>
            <w:r>
              <w:rPr>
                <w:rFonts w:ascii="Times New Roman" w:hAnsi="Times New Roman"/>
                <w:sz w:val="24"/>
                <w:vertAlign w:val="superscript"/>
              </w:rPr>
              <w:t>-1</w:t>
            </w:r>
            <w:r>
              <w:rPr>
                <w:rFonts w:hint="eastAsia" w:ascii="Times New Roman" w:hAnsi="Times New Roman"/>
                <w:sz w:val="24"/>
              </w:rPr>
              <w:t xml:space="preserve"> )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4B8CF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 w14:paraId="315B4E7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2638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3AC0468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SA-Ca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5E437D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0.963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</w:tcPr>
          <w:p w14:paraId="2450172F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61.71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963AD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0.982</w:t>
            </w:r>
          </w:p>
        </w:tc>
      </w:tr>
      <w:tr w14:paraId="0C191CB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DE5D0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6BA3FD6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3C6DA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1.055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</w:tcPr>
          <w:p w14:paraId="62473313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65.56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7F3B77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0.991</w:t>
            </w:r>
          </w:p>
        </w:tc>
      </w:tr>
      <w:tr w14:paraId="129A153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FAC8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693B00F9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SA-Cu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A13E4E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1.261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</w:tcPr>
          <w:p w14:paraId="1FDFF4C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57.38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BD4F5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0.990</w:t>
            </w:r>
          </w:p>
        </w:tc>
      </w:tr>
      <w:tr w14:paraId="0DD5A1A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3C2D0A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Bangham</w:t>
            </w: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26F2954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354BCCC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DBC450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α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07019D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 w14:paraId="13C998E5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left w:val="nil"/>
              <w:right w:val="nil"/>
            </w:tcBorders>
            <w:vAlign w:val="center"/>
          </w:tcPr>
          <w:p w14:paraId="57A65CCD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244310F9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SA-Ca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BEED48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5C487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0.410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54B5A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0.906</w:t>
            </w:r>
          </w:p>
        </w:tc>
      </w:tr>
      <w:tr w14:paraId="23F51C2E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left w:val="nil"/>
              <w:right w:val="nil"/>
            </w:tcBorders>
            <w:vAlign w:val="center"/>
          </w:tcPr>
          <w:p w14:paraId="37FB38C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nil"/>
              <w:right w:val="nil"/>
            </w:tcBorders>
          </w:tcPr>
          <w:p w14:paraId="3BBDC485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SA-CC</w:t>
            </w:r>
          </w:p>
        </w:tc>
        <w:tc>
          <w:tcPr>
            <w:tcW w:w="113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28EBD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89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EBB86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0.376</w:t>
            </w:r>
          </w:p>
        </w:tc>
        <w:tc>
          <w:tcPr>
            <w:tcW w:w="44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0DE41F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0.923</w:t>
            </w:r>
          </w:p>
        </w:tc>
      </w:tr>
      <w:tr w14:paraId="6AAE5E5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715" w:type="pct"/>
            <w:vMerge w:val="continue"/>
            <w:tcBorders>
              <w:left w:val="nil"/>
              <w:bottom w:val="single" w:color="auto" w:sz="12" w:space="0"/>
              <w:right w:val="nil"/>
            </w:tcBorders>
            <w:vAlign w:val="center"/>
          </w:tcPr>
          <w:p w14:paraId="0D46DCE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08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7295CC6E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SA-Cu</w:t>
            </w:r>
          </w:p>
        </w:tc>
        <w:tc>
          <w:tcPr>
            <w:tcW w:w="1139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7D0867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089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5C3F387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0.365</w:t>
            </w:r>
          </w:p>
        </w:tc>
        <w:tc>
          <w:tcPr>
            <w:tcW w:w="447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962499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0.929</w:t>
            </w:r>
          </w:p>
        </w:tc>
      </w:tr>
    </w:tbl>
    <w:p w14:paraId="3E659DFF"/>
    <w:p w14:paraId="5B6B258A">
      <w:r>
        <w:br w:type="page"/>
      </w:r>
    </w:p>
    <w:p w14:paraId="388BFA2C">
      <w:pPr>
        <w:widowControl/>
        <w:spacing w:line="48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  <w:lang w:val="en-US" w:eastAsia="zh-CN"/>
        </w:rPr>
        <w:t xml:space="preserve">Supplementary </w:t>
      </w:r>
      <w:r>
        <w:rPr>
          <w:rFonts w:hint="eastAsia" w:ascii="Times New Roman" w:hAnsi="Times New Roman"/>
          <w:sz w:val="24"/>
        </w:rPr>
        <w:t>Fig</w:t>
      </w:r>
      <w:r>
        <w:rPr>
          <w:rFonts w:hint="eastAsia" w:ascii="Times New Roman" w:hAnsi="Times New Roman"/>
          <w:sz w:val="24"/>
          <w:lang w:val="en-US" w:eastAsia="zh-CN"/>
        </w:rPr>
        <w:t>.</w:t>
      </w:r>
      <w:r>
        <w:rPr>
          <w:rFonts w:hint="eastAsia" w:ascii="Times New Roman" w:hAnsi="Times New Roman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865505</wp:posOffset>
            </wp:positionH>
            <wp:positionV relativeFrom="paragraph">
              <wp:posOffset>43815</wp:posOffset>
            </wp:positionV>
            <wp:extent cx="3537585" cy="2685415"/>
            <wp:effectExtent l="0" t="0" r="5715" b="635"/>
            <wp:wrapTopAndBottom/>
            <wp:docPr id="3" name="图片 3" descr="原始数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原始数据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rcRect l="3940" t="7753" r="10122"/>
                    <a:stretch>
                      <a:fillRect/>
                    </a:stretch>
                  </pic:blipFill>
                  <pic:spPr>
                    <a:xfrm>
                      <a:off x="0" y="0"/>
                      <a:ext cx="353758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Times New Roman" w:hAnsi="Times New Roman"/>
          <w:sz w:val="24"/>
          <w:lang w:val="en-US" w:eastAsia="zh-CN"/>
        </w:rPr>
        <w:t xml:space="preserve"> </w:t>
      </w:r>
      <w:r>
        <w:rPr>
          <w:rFonts w:ascii="Times New Roman" w:hAnsi="Times New Roman"/>
          <w:sz w:val="24"/>
        </w:rPr>
        <w:t>S</w:t>
      </w:r>
      <w:r>
        <w:rPr>
          <w:rFonts w:hint="eastAsia" w:ascii="Times New Roman" w:hAnsi="Times New Roman"/>
          <w:sz w:val="24"/>
        </w:rPr>
        <w:t>4</w:t>
      </w:r>
      <w:r>
        <w:rPr>
          <w:rFonts w:ascii="Times New Roman" w:hAnsi="Times New Roman"/>
          <w:sz w:val="24"/>
        </w:rPr>
        <w:t xml:space="preserve">. Effect of initial uranium (VI) concentration on adsorption capacity of uranium (VI) on </w:t>
      </w:r>
      <w:r>
        <w:rPr>
          <w:rFonts w:hint="eastAsia" w:ascii="Times New Roman" w:hAnsi="Times New Roman"/>
          <w:sz w:val="24"/>
        </w:rPr>
        <w:t>SA-Ca, SA-CC</w:t>
      </w:r>
      <w:r>
        <w:rPr>
          <w:rFonts w:ascii="Times New Roman" w:hAnsi="Times New Roman"/>
          <w:sz w:val="24"/>
        </w:rPr>
        <w:t xml:space="preserve"> and</w:t>
      </w:r>
      <w:r>
        <w:rPr>
          <w:rFonts w:hint="eastAsia" w:ascii="Times New Roman" w:hAnsi="Times New Roman"/>
          <w:sz w:val="24"/>
        </w:rPr>
        <w:t xml:space="preserve"> SA-Cu</w:t>
      </w:r>
      <w:r>
        <w:rPr>
          <w:rFonts w:ascii="Times New Roman" w:hAnsi="Times New Roman"/>
          <w:sz w:val="24"/>
        </w:rPr>
        <w:t>.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(m/V = 0.1 g/L, pH = </w:t>
      </w:r>
      <w:r>
        <w:rPr>
          <w:rFonts w:hint="eastAsia" w:ascii="Times New Roman" w:hAnsi="Times New Roman"/>
          <w:sz w:val="24"/>
        </w:rPr>
        <w:t xml:space="preserve">4.5 </w:t>
      </w:r>
      <w:r>
        <w:rPr>
          <w:rFonts w:ascii="Times New Roman" w:hAnsi="Times New Roman"/>
          <w:sz w:val="24"/>
        </w:rPr>
        <w:t>and T = 298 K)</w:t>
      </w:r>
    </w:p>
    <w:p w14:paraId="15B87BA2">
      <w:pPr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br w:type="page"/>
      </w:r>
    </w:p>
    <w:p w14:paraId="616BA3C8">
      <w:pPr>
        <w:widowControl/>
        <w:spacing w:line="480" w:lineRule="auto"/>
        <w:rPr>
          <w:rFonts w:ascii="Times New Roman" w:hAnsi="Times New Roman" w:eastAsia="等线" w:cs="Times New Roman"/>
          <w:b/>
          <w:bCs/>
          <w:i/>
          <w:iCs/>
          <w:color w:val="000000"/>
          <w:sz w:val="24"/>
        </w:rPr>
      </w:pPr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>the Langmuir isotherms model:</w:t>
      </w:r>
    </w:p>
    <w:p w14:paraId="797716C1">
      <w:pPr>
        <w:spacing w:line="360" w:lineRule="auto"/>
        <w:ind w:firstLine="48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The Langmuir model assumes that monolayer adsorption takes place on the homogenous surfaces. It is one of the most widely used isotherm in adsorption.</w:t>
      </w:r>
    </w:p>
    <w:p w14:paraId="68B0E7EA">
      <w:pPr>
        <w:spacing w:line="48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the linear format:</w:t>
      </w:r>
      <w:r>
        <w:rPr>
          <w:rFonts w:hint="eastAsia" w:ascii="Times New Roman" w:hAnsi="Times New Roman"/>
          <w:position w:val="-30"/>
          <w:sz w:val="24"/>
        </w:rPr>
        <w:object>
          <v:shape id="_x0000_i1032" o:spt="75" type="#_x0000_t75" style="height:34.55pt;width:84.5pt;" o:ole="t" filled="f" o:preferrelative="t" stroked="f" coordsize="21600,21600">
            <v:path/>
            <v:fill on="f" focussize="0,0"/>
            <v:stroke on="f" joinstyle="miter"/>
            <v:imagedata r:id="rId23" o:title=""/>
            <o:lock v:ext="edit" aspectratio="t"/>
            <w10:wrap type="none"/>
            <w10:anchorlock/>
          </v:shape>
          <o:OLEObject Type="Embed" ProgID="Equation.3" ShapeID="_x0000_i1032" DrawAspect="Content" ObjectID="_1468075732" r:id="rId22">
            <o:LockedField>false</o:LockedField>
          </o:OLEObject>
        </w:object>
      </w:r>
      <w:r>
        <w:rPr>
          <w:rFonts w:hint="eastAsia" w:ascii="Times New Roman" w:hAnsi="Times New Roman"/>
          <w:position w:val="-30"/>
          <w:sz w:val="24"/>
        </w:rPr>
        <w:t xml:space="preserve">                                     </w:t>
      </w:r>
      <w:r>
        <w:rPr>
          <w:rFonts w:ascii="Times New Roman" w:hAnsi="Times New Roman"/>
          <w:sz w:val="24"/>
        </w:rPr>
        <w:t>(</w:t>
      </w:r>
      <w:r>
        <w:rPr>
          <w:rFonts w:hint="eastAsia" w:ascii="Times New Roman" w:hAnsi="Times New Roman"/>
          <w:sz w:val="24"/>
        </w:rPr>
        <w:t>S8</w:t>
      </w:r>
      <w:r>
        <w:rPr>
          <w:rFonts w:ascii="Times New Roman" w:hAnsi="Times New Roman"/>
          <w:sz w:val="24"/>
        </w:rPr>
        <w:t>)</w:t>
      </w:r>
    </w:p>
    <w:p w14:paraId="65BDFB4F">
      <w:pPr>
        <w:widowControl/>
        <w:spacing w:line="48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the nonlinear format:</w:t>
      </w:r>
      <w:bookmarkStart w:id="4" w:name="OLE_LINK61"/>
      <w:r>
        <w:rPr>
          <w:rFonts w:hint="eastAsia" w:ascii="Times New Roman" w:hAnsi="Times New Roman"/>
          <w:position w:val="-30"/>
          <w:sz w:val="24"/>
        </w:rPr>
        <w:object>
          <v:shape id="_x0000_i1033" o:spt="75" type="#_x0000_t75" style="height:34.55pt;width:68.65pt;" o:ole="t" filled="f" o:preferrelative="t" stroked="f" coordsize="21600,21600">
            <v:path/>
            <v:fill on="f" focussize="0,0"/>
            <v:stroke on="f" joinstyle="miter"/>
            <v:imagedata r:id="rId25" o:title=""/>
            <o:lock v:ext="edit" aspectratio="t"/>
            <w10:wrap type="none"/>
            <w10:anchorlock/>
          </v:shape>
          <o:OLEObject Type="Embed" ProgID="Equation.3" ShapeID="_x0000_i1033" DrawAspect="Content" ObjectID="_1468075733" r:id="rId24">
            <o:LockedField>false</o:LockedField>
          </o:OLEObject>
        </w:object>
      </w:r>
      <w:bookmarkEnd w:id="4"/>
      <w:r>
        <w:rPr>
          <w:rFonts w:hint="eastAsia" w:ascii="Times New Roman" w:hAnsi="Times New Roman"/>
          <w:sz w:val="24"/>
        </w:rPr>
        <w:t xml:space="preserve">                                     </w:t>
      </w:r>
      <w:r>
        <w:rPr>
          <w:rFonts w:ascii="Times New Roman" w:hAnsi="Times New Roman"/>
          <w:sz w:val="24"/>
        </w:rPr>
        <w:t>(</w:t>
      </w:r>
      <w:r>
        <w:rPr>
          <w:rFonts w:hint="eastAsia" w:ascii="Times New Roman" w:hAnsi="Times New Roman"/>
          <w:sz w:val="24"/>
        </w:rPr>
        <w:t>S9</w:t>
      </w:r>
      <w:r>
        <w:rPr>
          <w:rFonts w:ascii="Times New Roman" w:hAnsi="Times New Roman"/>
          <w:sz w:val="24"/>
        </w:rPr>
        <w:t>)</w:t>
      </w:r>
    </w:p>
    <w:p w14:paraId="445EF6D7">
      <w:pPr>
        <w:widowControl/>
        <w:spacing w:line="480" w:lineRule="auto"/>
        <w:rPr>
          <w:rFonts w:ascii="Times New Roman" w:hAnsi="Times New Roman" w:eastAsia="等线" w:cs="Times New Roman"/>
          <w:b/>
          <w:bCs/>
          <w:i/>
          <w:iCs/>
          <w:color w:val="000000"/>
          <w:sz w:val="24"/>
        </w:rPr>
      </w:pPr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>the Frendlich isotherms model:</w:t>
      </w:r>
    </w:p>
    <w:p w14:paraId="0A307A97">
      <w:pPr>
        <w:spacing w:line="360" w:lineRule="auto"/>
        <w:ind w:firstLine="480" w:firstLineChars="200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The Freundlich model has been regarded as an empirical equation without physical meaning. In many published papers, the Freundlich isotherm was applied to represent the multilayer adsorption on heterogamous surfaces.</w:t>
      </w:r>
    </w:p>
    <w:p w14:paraId="00DB963A">
      <w:pPr>
        <w:widowControl/>
        <w:spacing w:line="48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the linear format:</w:t>
      </w:r>
      <w:r>
        <w:rPr>
          <w:rFonts w:hint="eastAsia" w:ascii="Times New Roman" w:hAnsi="Times New Roman"/>
          <w:position w:val="-24"/>
          <w:sz w:val="24"/>
        </w:rPr>
        <w:object>
          <v:shape id="_x0000_i1034" o:spt="75" type="#_x0000_t75" style="height:31.2pt;width:109.45pt;" o:ole="t" filled="f" o:preferrelative="t" stroked="f" coordsize="21600,21600">
            <v:path/>
            <v:fill on="f" focussize="0,0"/>
            <v:stroke on="f" joinstyle="miter"/>
            <v:imagedata r:id="rId27" o:title=""/>
            <o:lock v:ext="edit" aspectratio="t"/>
            <w10:wrap type="none"/>
            <w10:anchorlock/>
          </v:shape>
          <o:OLEObject Type="Embed" ProgID="Equation.3" ShapeID="_x0000_i1034" DrawAspect="Content" ObjectID="_1468075734" r:id="rId26">
            <o:LockedField>false</o:LockedField>
          </o:OLEObject>
        </w:object>
      </w:r>
      <w:r>
        <w:rPr>
          <w:rFonts w:hint="eastAsia" w:ascii="Times New Roman" w:hAnsi="Times New Roman"/>
          <w:sz w:val="24"/>
        </w:rPr>
        <w:t xml:space="preserve">                                </w:t>
      </w:r>
      <w:r>
        <w:rPr>
          <w:rFonts w:ascii="Times New Roman" w:hAnsi="Times New Roman"/>
          <w:sz w:val="24"/>
        </w:rPr>
        <w:t>(</w:t>
      </w:r>
      <w:r>
        <w:rPr>
          <w:rFonts w:hint="eastAsia" w:ascii="Times New Roman" w:hAnsi="Times New Roman"/>
          <w:sz w:val="24"/>
        </w:rPr>
        <w:t>S10</w:t>
      </w:r>
      <w:bookmarkStart w:id="5" w:name="OLE_LINK67"/>
      <w:r>
        <w:rPr>
          <w:rFonts w:hint="eastAsia" w:ascii="Times New Roman" w:hAnsi="Times New Roman"/>
          <w:sz w:val="24"/>
        </w:rPr>
        <w:t>)</w:t>
      </w:r>
    </w:p>
    <w:p w14:paraId="031ED85C">
      <w:pPr>
        <w:widowControl/>
        <w:spacing w:line="48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</w:rPr>
        <w:t>the nonlinear</w:t>
      </w:r>
      <w:bookmarkEnd w:id="5"/>
      <w:r>
        <w:rPr>
          <w:rFonts w:hint="eastAsia" w:ascii="Times New Roman" w:hAnsi="Times New Roman"/>
          <w:sz w:val="24"/>
        </w:rPr>
        <w:t xml:space="preserve"> format:</w:t>
      </w:r>
      <w:r>
        <w:rPr>
          <w:rFonts w:hint="eastAsia" w:ascii="Times New Roman" w:hAnsi="Times New Roman"/>
          <w:position w:val="-12"/>
          <w:sz w:val="24"/>
        </w:rPr>
        <w:object>
          <v:shape id="_x0000_i1035" o:spt="75" type="#_x0000_t75" style="height:23.7pt;width:57pt;" o:ole="t" filled="f" o:preferrelative="t" stroked="f" coordsize="21600,21600">
            <v:path/>
            <v:fill on="f" focussize="0,0"/>
            <v:stroke on="f" joinstyle="miter"/>
            <v:imagedata r:id="rId29" o:title=""/>
            <o:lock v:ext="edit" aspectratio="t"/>
            <w10:wrap type="none"/>
            <w10:anchorlock/>
          </v:shape>
          <o:OLEObject Type="Embed" ProgID="Equation.3" ShapeID="_x0000_i1035" DrawAspect="Content" ObjectID="_1468075735" r:id="rId28">
            <o:LockedField>false</o:LockedField>
          </o:OLEObject>
        </w:object>
      </w:r>
      <w:r>
        <w:rPr>
          <w:rFonts w:hint="eastAsia" w:ascii="Times New Roman" w:hAnsi="Times New Roman"/>
          <w:sz w:val="24"/>
        </w:rPr>
        <w:t xml:space="preserve">      </w:t>
      </w:r>
      <w:bookmarkStart w:id="6" w:name="OLE_LINK5"/>
      <w:r>
        <w:rPr>
          <w:rFonts w:hint="eastAsia" w:ascii="Times New Roman" w:hAnsi="Times New Roman"/>
          <w:sz w:val="24"/>
        </w:rPr>
        <w:t xml:space="preserve">                                </w:t>
      </w:r>
      <w:r>
        <w:rPr>
          <w:rFonts w:ascii="Times New Roman" w:hAnsi="Times New Roman"/>
          <w:sz w:val="24"/>
        </w:rPr>
        <w:t>(</w:t>
      </w:r>
      <w:r>
        <w:rPr>
          <w:rFonts w:hint="eastAsia" w:ascii="Times New Roman" w:hAnsi="Times New Roman"/>
          <w:sz w:val="24"/>
        </w:rPr>
        <w:t>S11</w:t>
      </w:r>
      <w:r>
        <w:rPr>
          <w:rFonts w:ascii="Times New Roman" w:hAnsi="Times New Roman"/>
          <w:sz w:val="24"/>
        </w:rPr>
        <w:t>)</w:t>
      </w:r>
      <w:bookmarkEnd w:id="6"/>
    </w:p>
    <w:p w14:paraId="515EF81F">
      <w:pPr>
        <w:widowControl/>
        <w:spacing w:line="480" w:lineRule="auto"/>
        <w:rPr>
          <w:rFonts w:ascii="Times New Roman" w:hAnsi="Times New Roman" w:eastAsia="等线" w:cs="Times New Roman"/>
          <w:b/>
          <w:bCs/>
          <w:i/>
          <w:iCs/>
          <w:color w:val="000000"/>
          <w:sz w:val="24"/>
        </w:rPr>
      </w:pPr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 xml:space="preserve">the Redlich-Peterson isotherms model: </w:t>
      </w:r>
    </w:p>
    <w:p w14:paraId="4361932A">
      <w:pPr>
        <w:spacing w:line="360" w:lineRule="auto"/>
        <w:ind w:firstLine="480" w:firstLineChars="200"/>
        <w:rPr>
          <w:rFonts w:ascii="Times New Roman" w:hAnsi="Times New Roman" w:eastAsia="微软雅黑"/>
          <w:kern w:val="0"/>
          <w:position w:val="-12"/>
          <w:sz w:val="24"/>
        </w:rPr>
      </w:pPr>
      <w:r>
        <w:rPr>
          <w:rFonts w:ascii="Times New Roman" w:hAnsi="Times New Roman" w:eastAsia="微软雅黑"/>
          <w:kern w:val="0"/>
          <w:position w:val="-12"/>
          <w:sz w:val="24"/>
        </w:rPr>
        <w:t>The R-P model is an empirical hybrid model of the Langmuir and Freundlich models, which has been frequently applied in the homogeneous or heterogeneous adsorption processes.</w:t>
      </w:r>
    </w:p>
    <w:p w14:paraId="115791F2">
      <w:pPr>
        <w:widowControl/>
        <w:spacing w:line="480" w:lineRule="auto"/>
        <w:rPr>
          <w:rFonts w:ascii="Times New Roman" w:hAnsi="Times New Roman"/>
          <w:sz w:val="24"/>
        </w:rPr>
      </w:pPr>
      <w:r>
        <w:drawing>
          <wp:inline distT="0" distB="0" distL="114300" distR="114300">
            <wp:extent cx="942975" cy="428625"/>
            <wp:effectExtent l="0" t="0" r="0" b="8255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97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sz w:val="24"/>
        </w:rPr>
        <w:t xml:space="preserve">                                                    </w:t>
      </w:r>
      <w:r>
        <w:rPr>
          <w:rFonts w:ascii="Times New Roman" w:hAnsi="Times New Roman"/>
          <w:sz w:val="24"/>
        </w:rPr>
        <w:t>(</w:t>
      </w:r>
      <w:r>
        <w:rPr>
          <w:rFonts w:hint="eastAsia" w:ascii="Times New Roman" w:hAnsi="Times New Roman"/>
          <w:sz w:val="24"/>
        </w:rPr>
        <w:t>S12</w:t>
      </w:r>
      <w:r>
        <w:rPr>
          <w:rFonts w:ascii="Times New Roman" w:hAnsi="Times New Roman"/>
          <w:sz w:val="24"/>
        </w:rPr>
        <w:t>)</w:t>
      </w:r>
    </w:p>
    <w:p w14:paraId="6786A2AA">
      <w:pPr>
        <w:widowControl/>
        <w:spacing w:line="480" w:lineRule="auto"/>
        <w:rPr>
          <w:rFonts w:ascii="Times New Roman" w:hAnsi="Times New Roman" w:eastAsia="等线" w:cs="Times New Roman"/>
          <w:b/>
          <w:bCs/>
          <w:i/>
          <w:iCs/>
          <w:color w:val="000000"/>
          <w:sz w:val="24"/>
        </w:rPr>
      </w:pPr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 xml:space="preserve">the </w:t>
      </w:r>
      <w:bookmarkStart w:id="7" w:name="OLE_LINK1"/>
      <w:bookmarkStart w:id="8" w:name="OLE_LINK6"/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>Dubinin-Radushkevich</w:t>
      </w:r>
      <w:bookmarkEnd w:id="7"/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 xml:space="preserve"> isotherms model</w:t>
      </w:r>
      <w:bookmarkEnd w:id="8"/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>:</w:t>
      </w:r>
    </w:p>
    <w:p w14:paraId="331B44FA">
      <w:pPr>
        <w:widowControl/>
        <w:spacing w:line="360" w:lineRule="auto"/>
        <w:ind w:firstLine="4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The D–R isotherm model was based on the adsorption potential theory and assumed that the adsorption process was related to micropore volume filling as opposed to layer-by-layer adsorption on pore walls</w:t>
      </w:r>
      <w:r>
        <w:rPr>
          <w:rFonts w:hint="eastAsia" w:ascii="Times New Roman" w:hAnsi="Times New Roman"/>
          <w:sz w:val="24"/>
        </w:rPr>
        <w:t xml:space="preserve">. </w:t>
      </w:r>
    </w:p>
    <w:p w14:paraId="3831EFE8">
      <w:pPr>
        <w:widowControl/>
        <w:spacing w:line="48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position w:val="-30"/>
          <w:sz w:val="24"/>
        </w:rPr>
        <w:object>
          <v:shape id="_x0000_i1036" o:spt="75" type="#_x0000_t75" style="height:34.55pt;width:177.3pt;" o:ole="t" filled="f" o:preferrelative="t" stroked="f" coordsize="21600,21600">
            <v:path/>
            <v:fill on="f" focussize="0,0"/>
            <v:stroke on="f" joinstyle="miter"/>
            <v:imagedata r:id="rId32" o:title=""/>
            <o:lock v:ext="edit" aspectratio="t"/>
            <w10:wrap type="none"/>
            <w10:anchorlock/>
          </v:shape>
          <o:OLEObject Type="Embed" ProgID="Equation.3" ShapeID="_x0000_i1036" DrawAspect="Content" ObjectID="_1468075736" r:id="rId31">
            <o:LockedField>false</o:LockedField>
          </o:OLEObject>
        </w:object>
      </w:r>
      <w:r>
        <w:rPr>
          <w:rFonts w:hint="eastAsia" w:ascii="Times New Roman" w:hAnsi="Times New Roman"/>
          <w:sz w:val="24"/>
        </w:rPr>
        <w:t xml:space="preserve">                                   </w:t>
      </w:r>
      <w:r>
        <w:rPr>
          <w:rFonts w:ascii="Times New Roman" w:hAnsi="Times New Roman"/>
          <w:sz w:val="24"/>
        </w:rPr>
        <w:t>(</w:t>
      </w:r>
      <w:r>
        <w:rPr>
          <w:rFonts w:hint="eastAsia" w:ascii="Times New Roman" w:hAnsi="Times New Roman"/>
          <w:sz w:val="24"/>
        </w:rPr>
        <w:t>S13</w:t>
      </w:r>
      <w:r>
        <w:rPr>
          <w:rFonts w:ascii="Times New Roman" w:hAnsi="Times New Roman"/>
          <w:sz w:val="24"/>
        </w:rPr>
        <w:t>)</w:t>
      </w:r>
    </w:p>
    <w:p w14:paraId="6ECD5CE3">
      <w:pPr>
        <w:widowControl/>
        <w:spacing w:line="480" w:lineRule="auto"/>
        <w:rPr>
          <w:rFonts w:ascii="Times New Roman" w:hAnsi="Times New Roman" w:eastAsia="等线" w:cs="Times New Roman"/>
          <w:b/>
          <w:bCs/>
          <w:i/>
          <w:iCs/>
          <w:color w:val="000000"/>
          <w:sz w:val="24"/>
        </w:rPr>
      </w:pPr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 xml:space="preserve">the </w:t>
      </w:r>
      <w:bookmarkStart w:id="9" w:name="OLE_LINK2"/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>Temkin</w:t>
      </w:r>
      <w:bookmarkEnd w:id="9"/>
      <w:r>
        <w:rPr>
          <w:rFonts w:hint="eastAsia" w:ascii="Times New Roman" w:hAnsi="Times New Roman" w:eastAsia="等线" w:cs="Times New Roman"/>
          <w:b/>
          <w:bCs/>
          <w:i/>
          <w:iCs/>
          <w:color w:val="000000"/>
          <w:sz w:val="24"/>
        </w:rPr>
        <w:t xml:space="preserve"> isotherm models: </w:t>
      </w:r>
    </w:p>
    <w:p w14:paraId="577166DA">
      <w:pPr>
        <w:widowControl/>
        <w:spacing w:line="360" w:lineRule="auto"/>
        <w:ind w:firstLine="4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This </w:t>
      </w:r>
      <w:r>
        <w:rPr>
          <w:rFonts w:hint="eastAsia" w:ascii="Times New Roman" w:hAnsi="Times New Roman"/>
          <w:sz w:val="24"/>
        </w:rPr>
        <w:t xml:space="preserve">Temkin </w:t>
      </w:r>
      <w:r>
        <w:rPr>
          <w:rFonts w:ascii="Times New Roman" w:hAnsi="Times New Roman"/>
          <w:sz w:val="24"/>
        </w:rPr>
        <w:t>isotherm model takes into consideration the interaction between the adsorbent and the adsorbate in which it ignores the extremely large and low</w:t>
      </w:r>
      <w:r>
        <w:rPr>
          <w:rFonts w:hint="eastAsia" w:ascii="Times New Roman" w:hAnsi="Times New Roman"/>
          <w:sz w:val="24"/>
        </w:rPr>
        <w:t xml:space="preserve"> </w:t>
      </w:r>
      <w:r>
        <w:fldChar w:fldCharType="begin"/>
      </w:r>
      <w:r>
        <w:instrText xml:space="preserve"> HYPERLINK "https://www.sciencedirect.com/topics/earth-and-planetary-sciences/concentration-value" \o "Learn more about concentration values from ScienceDirect's AI-generated Topic Pages" </w:instrText>
      </w:r>
      <w:r>
        <w:fldChar w:fldCharType="separate"/>
      </w:r>
      <w:r>
        <w:rPr>
          <w:rFonts w:ascii="Times New Roman" w:hAnsi="Times New Roman"/>
          <w:sz w:val="24"/>
        </w:rPr>
        <w:t>concentration values</w:t>
      </w:r>
      <w:r>
        <w:rPr>
          <w:rFonts w:ascii="Times New Roman" w:hAnsi="Times New Roman"/>
          <w:sz w:val="24"/>
        </w:rPr>
        <w:fldChar w:fldCharType="end"/>
      </w:r>
      <w:r>
        <w:rPr>
          <w:rFonts w:ascii="Times New Roman" w:hAnsi="Times New Roman"/>
          <w:sz w:val="24"/>
        </w:rPr>
        <w:t>.</w:t>
      </w:r>
    </w:p>
    <w:p w14:paraId="348392BC">
      <w:pPr>
        <w:widowControl/>
        <w:spacing w:line="36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position w:val="-30"/>
          <w:sz w:val="24"/>
        </w:rPr>
        <w:object>
          <v:shape id="_x0000_i1037" o:spt="75" type="#_x0000_t75" style="height:34.55pt;width:87pt;" o:ole="t" filled="f" o:preferrelative="t" stroked="f" coordsize="21600,21600">
            <v:path/>
            <v:fill on="f" focussize="0,0"/>
            <v:stroke on="f" joinstyle="miter"/>
            <v:imagedata r:id="rId34" o:title=""/>
            <o:lock v:ext="edit" aspectratio="t"/>
            <w10:wrap type="none"/>
            <w10:anchorlock/>
          </v:shape>
          <o:OLEObject Type="Embed" ProgID="Equation.3" ShapeID="_x0000_i1037" DrawAspect="Content" ObjectID="_1468075737" r:id="rId33">
            <o:LockedField>false</o:LockedField>
          </o:OLEObject>
        </w:object>
      </w:r>
      <w:r>
        <w:rPr>
          <w:rFonts w:hint="eastAsia" w:ascii="Times New Roman" w:hAnsi="Times New Roman"/>
          <w:sz w:val="24"/>
        </w:rPr>
        <w:t xml:space="preserve">                                                  </w:t>
      </w:r>
      <w:r>
        <w:rPr>
          <w:rFonts w:ascii="Times New Roman" w:hAnsi="Times New Roman"/>
          <w:sz w:val="24"/>
        </w:rPr>
        <w:t>(</w:t>
      </w:r>
      <w:r>
        <w:rPr>
          <w:rFonts w:hint="eastAsia" w:ascii="Times New Roman" w:hAnsi="Times New Roman"/>
          <w:sz w:val="24"/>
        </w:rPr>
        <w:t>S14</w:t>
      </w:r>
      <w:r>
        <w:rPr>
          <w:rFonts w:ascii="Times New Roman" w:hAnsi="Times New Roman"/>
          <w:sz w:val="24"/>
        </w:rPr>
        <w:t>)</w:t>
      </w:r>
    </w:p>
    <w:p w14:paraId="5C4DFC60">
      <w:pPr>
        <w:rPr>
          <w:rFonts w:ascii="Times New Roman" w:hAnsi="Times New Roman"/>
          <w:sz w:val="24"/>
        </w:rPr>
      </w:pPr>
      <w:r>
        <w:br w:type="page"/>
      </w:r>
      <w:r>
        <w:rPr>
          <w:rFonts w:hint="eastAsia" w:ascii="Times New Roman" w:hAnsi="Times New Roman"/>
          <w:sz w:val="24"/>
          <w:lang w:val="en-US" w:eastAsia="zh-CN"/>
        </w:rPr>
        <w:t xml:space="preserve">Supplementary </w:t>
      </w:r>
      <w:r>
        <w:rPr>
          <w:rFonts w:hint="eastAsia" w:ascii="Times New Roman" w:hAnsi="Times New Roman"/>
          <w:sz w:val="24"/>
        </w:rPr>
        <w:t>Fig</w:t>
      </w:r>
      <w:r>
        <w:rPr>
          <w:rFonts w:hint="eastAsia" w:ascii="Times New Roman" w:hAnsi="Times New Roman"/>
          <w:sz w:val="24"/>
          <w:lang w:val="en-US" w:eastAsia="zh-CN"/>
        </w:rPr>
        <w:t xml:space="preserve">. </w:t>
      </w:r>
      <w:r>
        <w:rPr>
          <w:rFonts w:ascii="Times New Roman" w:hAnsi="Times New Roman"/>
          <w:sz w:val="24"/>
        </w:rPr>
        <w:t>S</w:t>
      </w:r>
      <w:r>
        <w:rPr>
          <w:rFonts w:hint="eastAsia"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. Isotherm parameters of uranium</w:t>
      </w:r>
      <w:r>
        <w:rPr>
          <w:rFonts w:hint="eastAsia" w:ascii="Times New Roman" w:hAnsi="Times New Roman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(VI) adsorption </w:t>
      </w:r>
      <w:r>
        <w:rPr>
          <w:rFonts w:hint="eastAsia" w:ascii="Times New Roman" w:hAnsi="Times New Roman"/>
          <w:sz w:val="24"/>
        </w:rPr>
        <w:t>on</w:t>
      </w:r>
      <w:r>
        <w:rPr>
          <w:rFonts w:ascii="Times New Roman" w:hAnsi="Times New Roman"/>
          <w:sz w:val="24"/>
        </w:rPr>
        <w:t xml:space="preserve"> </w:t>
      </w:r>
      <w:r>
        <w:rPr>
          <w:rFonts w:hint="eastAsia" w:ascii="Times New Roman" w:hAnsi="Times New Roman"/>
          <w:sz w:val="24"/>
        </w:rPr>
        <w:t>SA-Ca, SA-CC</w:t>
      </w:r>
      <w:r>
        <w:rPr>
          <w:rFonts w:ascii="Times New Roman" w:hAnsi="Times New Roman"/>
          <w:sz w:val="24"/>
        </w:rPr>
        <w:t xml:space="preserve"> and</w:t>
      </w:r>
      <w:r>
        <w:rPr>
          <w:rFonts w:hint="eastAsia" w:ascii="Times New Roman" w:hAnsi="Times New Roman"/>
          <w:sz w:val="24"/>
        </w:rPr>
        <w:t xml:space="preserve"> SA-Cu</w:t>
      </w:r>
      <w:r>
        <w:rPr>
          <w:rFonts w:ascii="Times New Roman" w:hAnsi="Times New Roman"/>
          <w:sz w:val="24"/>
        </w:rPr>
        <w:t>.</w:t>
      </w:r>
      <w:r>
        <w:rPr>
          <w:rFonts w:hint="eastAsia" w:ascii="Times New Roman" w:hAnsi="Times New Roman"/>
          <w:sz w:val="24"/>
        </w:rPr>
        <w:t xml:space="preserve"> </w:t>
      </w:r>
    </w:p>
    <w:tbl>
      <w:tblPr>
        <w:tblStyle w:val="6"/>
        <w:tblW w:w="5000" w:type="pct"/>
        <w:jc w:val="center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12" w:space="0"/>
          <w:insideV w:val="single" w:color="auto" w:sz="12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0"/>
        <w:gridCol w:w="1419"/>
        <w:gridCol w:w="1650"/>
        <w:gridCol w:w="2765"/>
        <w:gridCol w:w="1447"/>
        <w:gridCol w:w="1451"/>
      </w:tblGrid>
      <w:tr w14:paraId="577DB381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36D7E1F7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Models</w:t>
            </w:r>
          </w:p>
        </w:tc>
        <w:tc>
          <w:tcPr>
            <w:tcW w:w="664" w:type="pct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13049A93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</w:t>
            </w:r>
            <w:r>
              <w:rPr>
                <w:rFonts w:ascii="Times New Roman" w:hAnsi="Times New Roman"/>
                <w:sz w:val="24"/>
              </w:rPr>
              <w:t>amples</w:t>
            </w:r>
          </w:p>
        </w:tc>
        <w:tc>
          <w:tcPr>
            <w:tcW w:w="3422" w:type="pct"/>
            <w:gridSpan w:val="4"/>
            <w:tcBorders>
              <w:left w:val="nil"/>
              <w:bottom w:val="single" w:color="auto" w:sz="8" w:space="0"/>
              <w:right w:val="nil"/>
            </w:tcBorders>
            <w:vAlign w:val="center"/>
          </w:tcPr>
          <w:p w14:paraId="32AAA4B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Parameters</w:t>
            </w:r>
          </w:p>
        </w:tc>
      </w:tr>
      <w:tr w14:paraId="3530E7DC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restart"/>
            <w:tcBorders>
              <w:top w:val="single" w:color="auto" w:sz="8" w:space="0"/>
              <w:left w:val="nil"/>
              <w:right w:val="nil"/>
            </w:tcBorders>
            <w:vAlign w:val="center"/>
          </w:tcPr>
          <w:p w14:paraId="0C5C5075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Langmuir</w:t>
            </w:r>
          </w:p>
        </w:tc>
        <w:tc>
          <w:tcPr>
            <w:tcW w:w="664" w:type="pct"/>
            <w:tcBorders>
              <w:top w:val="single" w:color="auto" w:sz="8" w:space="0"/>
              <w:left w:val="nil"/>
              <w:bottom w:val="nil"/>
              <w:right w:val="nil"/>
            </w:tcBorders>
          </w:tcPr>
          <w:p w14:paraId="4C873DE5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72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7B5E462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Q</w:t>
            </w:r>
            <w:r>
              <w:rPr>
                <w:rFonts w:ascii="Times New Roman" w:hAnsi="Times New Roman"/>
                <w:sz w:val="24"/>
                <w:vertAlign w:val="subscript"/>
              </w:rPr>
              <w:t>m</w:t>
            </w:r>
            <w:r>
              <w:rPr>
                <w:rFonts w:ascii="Times New Roman" w:hAnsi="Times New Roman"/>
                <w:sz w:val="24"/>
              </w:rPr>
              <w:t xml:space="preserve"> (mg/g)</w:t>
            </w:r>
          </w:p>
        </w:tc>
        <w:tc>
          <w:tcPr>
            <w:tcW w:w="1294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6AB6C080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</w:t>
            </w:r>
            <w:r>
              <w:rPr>
                <w:rFonts w:ascii="Times New Roman" w:hAnsi="Times New Roman"/>
                <w:sz w:val="24"/>
                <w:vertAlign w:val="subscript"/>
              </w:rPr>
              <w:t>L</w:t>
            </w:r>
            <w:r>
              <w:rPr>
                <w:rFonts w:ascii="Times New Roman" w:hAnsi="Times New Roman"/>
                <w:sz w:val="24"/>
              </w:rPr>
              <w:t xml:space="preserve"> (L/g)</w:t>
            </w:r>
          </w:p>
        </w:tc>
        <w:tc>
          <w:tcPr>
            <w:tcW w:w="677" w:type="pct"/>
            <w:tcBorders>
              <w:top w:val="single" w:color="auto" w:sz="8" w:space="0"/>
              <w:left w:val="nil"/>
              <w:bottom w:val="nil"/>
              <w:right w:val="nil"/>
            </w:tcBorders>
          </w:tcPr>
          <w:p w14:paraId="0003E97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77" w:type="pct"/>
            <w:tcBorders>
              <w:top w:val="single" w:color="auto" w:sz="8" w:space="0"/>
              <w:left w:val="nil"/>
              <w:bottom w:val="nil"/>
              <w:right w:val="nil"/>
            </w:tcBorders>
            <w:vAlign w:val="center"/>
          </w:tcPr>
          <w:p w14:paraId="31200A1E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 w14:paraId="0DCDCE2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continue"/>
            <w:tcBorders>
              <w:left w:val="nil"/>
              <w:right w:val="nil"/>
            </w:tcBorders>
            <w:vAlign w:val="center"/>
          </w:tcPr>
          <w:p w14:paraId="303BA4BF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7B2C0FF5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SA-Ca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6D2705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36</w:t>
            </w:r>
            <w:r>
              <w:rPr>
                <w:rFonts w:hint="eastAsia" w:ascii="Times New Roman" w:hAnsi="Times New Roman"/>
                <w:sz w:val="24"/>
              </w:rPr>
              <w:t>5.7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7EDA89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</w:t>
            </w:r>
            <w:r>
              <w:rPr>
                <w:rFonts w:hint="eastAsia" w:ascii="Times New Roman" w:hAnsi="Times New Roman"/>
                <w:sz w:val="24"/>
              </w:rPr>
              <w:t>327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7F928CF0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35C4D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</w:t>
            </w:r>
            <w:r>
              <w:rPr>
                <w:rFonts w:hint="eastAsia" w:ascii="Times New Roman" w:hAnsi="Times New Roman"/>
                <w:sz w:val="24"/>
              </w:rPr>
              <w:t>80</w:t>
            </w:r>
          </w:p>
        </w:tc>
      </w:tr>
      <w:tr w14:paraId="1CAE9E7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continue"/>
            <w:tcBorders>
              <w:left w:val="nil"/>
              <w:right w:val="nil"/>
            </w:tcBorders>
            <w:vAlign w:val="center"/>
          </w:tcPr>
          <w:p w14:paraId="2B6AFB79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423E1F1C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SA-CC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3C39F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400.8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883C19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</w:t>
            </w:r>
            <w:r>
              <w:rPr>
                <w:rFonts w:hint="eastAsia" w:ascii="Times New Roman" w:hAnsi="Times New Roman"/>
                <w:sz w:val="24"/>
              </w:rPr>
              <w:t>562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067691F5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CA15AF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</w:t>
            </w:r>
            <w:r>
              <w:rPr>
                <w:rFonts w:hint="eastAsia" w:ascii="Times New Roman" w:hAnsi="Times New Roman"/>
                <w:sz w:val="24"/>
              </w:rPr>
              <w:t>60</w:t>
            </w:r>
          </w:p>
        </w:tc>
      </w:tr>
      <w:tr w14:paraId="6403A58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continue"/>
            <w:tcBorders>
              <w:left w:val="nil"/>
              <w:bottom w:val="nil"/>
              <w:right w:val="nil"/>
            </w:tcBorders>
            <w:vAlign w:val="center"/>
          </w:tcPr>
          <w:p w14:paraId="7201DE1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4CB14423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SA-Cu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FC64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351.5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B5C01E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</w:t>
            </w:r>
            <w:r>
              <w:rPr>
                <w:rFonts w:hint="eastAsia" w:ascii="Times New Roman" w:hAnsi="Times New Roman"/>
                <w:sz w:val="24"/>
              </w:rPr>
              <w:t>208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64983F8C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CAD96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0.99</w:t>
            </w:r>
            <w:r>
              <w:rPr>
                <w:rFonts w:hint="eastAsia" w:ascii="Times New Roman" w:hAnsi="Times New Roman"/>
                <w:sz w:val="24"/>
              </w:rPr>
              <w:t>3</w:t>
            </w:r>
          </w:p>
        </w:tc>
      </w:tr>
      <w:tr w14:paraId="024FF3C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7AF1123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Freundlich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0D54A55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7E109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60D55C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</w:t>
            </w:r>
            <w:r>
              <w:rPr>
                <w:rFonts w:ascii="Times New Roman" w:hAnsi="Times New Roman"/>
                <w:sz w:val="24"/>
                <w:vertAlign w:val="subscript"/>
              </w:rPr>
              <w:t>F</w:t>
            </w:r>
            <w:r>
              <w:rPr>
                <w:rFonts w:ascii="Times New Roman" w:hAnsi="Times New Roman"/>
                <w:sz w:val="24"/>
              </w:rPr>
              <w:t xml:space="preserve"> ((mg/g)(L/mg)</w:t>
            </w:r>
            <w:r>
              <w:rPr>
                <w:rFonts w:ascii="Times New Roman" w:hAnsi="Times New Roman"/>
                <w:sz w:val="24"/>
                <w:vertAlign w:val="superscript"/>
              </w:rPr>
              <w:t>n</w:t>
            </w:r>
            <w:r>
              <w:rPr>
                <w:rFonts w:ascii="Times New Roman" w:hAnsi="Times New Roman"/>
                <w:sz w:val="24"/>
              </w:rPr>
              <w:t>)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66E60203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n</w:t>
            </w:r>
            <w:r>
              <w:rPr>
                <w:rFonts w:ascii="Times New Roman" w:hAnsi="Times New Roman"/>
                <w:sz w:val="24"/>
                <w:vertAlign w:val="subscript"/>
              </w:rPr>
              <w:t>F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E813E5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 w14:paraId="66C4553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continue"/>
            <w:tcBorders>
              <w:left w:val="nil"/>
              <w:right w:val="nil"/>
            </w:tcBorders>
            <w:vAlign w:val="center"/>
          </w:tcPr>
          <w:p w14:paraId="504742D3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58DB815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SA-Ca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FD5AD7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92D67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</w:t>
            </w:r>
            <w:r>
              <w:rPr>
                <w:rFonts w:hint="eastAsia" w:ascii="Times New Roman" w:hAnsi="Times New Roman"/>
                <w:sz w:val="24"/>
              </w:rPr>
              <w:t>65.0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1539ECCC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4.38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3DFA9D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</w:t>
            </w:r>
            <w:r>
              <w:rPr>
                <w:rFonts w:hint="eastAsia" w:ascii="Times New Roman" w:hAnsi="Times New Roman"/>
                <w:sz w:val="24"/>
              </w:rPr>
              <w:t>923</w:t>
            </w:r>
          </w:p>
        </w:tc>
      </w:tr>
      <w:tr w14:paraId="62A5E2DB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continue"/>
            <w:tcBorders>
              <w:left w:val="nil"/>
              <w:right w:val="nil"/>
            </w:tcBorders>
            <w:vAlign w:val="center"/>
          </w:tcPr>
          <w:p w14:paraId="150511D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7E8950A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SA-CC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8B6D7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BB46B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103.5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11950159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3.45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617A8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0.938</w:t>
            </w:r>
          </w:p>
        </w:tc>
      </w:tr>
      <w:tr w14:paraId="3ABB733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continue"/>
            <w:tcBorders>
              <w:left w:val="nil"/>
              <w:bottom w:val="nil"/>
              <w:right w:val="nil"/>
            </w:tcBorders>
            <w:vAlign w:val="center"/>
          </w:tcPr>
          <w:p w14:paraId="10FCE1A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50695AF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SA-Cu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D3C8BD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C8E30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131.4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64BAAB2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4.01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5041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0.868</w:t>
            </w:r>
          </w:p>
        </w:tc>
      </w:tr>
      <w:tr w14:paraId="60DA18C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443F3AE0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D-R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48C28AED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A5880FC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592A0C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Q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d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57AEFAC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b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D79E20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 w14:paraId="0BD7D3A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continue"/>
            <w:tcBorders>
              <w:left w:val="nil"/>
              <w:right w:val="nil"/>
            </w:tcBorders>
            <w:vAlign w:val="center"/>
          </w:tcPr>
          <w:p w14:paraId="29F64EF5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693FE8B7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SA-Ca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CF9AE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769BBC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278.3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074152E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5.97*10</w:t>
            </w:r>
            <w:r>
              <w:rPr>
                <w:rFonts w:hint="eastAsia" w:ascii="Times New Roman" w:hAnsi="Times New Roman"/>
                <w:sz w:val="24"/>
                <w:vertAlign w:val="superscript"/>
              </w:rPr>
              <w:t>-7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15B54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0.786</w:t>
            </w:r>
          </w:p>
        </w:tc>
      </w:tr>
      <w:tr w14:paraId="25E72766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continue"/>
            <w:tcBorders>
              <w:left w:val="nil"/>
              <w:right w:val="nil"/>
            </w:tcBorders>
            <w:vAlign w:val="center"/>
          </w:tcPr>
          <w:p w14:paraId="71DED74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0CF5881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SA-CC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720D4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7353F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327.0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5F695DBC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0.90*10</w:t>
            </w:r>
            <w:r>
              <w:rPr>
                <w:rFonts w:hint="eastAsia" w:ascii="Times New Roman" w:hAnsi="Times New Roman"/>
                <w:sz w:val="24"/>
                <w:vertAlign w:val="superscript"/>
              </w:rPr>
              <w:t>-7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3DCCD0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0.736</w:t>
            </w:r>
          </w:p>
        </w:tc>
      </w:tr>
      <w:tr w14:paraId="709ABDB3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continue"/>
            <w:tcBorders>
              <w:left w:val="nil"/>
              <w:bottom w:val="nil"/>
              <w:right w:val="nil"/>
            </w:tcBorders>
            <w:vAlign w:val="center"/>
          </w:tcPr>
          <w:p w14:paraId="2FDF33BF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20D0E900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SA-Cu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876AD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-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A524F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297.7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2BD46DE0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3.02*10</w:t>
            </w:r>
            <w:r>
              <w:rPr>
                <w:rFonts w:hint="eastAsia" w:ascii="Times New Roman" w:hAnsi="Times New Roman"/>
                <w:sz w:val="24"/>
                <w:vertAlign w:val="superscript"/>
              </w:rPr>
              <w:t>-7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807AA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0.774</w:t>
            </w:r>
          </w:p>
        </w:tc>
      </w:tr>
      <w:tr w14:paraId="45FB37FD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6C7E0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R-P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0C2BB21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5B738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K</w:t>
            </w:r>
            <w:r>
              <w:rPr>
                <w:rFonts w:ascii="Times New Roman" w:hAnsi="Times New Roman"/>
                <w:sz w:val="24"/>
                <w:vertAlign w:val="subscript"/>
              </w:rPr>
              <w:t>RP</w:t>
            </w:r>
            <w:r>
              <w:rPr>
                <w:rFonts w:ascii="Times New Roman" w:hAnsi="Times New Roman"/>
                <w:sz w:val="24"/>
              </w:rPr>
              <w:t xml:space="preserve"> (L/g)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6B8F6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α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476862D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β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A3B8F5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 w14:paraId="04FE0557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9FCC7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7A73A5C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SA-Ca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AAC39E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87.1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1F4A75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0.317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7E783DF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0.940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EE60A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0.99</w:t>
            </w:r>
            <w:r>
              <w:rPr>
                <w:rFonts w:hint="eastAsia" w:ascii="Times New Roman" w:hAnsi="Times New Roman"/>
                <w:sz w:val="24"/>
              </w:rPr>
              <w:t>3</w:t>
            </w:r>
          </w:p>
        </w:tc>
      </w:tr>
      <w:tr w14:paraId="0AE15CA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F8FF5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75E26A1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SA-CC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0BF3A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397.6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8E3F3C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1.466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771C88CE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0.899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946E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0.959</w:t>
            </w:r>
          </w:p>
        </w:tc>
      </w:tr>
      <w:tr w14:paraId="49D4F14A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continue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2ABC1D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12373849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SA-Cu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76F55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108.3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DAE79D2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0.256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3984531E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1.0</w:t>
            </w:r>
            <w:r>
              <w:rPr>
                <w:rFonts w:hint="eastAsia" w:ascii="Times New Roman" w:hAnsi="Times New Roman"/>
                <w:sz w:val="24"/>
              </w:rPr>
              <w:t>3</w:t>
            </w: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7579F8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0.972</w:t>
            </w:r>
          </w:p>
        </w:tc>
      </w:tr>
      <w:tr w14:paraId="7E19D400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14:paraId="093987B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Temkin</w:t>
            </w: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7F1742AD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65DB9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R</w:t>
            </w:r>
            <w:r>
              <w:rPr>
                <w:rFonts w:hint="eastAsia" w:ascii="Times New Roman" w:hAnsi="Times New Roman"/>
                <w:sz w:val="24"/>
                <w:vertAlign w:val="subscript"/>
              </w:rPr>
              <w:t>T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A5E35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α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270F058D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β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54CBC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R</w:t>
            </w:r>
            <w:r>
              <w:rPr>
                <w:rFonts w:ascii="Times New Roman" w:hAnsi="Times New Roman"/>
                <w:sz w:val="24"/>
                <w:vertAlign w:val="superscript"/>
              </w:rPr>
              <w:t>2</w:t>
            </w:r>
          </w:p>
        </w:tc>
      </w:tr>
      <w:tr w14:paraId="3E0F4634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continue"/>
            <w:tcBorders>
              <w:left w:val="nil"/>
              <w:right w:val="nil"/>
            </w:tcBorders>
            <w:vAlign w:val="center"/>
          </w:tcPr>
          <w:p w14:paraId="3FE6EDE0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1940772E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SA-Ca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28DA27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0.450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45FE1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8.409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0B314566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0.084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3FFE6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0.596</w:t>
            </w:r>
          </w:p>
        </w:tc>
      </w:tr>
      <w:tr w14:paraId="1DFA628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continue"/>
            <w:tcBorders>
              <w:left w:val="nil"/>
              <w:right w:val="nil"/>
            </w:tcBorders>
            <w:vAlign w:val="center"/>
          </w:tcPr>
          <w:p w14:paraId="6B0506BD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nil"/>
              <w:right w:val="nil"/>
            </w:tcBorders>
          </w:tcPr>
          <w:p w14:paraId="3AE0764C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SA-CC</w:t>
            </w:r>
          </w:p>
        </w:tc>
        <w:tc>
          <w:tcPr>
            <w:tcW w:w="772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272257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0.391</w:t>
            </w:r>
          </w:p>
        </w:tc>
        <w:tc>
          <w:tcPr>
            <w:tcW w:w="1294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D508E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8.865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</w:tcPr>
          <w:p w14:paraId="7EE80F1B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0.020</w:t>
            </w:r>
          </w:p>
        </w:tc>
        <w:tc>
          <w:tcPr>
            <w:tcW w:w="677" w:type="pc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986F8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0.479</w:t>
            </w:r>
          </w:p>
        </w:tc>
      </w:tr>
      <w:tr w14:paraId="520A5D29"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12" w:space="0"/>
            <w:insideV w:val="single" w:color="auto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913" w:type="pct"/>
            <w:vMerge w:val="continue"/>
            <w:tcBorders>
              <w:left w:val="nil"/>
              <w:bottom w:val="single" w:color="auto" w:sz="12" w:space="0"/>
              <w:right w:val="nil"/>
            </w:tcBorders>
            <w:vAlign w:val="center"/>
          </w:tcPr>
          <w:p w14:paraId="29A2DDDD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</w:p>
        </w:tc>
        <w:tc>
          <w:tcPr>
            <w:tcW w:w="664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682634AF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SA-Cu</w:t>
            </w:r>
          </w:p>
        </w:tc>
        <w:tc>
          <w:tcPr>
            <w:tcW w:w="772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1CC00FC4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0.495</w:t>
            </w:r>
          </w:p>
        </w:tc>
        <w:tc>
          <w:tcPr>
            <w:tcW w:w="1294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0F29A527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3.068</w:t>
            </w:r>
          </w:p>
        </w:tc>
        <w:tc>
          <w:tcPr>
            <w:tcW w:w="677" w:type="pct"/>
            <w:tcBorders>
              <w:top w:val="nil"/>
              <w:left w:val="nil"/>
              <w:bottom w:val="single" w:color="auto" w:sz="12" w:space="0"/>
              <w:right w:val="nil"/>
            </w:tcBorders>
          </w:tcPr>
          <w:p w14:paraId="4BB17F9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0.017</w:t>
            </w:r>
          </w:p>
        </w:tc>
        <w:tc>
          <w:tcPr>
            <w:tcW w:w="677" w:type="pct"/>
            <w:tcBorders>
              <w:top w:val="nil"/>
              <w:left w:val="nil"/>
              <w:bottom w:val="single" w:color="auto" w:sz="12" w:space="0"/>
              <w:right w:val="nil"/>
            </w:tcBorders>
            <w:vAlign w:val="center"/>
          </w:tcPr>
          <w:p w14:paraId="7377B291">
            <w:pPr>
              <w:spacing w:line="360" w:lineRule="auto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hint="eastAsia" w:ascii="Times New Roman" w:hAnsi="Times New Roman"/>
                <w:sz w:val="24"/>
              </w:rPr>
              <w:t>0.321</w:t>
            </w:r>
          </w:p>
        </w:tc>
      </w:tr>
    </w:tbl>
    <w:p w14:paraId="72A4CABA">
      <w:pPr>
        <w:rPr>
          <w:rFonts w:ascii="Times New Roman" w:hAnsi="Times New Roman"/>
          <w:sz w:val="24"/>
        </w:rPr>
      </w:pPr>
    </w:p>
    <w:p w14:paraId="19B67A67">
      <w:pPr>
        <w:widowControl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br w:type="page"/>
      </w:r>
    </w:p>
    <w:p w14:paraId="7DA03F29">
      <w:pPr>
        <w:spacing w:line="360" w:lineRule="auto"/>
        <w:jc w:val="center"/>
        <w:rPr>
          <w:rFonts w:ascii="Times New Roman" w:hAnsi="Times New Roman" w:eastAsia="宋体" w:cs="Times New Roman"/>
          <w:color w:val="0000FF"/>
          <w:sz w:val="24"/>
          <w:szCs w:val="22"/>
        </w:rPr>
      </w:pPr>
      <w:r>
        <w:rPr>
          <w:rFonts w:hint="eastAsia" w:ascii="Times New Roman" w:hAnsi="Times New Roman" w:eastAsia="宋体" w:cs="Times New Roman"/>
          <w:color w:val="0000FF"/>
          <w:sz w:val="24"/>
          <w:szCs w:val="22"/>
        </w:rPr>
        <w:drawing>
          <wp:inline distT="0" distB="0" distL="0" distR="0">
            <wp:extent cx="2509520" cy="3599815"/>
            <wp:effectExtent l="0" t="0" r="5080" b="635"/>
            <wp:docPr id="17414980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498016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9853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DDB07">
      <w:pPr>
        <w:spacing w:line="360" w:lineRule="auto"/>
        <w:rPr>
          <w:rFonts w:ascii="Times New Roman" w:hAnsi="Times New Roman"/>
          <w:sz w:val="24"/>
        </w:rPr>
      </w:pPr>
      <w:r>
        <w:rPr>
          <w:rFonts w:hint="eastAsia" w:ascii="Times New Roman" w:hAnsi="Times New Roman"/>
          <w:sz w:val="24"/>
          <w:lang w:val="en-US" w:eastAsia="zh-CN"/>
        </w:rPr>
        <w:t xml:space="preserve">Supplementary </w:t>
      </w:r>
      <w:r>
        <w:rPr>
          <w:rFonts w:hint="eastAsia" w:ascii="Times New Roman" w:hAnsi="Times New Roman"/>
          <w:sz w:val="24"/>
        </w:rPr>
        <w:t>Fig</w:t>
      </w:r>
      <w:r>
        <w:rPr>
          <w:rFonts w:hint="eastAsia" w:ascii="Times New Roman" w:hAnsi="Times New Roman"/>
          <w:sz w:val="24"/>
          <w:lang w:val="en-US" w:eastAsia="zh-CN"/>
        </w:rPr>
        <w:t>.</w:t>
      </w:r>
      <w:bookmarkStart w:id="10" w:name="_GoBack"/>
      <w:bookmarkEnd w:id="10"/>
      <w:r>
        <w:rPr>
          <w:rFonts w:hint="eastAsia" w:ascii="Times New Roman" w:hAnsi="Times New Roman"/>
          <w:sz w:val="24"/>
        </w:rPr>
        <w:t xml:space="preserve">S5. </w:t>
      </w:r>
      <w:r>
        <w:rPr>
          <w:rFonts w:ascii="Times New Roman" w:hAnsi="Times New Roman"/>
          <w:sz w:val="24"/>
        </w:rPr>
        <w:t>Optical and morphological comparison of adsorbent microspheres pre-and post-cycling</w:t>
      </w:r>
      <w:r>
        <w:rPr>
          <w:rFonts w:hint="eastAsia" w:ascii="Times New Roman" w:hAnsi="Times New Roman"/>
          <w:sz w:val="24"/>
        </w:rPr>
        <w:t>,</w:t>
      </w:r>
      <w:r>
        <w:rPr>
          <w:rFonts w:ascii="Times New Roman" w:hAnsi="Times New Roman"/>
          <w:sz w:val="24"/>
        </w:rPr>
        <w:t xml:space="preserve"> (a) The as-synthesized SA-Ca, SA-Cu, and SA-CC microspheres, (b) Microspheres after five adsorption</w:t>
      </w:r>
      <w:r>
        <w:rPr>
          <w:rFonts w:hint="eastAsia" w:ascii="Times New Roman" w:hAnsi="Times New Roman"/>
          <w:sz w:val="24"/>
        </w:rPr>
        <w:t>-</w:t>
      </w:r>
      <w:r>
        <w:rPr>
          <w:rFonts w:ascii="Times New Roman" w:hAnsi="Times New Roman"/>
          <w:sz w:val="24"/>
        </w:rPr>
        <w:t>desorption cycles in a uranium-bearing solution.</w:t>
      </w:r>
    </w:p>
    <w:sectPr>
      <w:pgSz w:w="11906" w:h="16838"/>
      <w:pgMar w:top="720" w:right="720" w:bottom="720" w:left="720" w:header="851" w:footer="992" w:gutter="0"/>
      <w:lnNumType w:countBy="1" w:restart="continuous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TUzZjkwNDk3ZWE3NjljNzc5OTNkNDE2ODE0MDFlMzEifQ=="/>
  </w:docVars>
  <w:rsids>
    <w:rsidRoot w:val="00BE632B"/>
    <w:rsid w:val="000055F0"/>
    <w:rsid w:val="000B5C6A"/>
    <w:rsid w:val="00130441"/>
    <w:rsid w:val="001C2223"/>
    <w:rsid w:val="001D493B"/>
    <w:rsid w:val="002F7379"/>
    <w:rsid w:val="00371A31"/>
    <w:rsid w:val="00391ECC"/>
    <w:rsid w:val="00484A5D"/>
    <w:rsid w:val="004A14D1"/>
    <w:rsid w:val="005F7B29"/>
    <w:rsid w:val="0060703A"/>
    <w:rsid w:val="0072217D"/>
    <w:rsid w:val="007F7EFB"/>
    <w:rsid w:val="00836AF7"/>
    <w:rsid w:val="008579BF"/>
    <w:rsid w:val="00AD1003"/>
    <w:rsid w:val="00BA5594"/>
    <w:rsid w:val="00BE632B"/>
    <w:rsid w:val="00BF0C10"/>
    <w:rsid w:val="00C0556A"/>
    <w:rsid w:val="00CF4541"/>
    <w:rsid w:val="00D119D2"/>
    <w:rsid w:val="00D45CC9"/>
    <w:rsid w:val="00D744B3"/>
    <w:rsid w:val="00E93153"/>
    <w:rsid w:val="00F24829"/>
    <w:rsid w:val="00F44061"/>
    <w:rsid w:val="00F52461"/>
    <w:rsid w:val="00F63B43"/>
    <w:rsid w:val="022D3E9F"/>
    <w:rsid w:val="149C7998"/>
    <w:rsid w:val="157A0C47"/>
    <w:rsid w:val="16281C09"/>
    <w:rsid w:val="2DF11B88"/>
    <w:rsid w:val="3013464F"/>
    <w:rsid w:val="342A076C"/>
    <w:rsid w:val="344C4197"/>
    <w:rsid w:val="399459FB"/>
    <w:rsid w:val="3C064136"/>
    <w:rsid w:val="4E9A27D5"/>
    <w:rsid w:val="4EC92B5C"/>
    <w:rsid w:val="5DC76C5C"/>
    <w:rsid w:val="5F7A1C50"/>
    <w:rsid w:val="67935DC9"/>
    <w:rsid w:val="71907731"/>
    <w:rsid w:val="75273471"/>
    <w:rsid w:val="76E56116"/>
    <w:rsid w:val="7A1430E2"/>
    <w:rsid w:val="7D8A0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link w:val="12"/>
    <w:semiHidden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3"/>
    <w:uiPriority w:val="0"/>
    <w:rPr>
      <w:sz w:val="18"/>
      <w:szCs w:val="18"/>
    </w:rPr>
  </w:style>
  <w:style w:type="paragraph" w:styleId="4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line number"/>
    <w:basedOn w:val="7"/>
    <w:uiPriority w:val="0"/>
  </w:style>
  <w:style w:type="character" w:styleId="9">
    <w:name w:val="Hyperlink"/>
    <w:basedOn w:val="7"/>
    <w:uiPriority w:val="0"/>
    <w:rPr>
      <w:color w:val="0000FF"/>
      <w:u w:val="single"/>
    </w:rPr>
  </w:style>
  <w:style w:type="character" w:customStyle="1" w:styleId="10">
    <w:name w:val="页眉 字符"/>
    <w:basedOn w:val="7"/>
    <w:link w:val="5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1">
    <w:name w:val="页脚 字符"/>
    <w:basedOn w:val="7"/>
    <w:link w:val="4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2">
    <w:name w:val="标题 4 字符"/>
    <w:basedOn w:val="7"/>
    <w:link w:val="2"/>
    <w:semiHidden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13">
    <w:name w:val="批注框文本 字符"/>
    <w:basedOn w:val="7"/>
    <w:link w:val="3"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paragraph" w:customStyle="1" w:styleId="14">
    <w:name w:val="Revision"/>
    <w:hidden/>
    <w:unhideWhenUsed/>
    <w:uiPriority w:val="99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wmf"/><Relationship Id="rId8" Type="http://schemas.openxmlformats.org/officeDocument/2006/relationships/oleObject" Target="embeddings/oleObject2.bin"/><Relationship Id="rId7" Type="http://schemas.openxmlformats.org/officeDocument/2006/relationships/image" Target="media/image3.wmf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6" Type="http://schemas.openxmlformats.org/officeDocument/2006/relationships/fontTable" Target="fontTable.xml"/><Relationship Id="rId35" Type="http://schemas.openxmlformats.org/officeDocument/2006/relationships/image" Target="media/image19.png"/><Relationship Id="rId34" Type="http://schemas.openxmlformats.org/officeDocument/2006/relationships/image" Target="media/image18.wmf"/><Relationship Id="rId33" Type="http://schemas.openxmlformats.org/officeDocument/2006/relationships/oleObject" Target="embeddings/oleObject13.bin"/><Relationship Id="rId32" Type="http://schemas.openxmlformats.org/officeDocument/2006/relationships/image" Target="media/image17.wmf"/><Relationship Id="rId31" Type="http://schemas.openxmlformats.org/officeDocument/2006/relationships/oleObject" Target="embeddings/oleObject12.bin"/><Relationship Id="rId30" Type="http://schemas.openxmlformats.org/officeDocument/2006/relationships/image" Target="media/image16.wmf"/><Relationship Id="rId3" Type="http://schemas.openxmlformats.org/officeDocument/2006/relationships/theme" Target="theme/theme1.xml"/><Relationship Id="rId29" Type="http://schemas.openxmlformats.org/officeDocument/2006/relationships/image" Target="media/image15.wmf"/><Relationship Id="rId28" Type="http://schemas.openxmlformats.org/officeDocument/2006/relationships/oleObject" Target="embeddings/oleObject11.bin"/><Relationship Id="rId27" Type="http://schemas.openxmlformats.org/officeDocument/2006/relationships/image" Target="media/image14.wmf"/><Relationship Id="rId26" Type="http://schemas.openxmlformats.org/officeDocument/2006/relationships/oleObject" Target="embeddings/oleObject10.bin"/><Relationship Id="rId25" Type="http://schemas.openxmlformats.org/officeDocument/2006/relationships/image" Target="media/image13.wmf"/><Relationship Id="rId24" Type="http://schemas.openxmlformats.org/officeDocument/2006/relationships/oleObject" Target="embeddings/oleObject9.bin"/><Relationship Id="rId23" Type="http://schemas.openxmlformats.org/officeDocument/2006/relationships/image" Target="media/image12.wmf"/><Relationship Id="rId22" Type="http://schemas.openxmlformats.org/officeDocument/2006/relationships/oleObject" Target="embeddings/oleObject8.bin"/><Relationship Id="rId21" Type="http://schemas.openxmlformats.org/officeDocument/2006/relationships/image" Target="media/image11.jpeg"/><Relationship Id="rId20" Type="http://schemas.openxmlformats.org/officeDocument/2006/relationships/image" Target="media/image10.jpeg"/><Relationship Id="rId2" Type="http://schemas.openxmlformats.org/officeDocument/2006/relationships/settings" Target="settings.xml"/><Relationship Id="rId19" Type="http://schemas.openxmlformats.org/officeDocument/2006/relationships/image" Target="media/image9.wmf"/><Relationship Id="rId18" Type="http://schemas.openxmlformats.org/officeDocument/2006/relationships/oleObject" Target="embeddings/oleObject7.bin"/><Relationship Id="rId17" Type="http://schemas.openxmlformats.org/officeDocument/2006/relationships/image" Target="media/image8.wmf"/><Relationship Id="rId16" Type="http://schemas.openxmlformats.org/officeDocument/2006/relationships/oleObject" Target="embeddings/oleObject6.bin"/><Relationship Id="rId15" Type="http://schemas.openxmlformats.org/officeDocument/2006/relationships/image" Target="media/image7.wmf"/><Relationship Id="rId14" Type="http://schemas.openxmlformats.org/officeDocument/2006/relationships/oleObject" Target="embeddings/oleObject5.bin"/><Relationship Id="rId13" Type="http://schemas.openxmlformats.org/officeDocument/2006/relationships/image" Target="media/image6.wmf"/><Relationship Id="rId12" Type="http://schemas.openxmlformats.org/officeDocument/2006/relationships/oleObject" Target="embeddings/oleObject4.bin"/><Relationship Id="rId11" Type="http://schemas.openxmlformats.org/officeDocument/2006/relationships/image" Target="media/image5.wmf"/><Relationship Id="rId10" Type="http://schemas.openxmlformats.org/officeDocument/2006/relationships/oleObject" Target="embeddings/oleObject3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P R C</Company>
  <Pages>9</Pages>
  <Words>861</Words>
  <Characters>4941</Characters>
  <Lines>493</Lines>
  <Paragraphs>388</Paragraphs>
  <TotalTime>1</TotalTime>
  <ScaleCrop>false</ScaleCrop>
  <LinksUpToDate>false</LinksUpToDate>
  <CharactersWithSpaces>6123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2026-03-11T01:10:00Z</dcterms:created>
  <dc:creator>黄xs</dc:creator>
  <cp:lastModifiedBy>@ 华@</cp:lastModifiedBy>
  <dcterms:modified xsi:type="dcterms:W3CDTF">2026-03-12T05:00:55Z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0943015C0C98454CB60955DEE64127B3_13</vt:lpwstr>
  </property>
  <property fmtid="{D5CDD505-2E9C-101B-9397-08002B2CF9AE}" pid="4" name="KSOTemplateDocerSaveRecord">
    <vt:lpwstr>eyJoZGlkIjoiYTU1NWFjODI5NzUxNzg3NDcyNmZiNDllZmY1Mzg0ZWEiLCJ1c2VySWQiOiI1NDYwODA1MjMifQ==</vt:lpwstr>
  </property>
</Properties>
</file>