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AA9A">
      <w:pPr>
        <w:suppressLineNumbers/>
        <w:spacing w:line="480" w:lineRule="auto"/>
        <w:jc w:val="center"/>
        <w:rPr>
          <w:rFonts w:hint="eastAsia" w:ascii="Times New Roman" w:hAnsi="Times New Roman" w:eastAsia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Hlk210643080"/>
      <w:r>
        <w:rPr>
          <w:rFonts w:hint="eastAsia" w:ascii="Times New Roman" w:hAnsi="Times New Roman" w:eastAsia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Anchoring chitosan on phytic acid-doped polyaniline as capacitive deionization electrodes for uranium capture from wastewater.</w:t>
      </w:r>
    </w:p>
    <w:p w14:paraId="7A9E5C44">
      <w:pPr>
        <w:suppressLineNumbers/>
        <w:spacing w:line="480" w:lineRule="auto"/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Chenxiao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Hong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Jing Wang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Sana Shafi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Jiayao Hu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Junyi Chen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llhom Halimov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Jiaxing Li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a,b*</w:t>
      </w:r>
      <w:bookmarkEnd w:id="0"/>
    </w:p>
    <w:p w14:paraId="2846A90C">
      <w:pPr>
        <w:suppressLineNumbers/>
        <w:spacing w:line="480" w:lineRule="auto"/>
        <w:jc w:val="left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University of Science and Technology of China, Hefei 230026, PR China</w:t>
      </w:r>
    </w:p>
    <w:p w14:paraId="39CFED14">
      <w:pPr>
        <w:suppressLineNumbers/>
        <w:spacing w:line="480" w:lineRule="auto"/>
        <w:jc w:val="left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Institute of Plasma Physics, Hefei Institutes of Physical Science, Chinese Academy of Sciences, Hefei 230031, PR China</w:t>
      </w:r>
    </w:p>
    <w:p w14:paraId="78C6E92F">
      <w:pPr>
        <w:suppressLineNumbers/>
        <w:spacing w:line="480" w:lineRule="auto"/>
        <w:jc w:val="left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Navoi State University of Mining and Technologies</w:t>
      </w:r>
    </w:p>
    <w:p w14:paraId="01ECB6E0">
      <w:pPr>
        <w:spacing w:before="156" w:beforeLines="50" w:after="156" w:afterLines="5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56764951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* Email address: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lijx@ipp.ac.cn (J. Li)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Tel: +86-551-</w:t>
      </w:r>
      <w:bookmarkStart w:id="2" w:name="_Hlk165883255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6559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1771. </w:t>
      </w:r>
      <w:bookmarkEnd w:id="1"/>
    </w:p>
    <w:p w14:paraId="71305A28">
      <w:pPr>
        <w:spacing w:before="156" w:beforeLines="50" w:after="156" w:afterLines="5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FFA5DF">
      <w:p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Supplementary Experiment</w:t>
      </w:r>
    </w:p>
    <w:p w14:paraId="788B37C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Chemicals</w:t>
      </w:r>
    </w:p>
    <w:p w14:paraId="0FE87A8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All reagents were obtained from commercial suppliers and were used without further purification, unless otherwise stated. The seawater was collected in </w:t>
      </w:r>
      <w:r>
        <w:rPr>
          <w:rFonts w:ascii="Times New Roman" w:hAnsi="Times New Roman" w:cs="Times New Roman"/>
          <w:sz w:val="24"/>
        </w:rPr>
        <w:t>Qingdao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Shandong</w:t>
      </w:r>
      <w:r>
        <w:rPr>
          <w:rFonts w:hint="eastAsia" w:ascii="Times New Roman" w:hAnsi="Times New Roman" w:cs="Times New Roman"/>
          <w:sz w:val="24"/>
        </w:rPr>
        <w:t>, China.</w:t>
      </w:r>
    </w:p>
    <w:p w14:paraId="64B08831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Instrumentation</w:t>
      </w:r>
    </w:p>
    <w:p w14:paraId="6365BE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The Fourier transform infrared (FT-IR) measurement was carried out on a Nicolet 5700 FT-IR spectrophotometer (IR-Prestigr, Shimadzu, Japan), with KBr discs in the range of 4000 to 400 cm</w:t>
      </w:r>
      <w:r>
        <w:rPr>
          <w:rFonts w:hint="eastAsia" w:ascii="Times New Roman" w:hAnsi="Times New Roman" w:cs="Times New Roman"/>
          <w:sz w:val="24"/>
          <w:vertAlign w:val="superscript"/>
        </w:rPr>
        <w:t>-1</w:t>
      </w:r>
      <w:r>
        <w:rPr>
          <w:rFonts w:hint="eastAsia" w:ascii="Times New Roman" w:hAnsi="Times New Roman" w:cs="Times New Roman"/>
          <w:sz w:val="24"/>
        </w:rPr>
        <w:t xml:space="preserve">. </w:t>
      </w:r>
      <w:bookmarkStart w:id="3" w:name="OLE_LINK98"/>
      <w:bookmarkStart w:id="4" w:name="OLE_LINK99"/>
      <w:r>
        <w:rPr>
          <w:rFonts w:hint="eastAsia" w:ascii="Times New Roman" w:hAnsi="Times New Roman" w:cs="Times New Roman"/>
          <w:sz w:val="24"/>
        </w:rPr>
        <w:t>The morphology was observed by fieldemission scanning electron microscope (SEM, S-4800, Hitachi, Japan). The local chemical analysis was performed by EDX (energy dispersive X-ray analysis) in the SEM. The contact angles were recorded by an automatic video micro contact angle measuring instrument (JY-82B Kruss DSA). X-ray photoelectron spectroscopy (XPS) measurement was performed using a Thermo ESCALAB 250 X-ray photoelectron spectrometer, using monochromatized Al Kα as the excitation source. The energy calibrations were made against the C 1s peak. The UV spectrophotometer (UV-2600, Shimadzu, Japan) was used to probe the uranyl ion concentration in the single aqueous solution. The concentration of the metal ion in mixed solution was detected using the inductively coupled plasma-optical emission spectrometry (PE-8000 PerkinElmer, America). The pH of solution was measured by an S-3C model pH meter. All of the electrochemical measurements were conducted by an electrochemical working station (CHI 760E) in a three electrode system.</w:t>
      </w:r>
    </w:p>
    <w:p w14:paraId="513BDB4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Physicochemical Sorption Experiments</w:t>
      </w:r>
    </w:p>
    <w:p w14:paraId="0057B36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To determine the maximum adsorption capacity of </w:t>
      </w:r>
      <w:r>
        <w:rPr>
          <w:rFonts w:ascii="Times New Roman" w:hAnsi="Times New Roman" w:cs="Times New Roman"/>
          <w:sz w:val="24"/>
        </w:rPr>
        <w:t>CS/</w:t>
      </w:r>
      <w:r>
        <w:rPr>
          <w:rFonts w:hint="eastAsia" w:ascii="Times New Roman" w:hAnsi="Times New Roman" w:cs="Times New Roman"/>
          <w:sz w:val="24"/>
        </w:rPr>
        <w:t xml:space="preserve">PA-PANI for uranyl ions, PA-PANI powder was dispersed in uranyl solution (uranyl nitrate hexahydrate was used to prepare the solution) with initial concentration range of </w:t>
      </w:r>
      <w:r>
        <w:rPr>
          <w:rFonts w:ascii="Times New Roman" w:hAnsi="Times New Roman" w:cs="Times New Roman"/>
          <w:sz w:val="24"/>
        </w:rPr>
        <w:t>50</w:t>
      </w:r>
      <w:r>
        <w:rPr>
          <w:rFonts w:hint="eastAsia" w:ascii="Times New Roman" w:hAnsi="Times New Roman" w:cs="Times New Roman"/>
          <w:sz w:val="24"/>
        </w:rPr>
        <w:t xml:space="preserve"> ~ </w:t>
      </w:r>
      <w:r>
        <w:rPr>
          <w:rFonts w:ascii="Times New Roman" w:hAnsi="Times New Roman" w:cs="Times New Roman"/>
          <w:sz w:val="24"/>
        </w:rPr>
        <w:t>1000</w:t>
      </w:r>
      <w:r>
        <w:rPr>
          <w:rFonts w:hint="eastAsia" w:ascii="Times New Roman" w:hAnsi="Times New Roman" w:cs="Times New Roman"/>
          <w:sz w:val="24"/>
        </w:rPr>
        <w:t xml:space="preserve"> mg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L</w:t>
      </w:r>
      <w:r>
        <w:rPr>
          <w:rFonts w:hint="eastAsia" w:ascii="Times New Roman" w:hAnsi="Times New Roman" w:cs="Times New Roman"/>
          <w:sz w:val="24"/>
          <w:vertAlign w:val="superscript"/>
        </w:rPr>
        <w:t>-1</w:t>
      </w:r>
      <w:r>
        <w:rPr>
          <w:rFonts w:hint="eastAsia" w:ascii="Times New Roman" w:hAnsi="Times New Roman" w:cs="Times New Roman"/>
          <w:sz w:val="24"/>
        </w:rPr>
        <w:t xml:space="preserve"> at a fixed material-to-solution ratio of </w:t>
      </w:r>
      <w:r>
        <w:rPr>
          <w:rFonts w:ascii="Times New Roman" w:hAnsi="Times New Roman" w:cs="Times New Roman"/>
          <w:sz w:val="24"/>
        </w:rPr>
        <w:t>0.5</w:t>
      </w:r>
      <w:r>
        <w:rPr>
          <w:rFonts w:hint="eastAsia" w:ascii="Times New Roman" w:hAnsi="Times New Roman" w:cs="Times New Roman"/>
          <w:sz w:val="24"/>
        </w:rPr>
        <w:t xml:space="preserve"> 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hint="eastAsia" w:ascii="Times New Roman" w:hAnsi="Times New Roman" w:cs="Times New Roman"/>
          <w:sz w:val="24"/>
        </w:rPr>
        <w:t xml:space="preserve"> to create a good dispersion and then shaken for 24 h. </w:t>
      </w:r>
    </w:p>
    <w:p w14:paraId="3F89EE8D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Electrochemical Tests</w:t>
      </w:r>
    </w:p>
    <w:bookmarkEnd w:id="3"/>
    <w:bookmarkEnd w:id="4"/>
    <w:p w14:paraId="29916E4B">
      <w:pPr>
        <w:pStyle w:val="11"/>
        <w:snapToGrid w:val="0"/>
        <w:spacing w:before="156" w:beforeLines="50" w:after="156" w:afterLines="50" w:line="360" w:lineRule="auto"/>
        <w:ind w:firstLine="0" w:firstLineChars="0"/>
        <w:rPr>
          <w:rFonts w:hint="eastAsia" w:ascii="Times New Roman" w:hAnsi="Times New Roman" w:cs="Times New Roman"/>
          <w:sz w:val="24"/>
          <w14:ligatures w14:val="standardContextual"/>
        </w:rPr>
      </w:pPr>
      <w:r>
        <w:rPr>
          <w:rFonts w:hint="eastAsia" w:ascii="Times New Roman" w:hAnsi="Times New Roman" w:cs="Times New Roman"/>
          <w:sz w:val="24"/>
          <w14:ligatures w14:val="standardContextual"/>
        </w:rPr>
        <w:t xml:space="preserve">The electrochemical performance was systematically evaluated using a three-electrode configuration on a CHI660E electrochemical workstation. The working electrode consisted of graphite plates coated with active materials , while a 1.0 cm × 1.0 cm platinum mesh served as the counter electrode. A mercury/mercurous sulfate electrode (Hg/Hg2SO₄) was employed as the reference electrode. The electrolyte contained 500 mg L⁻¹ UO₂²⁺ in an aqueous solution. Cyclic voltammetry (CV) was conducted within a voltage range of −1.0 to 0.6 V at scan rates of 10, 30, 50, 80, and 100 mV s⁻¹. Electrochemical impedance spectroscopy (EIS) was carried out at open circuit voltage over a frequency range of 0.01–1000 kHz. </w:t>
      </w:r>
    </w:p>
    <w:p w14:paraId="2B43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Electricity consumption calculation</w:t>
      </w:r>
    </w:p>
    <w:p w14:paraId="104B88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</w:pPr>
      <w:bookmarkStart w:id="5" w:name="_Hlk127177746"/>
      <w:bookmarkEnd w:id="5"/>
      <w:r>
        <w:rPr>
          <w:rFonts w:hint="default" w:ascii="Times New Roman" w:hAnsi="Times New Roman" w:eastAsia="宋体" w:cs="Times New Roman"/>
          <w:iCs/>
          <w:color w:val="000000"/>
          <w:kern w:val="2"/>
          <w:sz w:val="24"/>
          <w:szCs w:val="24"/>
          <w:lang w:val="en-US" w:eastAsia="zh-CN" w:bidi="ar"/>
          <w14:ligatures w14:val="standardContextual"/>
        </w:rPr>
        <w:t>The electricity consumption for extracting a unit of uranium (EC/KWh Kg</w:t>
      </w:r>
      <w:r>
        <w:rPr>
          <w:rFonts w:hint="default" w:ascii="Times New Roman" w:hAnsi="Times New Roman" w:eastAsia="宋体" w:cs="Times New Roman"/>
          <w:iCs/>
          <w:color w:val="000000"/>
          <w:kern w:val="2"/>
          <w:sz w:val="24"/>
          <w:szCs w:val="24"/>
          <w:vertAlign w:val="superscript"/>
          <w:lang w:val="en-US" w:eastAsia="zh-CN" w:bidi="ar"/>
          <w14:ligatures w14:val="standardContextual"/>
        </w:rPr>
        <w:t>-1</w:t>
      </w:r>
      <w:r>
        <w:rPr>
          <w:rFonts w:hint="default" w:ascii="Times New Roman" w:hAnsi="Times New Roman" w:eastAsia="宋体" w:cs="Times New Roman"/>
          <w:iCs/>
          <w:color w:val="000000"/>
          <w:kern w:val="2"/>
          <w:sz w:val="24"/>
          <w:szCs w:val="24"/>
          <w:lang w:val="en-US" w:eastAsia="zh-CN" w:bidi="ar"/>
          <w14:ligatures w14:val="standardContextual"/>
        </w:rPr>
        <w:t>)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were calculated by </w:t>
      </w:r>
      <w:r>
        <w:rPr>
          <w:rFonts w:hint="default" w:ascii="Times New Roman" w:hAnsi="Times New Roman" w:eastAsia="楷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>Eq. (S1)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as follows</w:t>
      </w:r>
      <w:r>
        <w:rPr>
          <w:rFonts w:hint="default" w:ascii="Times New Roman" w:hAnsi="Times New Roman" w:eastAsia="等线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等线" w:hAnsi="等线" w:eastAsia="等线" w:cs="Times New Roman"/>
          <w:kern w:val="2"/>
          <w:sz w:val="21"/>
          <w:szCs w:val="21"/>
          <w:lang w:val="en-US" w:eastAsia="zh-CN" w:bidi="ar"/>
          <w14:ligatures w14:val="standardContextual"/>
        </w:rPr>
        <w:fldChar w:fldCharType="begin"/>
      </w:r>
      <w:r>
        <w:rPr>
          <w:rFonts w:hint="default" w:ascii="等线" w:hAnsi="等线" w:eastAsia="等线" w:cs="Times New Roman"/>
          <w:kern w:val="2"/>
          <w:sz w:val="21"/>
          <w:szCs w:val="21"/>
          <w:lang w:val="en-US" w:eastAsia="zh-CN" w:bidi="ar"/>
          <w14:ligatures w14:val="standardContextual"/>
        </w:rPr>
        <w:instrText xml:space="preserve"> HYPERLINK "" \l "_ENREF_2" \o "Zhang, 2022 #1044" </w:instrText>
      </w:r>
      <w:r>
        <w:rPr>
          <w:rFonts w:hint="default" w:ascii="等线" w:hAnsi="等线" w:eastAsia="等线" w:cs="Times New Roman"/>
          <w:kern w:val="2"/>
          <w:sz w:val="21"/>
          <w:szCs w:val="21"/>
          <w:lang w:val="en-US" w:eastAsia="zh-CN" w:bidi="ar"/>
          <w14:ligatures w14:val="standardContextual"/>
        </w:rPr>
        <w:fldChar w:fldCharType="separate"/>
      </w:r>
      <w:r>
        <w:rPr>
          <w:rFonts w:hint="default" w:ascii="等线" w:hAnsi="等线" w:eastAsia="等线" w:cs="Times New Roman"/>
          <w:kern w:val="2"/>
          <w:sz w:val="21"/>
          <w:szCs w:val="21"/>
          <w:lang w:val="en-US" w:eastAsia="zh-CN" w:bidi="ar"/>
          <w14:ligatures w14:val="standardContextual"/>
        </w:rPr>
        <w:fldChar w:fldCharType="end"/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>:</w:t>
      </w:r>
      <w:bookmarkStart w:id="6" w:name="_Hlk112008723"/>
      <w:bookmarkEnd w:id="6"/>
    </w:p>
    <w:p w14:paraId="4BE9BD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hAnsi="DejaVu Math TeX Gyre" w:eastAsia="宋体" w:cs="Times New Roman"/>
          <w:i w:val="0"/>
          <w:color w:val="000000" w:themeColor="text1"/>
          <w:kern w:val="2"/>
          <w:sz w:val="24"/>
          <w:szCs w:val="24"/>
          <w:lang w:eastAsia="zh-CN" w:bidi="ar"/>
          <w14:textFill>
            <w14:solidFill>
              <w14:schemeClr w14:val="tx1"/>
            </w14:solidFill>
          </w14:textFill>
          <w14:ligatures w14:val="standardContextual"/>
        </w:rPr>
      </w:pPr>
      <m:oMathPara>
        <m:oMath>
          <m:eqArr>
            <m:eqArrPr>
              <m:maxDist m:val="1"/>
              <m:ctrlPr>
                <w:rPr>
                  <w:rFonts w:hint="default" w:hAnsi="DejaVu Math TeX Gyre" w:eastAsia="宋体" w:cs="Times New Roman"/>
                  <w:i w:val="0"/>
                  <w:color w:val="000000" w:themeColor="text1"/>
                  <w:kern w:val="2"/>
                  <w:sz w:val="24"/>
                  <w:szCs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  <w14:ligatures w14:val="standardContextual"/>
                </w:rPr>
              </m:ctrlPr>
            </m:eqArrPr>
            <m:e>
              <m:r>
                <m:rPr/>
                <w:rPr>
                  <w:rFonts w:hint="default" w:ascii="DejaVu Math TeX Gyre" w:hAnsi="DejaVu Math TeX Gyre" w:eastAsia="宋体" w:cs="Times New Roman"/>
                  <w:color w:val="000000" w:themeColor="text1"/>
                  <w:kern w:val="2"/>
                  <w:sz w:val="24"/>
                  <w:szCs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  <w14:ligatures w14:val="standardContextual"/>
                </w:rPr>
                <m:t>EC=</m:t>
              </m:r>
              <m:f>
                <m:fPr>
                  <m:ctrlPr>
                    <w:rPr>
                      <w:rFonts w:hint="default" w:ascii="DejaVu Math TeX Gyre" w:hAnsi="DejaVu Math TeX Gyre" w:eastAsia="宋体" w:cs="Times New Roman"/>
                      <w:i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m:ctrlPr>
                </m:fPr>
                <m:num>
                  <m:r>
                    <m:rPr/>
                    <w:rPr>
                      <w:rFonts w:hint="default" w:ascii="DejaVu Math TeX Gyre" w:hAnsi="DejaVu Math TeX Gyre" w:eastAsia="宋体" w:cs="Times New Roman"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m:t>U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naryPr>
                    <m:sub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ub>
                    <m:sup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up>
                    <m:e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Idt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e>
                  </m:nary>
                  <m:ctrlPr>
                    <w:rPr>
                      <w:rFonts w:hint="default" w:ascii="DejaVu Math TeX Gyre" w:hAnsi="DejaVu Math TeX Gyre" w:eastAsia="宋体" w:cs="Times New Roman"/>
                      <w:i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m:ctrlPr>
                </m:num>
                <m:den>
                  <m:r>
                    <m:rPr/>
                    <w:rPr>
                      <w:rFonts w:hint="default" w:ascii="DejaVu Math TeX Gyre" w:hAnsi="DejaVu Math TeX Gyre" w:eastAsia="宋体" w:cs="Times New Roman"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m:t>3600(</m:t>
                  </m:r>
                  <m:sSub>
                    <m:sSubP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C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0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ub>
                  </m:sSub>
                  <m:r>
                    <m:rPr/>
                    <w:rPr>
                      <w:rFonts w:hint="default" w:ascii="DejaVu Math TeX Gyre" w:hAnsi="DejaVu Math TeX Gyre" w:eastAsia="宋体" w:cs="Times New Roman"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m:t>−</m:t>
                  </m:r>
                  <m:sSub>
                    <m:sSubP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C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e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ub>
                  </m:sSub>
                  <m:r>
                    <m:rPr/>
                    <w:rPr>
                      <w:rFonts w:hint="default" w:ascii="DejaVu Math TeX Gyre" w:hAnsi="DejaVu Math TeX Gyre" w:eastAsia="宋体" w:cs="Times New Roman"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m:t>)</m:t>
                  </m:r>
                  <m:sSub>
                    <m:sSubP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V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DejaVu Math TeX Gyre" w:hAnsi="DejaVu Math TeX Gyre" w:eastAsia="宋体" w:cs="Times New Roman"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m:t>s</m:t>
                      </m:r>
                      <m:ctrlPr>
                        <w:rPr>
                          <w:rFonts w:hint="default" w:ascii="DejaVu Math TeX Gyre" w:hAnsi="DejaVu Math TeX Gyre" w:eastAsia="宋体" w:cs="Times New Roman"/>
                          <w:i/>
                          <w:color w:val="000000" w:themeColor="text1"/>
                          <w:kern w:val="2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m:ctrlPr>
                    </m:sub>
                  </m:sSub>
                  <m:ctrlPr>
                    <w:rPr>
                      <w:rFonts w:hint="default" w:ascii="DejaVu Math TeX Gyre" w:hAnsi="DejaVu Math TeX Gyre" w:eastAsia="宋体" w:cs="Times New Roman"/>
                      <w:i/>
                      <w:color w:val="000000" w:themeColor="text1"/>
                      <w:kern w:val="2"/>
                      <w:sz w:val="24"/>
                      <w:szCs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DejaVu Math TeX Gyre" w:hAnsi="DejaVu Math TeX Gyre" w:eastAsia="宋体" w:cs="Times New Roman"/>
                  <w:color w:val="000000" w:themeColor="text1"/>
                  <w:kern w:val="2"/>
                  <w:sz w:val="24"/>
                  <w:szCs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  <w14:ligatures w14:val="standardContextual"/>
                </w:rPr>
                <m:t>#(S−1)</m:t>
              </m:r>
              <m:ctrlPr>
                <w:rPr>
                  <w:rFonts w:hint="default" w:hAnsi="DejaVu Math TeX Gyre" w:eastAsia="宋体" w:cs="Times New Roman"/>
                  <w:i w:val="0"/>
                  <w:color w:val="000000" w:themeColor="text1"/>
                  <w:kern w:val="2"/>
                  <w:sz w:val="24"/>
                  <w:szCs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  <w14:ligatures w14:val="standardContextual"/>
                </w:rPr>
              </m:ctrlPr>
            </m:e>
          </m:eqArr>
        </m:oMath>
      </m:oMathPara>
    </w:p>
    <w:p w14:paraId="01519C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hAnsi="DejaVu Math TeX Gyre" w:eastAsia="宋体" w:cs="Times New Roman"/>
          <w:i w:val="0"/>
          <w:color w:val="000000"/>
          <w:kern w:val="2"/>
          <w:sz w:val="24"/>
          <w:szCs w:val="24"/>
          <w:lang w:eastAsia="zh-CN" w:bidi="ar"/>
          <w14:ligatures w14:val="standardContextual"/>
        </w:rPr>
      </w:pPr>
    </w:p>
    <w:p w14:paraId="490945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Times New Roman" w:hAnsi="Times New Roman" w:cs="Times New Roman"/>
          <w:sz w:val="24"/>
          <w14:ligatures w14:val="standardContextual"/>
        </w:rPr>
      </w:pPr>
      <w:bookmarkStart w:id="7" w:name="_Hlk127176861"/>
      <w:bookmarkEnd w:id="7"/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where, </w:t>
      </w:r>
      <m:oMath>
        <m:sSub>
          <m:sSubP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"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  <m:t>C</m:t>
            </m: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e>
          <m:sub>
            <m:r>
              <m:rPr/>
              <w:rPr>
                <w:rFonts w:hint="default" w:ascii="DejaVu Math TeX Gyre" w:hAnsi="DejaVu Math TeX Gyre" w:eastAsia="宋体" w:cs="Times New Roman"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  <m:t>0</m:t>
            </m: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(g L</w:t>
      </w:r>
      <w:r>
        <w:rPr>
          <w:rFonts w:hint="default" w:ascii="Times New Roman" w:hAnsi="Times New Roman" w:eastAsia="微软雅黑" w:cs="Times New Roman"/>
          <w:color w:val="000000"/>
          <w:kern w:val="2"/>
          <w:sz w:val="24"/>
          <w:szCs w:val="24"/>
          <w:vertAlign w:val="superscript"/>
          <w:lang w:val="en-US" w:eastAsia="zh-CN" w:bidi="ar"/>
          <w14:ligatures w14:val="standardContextual"/>
        </w:rPr>
        <w:t>−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vertAlign w:val="superscript"/>
          <w:lang w:val="en-US" w:eastAsia="zh-CN" w:bidi="ar"/>
          <w14:ligatures w14:val="standardContextual"/>
        </w:rPr>
        <w:t>1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) and </w:t>
      </w:r>
      <m:oMath>
        <m:sSub>
          <m:sSubP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"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  <m:t>C</m:t>
            </m: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e>
          <m:sub>
            <m:r>
              <m:rPr/>
              <w:rPr>
                <w:rFonts w:hint="default" w:ascii="DejaVu Math TeX Gyre" w:hAnsi="DejaVu Math TeX Gyre" w:eastAsia="宋体" w:cs="Times New Roman"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  <m:t>e</m:t>
            </m: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(g L</w:t>
      </w:r>
      <w:r>
        <w:rPr>
          <w:rFonts w:hint="default" w:ascii="Times New Roman" w:hAnsi="Times New Roman" w:eastAsia="微软雅黑" w:cs="Times New Roman"/>
          <w:color w:val="000000"/>
          <w:kern w:val="2"/>
          <w:sz w:val="24"/>
          <w:szCs w:val="24"/>
          <w:vertAlign w:val="superscript"/>
          <w:lang w:val="en-US" w:eastAsia="zh-CN" w:bidi="ar"/>
          <w14:ligatures w14:val="standardContextual"/>
        </w:rPr>
        <w:t>−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vertAlign w:val="superscript"/>
          <w:lang w:val="en-US" w:eastAsia="zh-CN" w:bidi="ar"/>
          <w14:ligatures w14:val="standardContextual"/>
        </w:rPr>
        <w:t>1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) are the initial and final concentrations of </w:t>
      </w:r>
      <w:r>
        <w:rPr>
          <w:rFonts w:hint="default" w:ascii="Times New Roman" w:hAnsi="Times New Roman" w:eastAsia="等线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>uranium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, respectively; and </w:t>
      </w:r>
      <m:oMath>
        <m:sSub>
          <m:sSubP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"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  <m:t>V</m:t>
            </m: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e>
          <m:sub>
            <m:r>
              <m:rPr/>
              <w:rPr>
                <w:rFonts w:hint="default" w:ascii="DejaVu Math TeX Gyre" w:hAnsi="DejaVu Math TeX Gyre" w:eastAsia="宋体" w:cs="Times New Roman"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  <m:t>s</m:t>
            </m:r>
            <m:ctrlPr>
              <w:rPr>
                <w:rFonts w:hint="default" w:ascii="DejaVu Math TeX Gyre" w:hAnsi="DejaVu Math TeX Gyre" w:eastAsia="宋体" w:cs="Times New Roman"/>
                <w:i/>
                <w:color w:val="000000"/>
                <w:kern w:val="2"/>
                <w:sz w:val="24"/>
                <w:szCs w:val="24"/>
                <w:lang w:eastAsia="zh-CN" w:bidi="ar"/>
                <w14:ligatures w14:val="standardContextual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(L) are the solution volume of samples, respectively. </w:t>
      </w:r>
      <m:oMath>
        <m:r>
          <m:rPr/>
          <w:rPr>
            <w:rFonts w:hint="default" w:ascii="DejaVu Math TeX Gyre" w:hAnsi="DejaVu Math TeX Gyre" w:eastAsia="宋体" w:cs="Times New Roman"/>
            <w:color w:val="000000"/>
            <w:kern w:val="2"/>
            <w:sz w:val="24"/>
            <w:szCs w:val="24"/>
            <w:lang w:eastAsia="zh-CN" w:bidi="ar"/>
            <w14:ligatures w14:val="standardContextual"/>
          </w:rPr>
          <m:t>I</m:t>
        </m:r>
      </m:oMath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(A) is the applied current</w:t>
      </w:r>
      <w:r>
        <w:rPr>
          <w:rFonts w:hint="default" w:ascii="Times New Roman" w:hAnsi="Times New Roman" w:eastAsia="等线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>,</w:t>
      </w:r>
      <w:r>
        <w:rPr>
          <w:rFonts w:hint="default" w:ascii="Times New Roman" w:hAnsi="Times New Roman" w:eastAsia="等线" w:cs="Times New Roman"/>
          <w:color w:val="000000"/>
          <w:kern w:val="2"/>
          <w:sz w:val="24"/>
          <w:szCs w:val="24"/>
          <w:vertAlign w:val="superscript"/>
          <w:lang w:val="en-US" w:eastAsia="zh-CN" w:bidi="ar"/>
          <w14:ligatures w14:val="standardContextual"/>
        </w:rPr>
        <w:t xml:space="preserve"> </w:t>
      </w:r>
      <m:oMath>
        <m:r>
          <m:rPr/>
          <w:rPr>
            <w:rFonts w:hint="default" w:ascii="DejaVu Math TeX Gyre" w:hAnsi="DejaVu Math TeX Gyre" w:eastAsia="宋体" w:cs="Times New Roman"/>
            <w:color w:val="000000"/>
            <w:kern w:val="2"/>
            <w:sz w:val="24"/>
            <w:szCs w:val="24"/>
            <w:lang w:eastAsia="zh-CN" w:bidi="ar"/>
            <w14:ligatures w14:val="standardContextual"/>
          </w:rPr>
          <m:t>U</m:t>
        </m:r>
      </m:oMath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(V) is the value of applied voltage; </w:t>
      </w:r>
      <m:oMath>
        <m:r>
          <m:rPr/>
          <w:rPr>
            <w:rFonts w:hint="default" w:ascii="DejaVu Math TeX Gyre" w:hAnsi="DejaVu Math TeX Gyre" w:eastAsia="宋体" w:cs="Times New Roman"/>
            <w:color w:val="000000"/>
            <w:kern w:val="2"/>
            <w:sz w:val="24"/>
            <w:szCs w:val="24"/>
            <w:lang w:eastAsia="zh-CN" w:bidi="ar"/>
            <w14:ligatures w14:val="standardContextual"/>
          </w:rPr>
          <m:t>t</m:t>
        </m:r>
      </m:oMath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  <w14:ligatures w14:val="standardContextual"/>
        </w:rPr>
        <w:t xml:space="preserve"> (s) is time of electrosorption.</w:t>
      </w:r>
    </w:p>
    <w:p w14:paraId="4B40F7A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Candara" w:hAnsi="Candara"/>
          <w:b/>
          <w:bCs/>
          <w:sz w:val="28"/>
          <w:szCs w:val="28"/>
        </w:rPr>
        <w:t>Supplementary Tables</w:t>
      </w:r>
    </w:p>
    <w:p w14:paraId="1669BBA7">
      <w:pPr>
        <w:spacing w:line="360" w:lineRule="auto"/>
        <w:rPr>
          <w:rFonts w:hint="eastAsia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Table S1.</w:t>
      </w:r>
      <w:r>
        <w:rPr>
          <w:rFonts w:hint="eastAsia" w:ascii="Times New Roman" w:hAnsi="Times New Roman" w:cs="Times New Roman"/>
          <w:sz w:val="24"/>
        </w:rPr>
        <w:t xml:space="preserve"> Fitting parameters of adsorption kinetics of uranium by electro-adsorption and physicochemical adsorption.</w:t>
      </w:r>
    </w:p>
    <w:tbl>
      <w:tblPr>
        <w:tblStyle w:val="5"/>
        <w:tblW w:w="85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866"/>
        <w:gridCol w:w="1149"/>
        <w:gridCol w:w="1007"/>
        <w:gridCol w:w="962"/>
        <w:gridCol w:w="989"/>
        <w:gridCol w:w="1600"/>
      </w:tblGrid>
      <w:tr w14:paraId="66EC3ADE">
        <w:trPr>
          <w:trHeight w:val="289" w:hRule="atLeast"/>
          <w:jc w:val="center"/>
        </w:trPr>
        <w:tc>
          <w:tcPr>
            <w:tcW w:w="1949" w:type="dxa"/>
            <w:vMerge w:val="restart"/>
            <w:tcBorders>
              <w:top w:val="single" w:color="auto" w:sz="12" w:space="0"/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0C4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Concentration</w:t>
            </w:r>
          </w:p>
        </w:tc>
        <w:tc>
          <w:tcPr>
            <w:tcW w:w="3022" w:type="dxa"/>
            <w:gridSpan w:val="3"/>
            <w:tcBorders>
              <w:top w:val="single" w:color="auto" w:sz="12" w:space="0"/>
              <w:left w:val="single" w:color="FFFFFF" w:sz="8" w:space="0"/>
              <w:bottom w:val="single" w:color="000000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8C13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Pseudo-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first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-order model</w:t>
            </w:r>
          </w:p>
        </w:tc>
        <w:tc>
          <w:tcPr>
            <w:tcW w:w="3551" w:type="dxa"/>
            <w:gridSpan w:val="3"/>
            <w:tcBorders>
              <w:top w:val="single" w:color="auto" w:sz="12" w:space="0"/>
              <w:left w:val="single" w:color="FFFFFF" w:sz="8" w:space="0"/>
              <w:bottom w:val="single" w:color="000000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33C4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Pseudo-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second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-order model</w:t>
            </w:r>
          </w:p>
        </w:tc>
      </w:tr>
      <w:tr w14:paraId="7E9AED22">
        <w:trPr>
          <w:trHeight w:val="289" w:hRule="atLeast"/>
          <w:jc w:val="center"/>
        </w:trPr>
        <w:tc>
          <w:tcPr>
            <w:tcW w:w="1949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vAlign w:val="center"/>
          </w:tcPr>
          <w:p w14:paraId="0F9B57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12" w:space="0"/>
              <w:left w:val="single" w:color="FFFFFF" w:sz="24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657A9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R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2</w:t>
            </w:r>
          </w:p>
        </w:tc>
        <w:tc>
          <w:tcPr>
            <w:tcW w:w="1149" w:type="dxa"/>
            <w:tcBorders>
              <w:top w:val="single" w:color="000000" w:sz="12" w:space="0"/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D83D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q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bscript"/>
                <w14:textFill>
                  <w14:solidFill>
                    <w14:schemeClr w14:val="dk1"/>
                  </w14:solidFill>
                </w14:textFill>
              </w:rPr>
              <w:t>e</w:t>
            </w:r>
          </w:p>
        </w:tc>
        <w:tc>
          <w:tcPr>
            <w:tcW w:w="1007" w:type="dxa"/>
            <w:tcBorders>
              <w:top w:val="single" w:color="000000" w:sz="12" w:space="0"/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6DE4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K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bscript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 xml:space="preserve"> (h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)</w:t>
            </w:r>
          </w:p>
        </w:tc>
        <w:tc>
          <w:tcPr>
            <w:tcW w:w="962" w:type="dxa"/>
            <w:tcBorders>
              <w:top w:val="single" w:color="000000" w:sz="12" w:space="0"/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99B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R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2</w:t>
            </w:r>
          </w:p>
        </w:tc>
        <w:tc>
          <w:tcPr>
            <w:tcW w:w="989" w:type="dxa"/>
            <w:tcBorders>
              <w:top w:val="single" w:color="000000" w:sz="12" w:space="0"/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BFAA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/>
                <w:i/>
                <w:iCs/>
                <w:kern w:val="0"/>
                <w:szCs w:val="21"/>
              </w:rPr>
              <w:t>q</w:t>
            </w:r>
            <w:r>
              <w:rPr>
                <w:rFonts w:ascii="Arial" w:hAnsi="Arial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B23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K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bscript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dark1"/>
                <w:kern w:val="24"/>
                <w:position w:val="-9"/>
                <w:szCs w:val="21"/>
                <w:vertAlign w:val="subscript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(g·mg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·h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)</w:t>
            </w:r>
          </w:p>
        </w:tc>
      </w:tr>
      <w:tr w14:paraId="34FE5F38">
        <w:trPr>
          <w:trHeight w:val="369" w:hRule="atLeast"/>
          <w:jc w:val="center"/>
        </w:trPr>
        <w:tc>
          <w:tcPr>
            <w:tcW w:w="1949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81F2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Electrosorption</w:t>
            </w:r>
          </w:p>
        </w:tc>
        <w:tc>
          <w:tcPr>
            <w:tcW w:w="866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EC626">
            <w:pPr>
              <w:widowControl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0.9</w:t>
            </w:r>
            <w:r>
              <w:rPr>
                <w:rFonts w:hint="default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736</w:t>
            </w:r>
          </w:p>
        </w:tc>
        <w:tc>
          <w:tcPr>
            <w:tcW w:w="1149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46A22">
            <w:pPr>
              <w:widowControl/>
              <w:jc w:val="center"/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937.36</w:t>
            </w:r>
          </w:p>
        </w:tc>
        <w:tc>
          <w:tcPr>
            <w:tcW w:w="1007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87B6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0.4825</w:t>
            </w:r>
          </w:p>
        </w:tc>
        <w:tc>
          <w:tcPr>
            <w:tcW w:w="96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F2412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0.9850</w:t>
            </w:r>
          </w:p>
        </w:tc>
        <w:tc>
          <w:tcPr>
            <w:tcW w:w="989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989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1018.09</w:t>
            </w:r>
          </w:p>
        </w:tc>
        <w:tc>
          <w:tcPr>
            <w:tcW w:w="160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E825C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6.68×10</w:t>
            </w: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-4</w:t>
            </w:r>
          </w:p>
        </w:tc>
      </w:tr>
      <w:tr w14:paraId="5951807E">
        <w:trPr>
          <w:trHeight w:val="369" w:hRule="atLeast"/>
          <w:jc w:val="center"/>
        </w:trPr>
        <w:tc>
          <w:tcPr>
            <w:tcW w:w="1949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7C0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Physicochemical adsorption</w:t>
            </w:r>
          </w:p>
        </w:tc>
        <w:tc>
          <w:tcPr>
            <w:tcW w:w="866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25A2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0.9910</w:t>
            </w:r>
          </w:p>
        </w:tc>
        <w:tc>
          <w:tcPr>
            <w:tcW w:w="1149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D8B01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595.66</w:t>
            </w:r>
          </w:p>
        </w:tc>
        <w:tc>
          <w:tcPr>
            <w:tcW w:w="1007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8C8E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0.1385</w:t>
            </w:r>
          </w:p>
        </w:tc>
        <w:tc>
          <w:tcPr>
            <w:tcW w:w="962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0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0.9947</w:t>
            </w:r>
          </w:p>
        </w:tc>
        <w:tc>
          <w:tcPr>
            <w:tcW w:w="989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788CD">
            <w:pPr>
              <w:widowControl/>
              <w:jc w:val="center"/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708.49</w:t>
            </w:r>
          </w:p>
        </w:tc>
        <w:tc>
          <w:tcPr>
            <w:tcW w:w="1600" w:type="dxa"/>
            <w:tcBorders>
              <w:left w:val="single" w:color="FFFFFF" w:sz="8" w:space="0"/>
              <w:bottom w:val="single" w:color="auto" w:sz="12" w:space="0"/>
              <w:right w:val="single" w:color="FFFFFF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7D55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2.15×10</w:t>
            </w:r>
            <w:r>
              <w:rPr>
                <w:rFonts w:hint="eastAsia" w:ascii="Times New Roman" w:hAnsi="Times New Roman"/>
                <w:color w:val="000000" w:themeColor="dark1"/>
                <w:kern w:val="24"/>
                <w:szCs w:val="21"/>
                <w:vertAlign w:val="superscript"/>
                <w14:textFill>
                  <w14:solidFill>
                    <w14:schemeClr w14:val="dk1"/>
                  </w14:solidFill>
                </w14:textFill>
              </w:rPr>
              <w:t>-4</w:t>
            </w:r>
          </w:p>
        </w:tc>
      </w:tr>
    </w:tbl>
    <w:p w14:paraId="26BB3997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79D2B32">
      <w:pPr>
        <w:spacing w:line="360" w:lineRule="auto"/>
        <w:rPr>
          <w:rFonts w:hint="eastAsia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 xml:space="preserve"> The uranium adsorption isotherm parameters of CS/PA-PANI.</w:t>
      </w:r>
    </w:p>
    <w:tbl>
      <w:tblPr>
        <w:tblStyle w:val="5"/>
        <w:tblW w:w="497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23"/>
        <w:gridCol w:w="2120"/>
        <w:gridCol w:w="193"/>
        <w:gridCol w:w="1928"/>
      </w:tblGrid>
      <w:tr w14:paraId="03C29859">
        <w:trPr>
          <w:trHeight w:val="234" w:hRule="atLeast"/>
          <w:jc w:val="center"/>
        </w:trPr>
        <w:tc>
          <w:tcPr>
            <w:tcW w:w="5000" w:type="pct"/>
            <w:gridSpan w:val="5"/>
            <w:tcBorders>
              <w:top w:val="single" w:color="000000" w:sz="18" w:space="0"/>
              <w:left w:val="single" w:color="FFFFFF" w:sz="8" w:space="0"/>
              <w:bottom w:val="single" w:color="000000" w:sz="12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F191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Isotherm model</w:t>
            </w:r>
          </w:p>
        </w:tc>
      </w:tr>
      <w:tr w14:paraId="3484C6D0">
        <w:trPr>
          <w:trHeight w:val="120" w:hRule="atLeast"/>
          <w:jc w:val="center"/>
        </w:trPr>
        <w:tc>
          <w:tcPr>
            <w:tcW w:w="2499" w:type="pct"/>
            <w:gridSpan w:val="2"/>
            <w:tcBorders>
              <w:top w:val="single" w:color="000000" w:sz="12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B2DA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Langmuir</w:t>
            </w:r>
          </w:p>
        </w:tc>
        <w:tc>
          <w:tcPr>
            <w:tcW w:w="2501" w:type="pct"/>
            <w:gridSpan w:val="3"/>
            <w:tcBorders>
              <w:top w:val="single" w:color="000000" w:sz="12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336A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Freundlich</w:t>
            </w:r>
          </w:p>
        </w:tc>
      </w:tr>
      <w:tr w14:paraId="30C59FF2">
        <w:trPr>
          <w:trHeight w:val="348" w:hRule="atLeast"/>
          <w:jc w:val="center"/>
        </w:trPr>
        <w:tc>
          <w:tcPr>
            <w:tcW w:w="1247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BF61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m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(mg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·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2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D036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973.13</w:t>
            </w:r>
          </w:p>
        </w:tc>
        <w:tc>
          <w:tcPr>
            <w:tcW w:w="1250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997CF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251" w:type="pct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1BBF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3.9325</w:t>
            </w:r>
          </w:p>
        </w:tc>
      </w:tr>
      <w:tr w14:paraId="75E3D73C">
        <w:trPr>
          <w:trHeight w:val="117" w:hRule="atLeast"/>
          <w:jc w:val="center"/>
        </w:trPr>
        <w:tc>
          <w:tcPr>
            <w:tcW w:w="1247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5C1E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(L</w:t>
            </w:r>
            <w:r>
              <w:rPr>
                <w:rFonts w:ascii="Times New Roman" w:hAnsi="Times New Roman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</w:rPr>
              <w:t>·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mg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2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BD3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0.0493</w:t>
            </w:r>
          </w:p>
        </w:tc>
        <w:tc>
          <w:tcPr>
            <w:tcW w:w="1364" w:type="pct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D167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/>
                <w:color w:val="000000" w:themeColor="text1"/>
                <w:position w:val="-9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(mg g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 (L mg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1/n</w:t>
            </w:r>
          </w:p>
        </w:tc>
        <w:tc>
          <w:tcPr>
            <w:tcW w:w="1137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353D5">
            <w:pPr>
              <w:widowControl/>
              <w:ind w:firstLine="525" w:firstLineChars="2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360.79</w:t>
            </w:r>
          </w:p>
        </w:tc>
      </w:tr>
      <w:tr w14:paraId="7FA63786">
        <w:trPr>
          <w:trHeight w:val="23" w:hRule="atLeast"/>
          <w:jc w:val="center"/>
        </w:trPr>
        <w:tc>
          <w:tcPr>
            <w:tcW w:w="1247" w:type="pct"/>
            <w:tcBorders>
              <w:top w:val="single" w:color="FFFFFF" w:sz="8" w:space="0"/>
              <w:left w:val="single" w:color="FFFFFF" w:sz="8" w:space="0"/>
              <w:bottom w:val="single" w:color="000000" w:sz="1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5163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2" w:type="pct"/>
            <w:tcBorders>
              <w:top w:val="single" w:color="FFFFFF" w:sz="8" w:space="0"/>
              <w:left w:val="single" w:color="FFFFFF" w:sz="8" w:space="0"/>
              <w:bottom w:val="single" w:color="000000" w:sz="1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28B9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0.9817</w:t>
            </w:r>
          </w:p>
        </w:tc>
        <w:tc>
          <w:tcPr>
            <w:tcW w:w="1250" w:type="pct"/>
            <w:tcBorders>
              <w:top w:val="single" w:color="FFFFFF" w:sz="8" w:space="0"/>
              <w:left w:val="single" w:color="FFFFFF" w:sz="8" w:space="0"/>
              <w:bottom w:val="single" w:color="000000" w:sz="1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29FA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1" w:type="pct"/>
            <w:gridSpan w:val="2"/>
            <w:tcBorders>
              <w:top w:val="single" w:color="FFFFFF" w:sz="8" w:space="0"/>
              <w:left w:val="single" w:color="FFFFFF" w:sz="8" w:space="0"/>
              <w:bottom w:val="single" w:color="000000" w:sz="1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F4E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0.8078</w:t>
            </w:r>
          </w:p>
        </w:tc>
      </w:tr>
    </w:tbl>
    <w:p w14:paraId="26ACFD1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575A3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Table S3.</w:t>
      </w:r>
      <w:r>
        <w:rPr>
          <w:rFonts w:hint="eastAsia" w:ascii="Times New Roman" w:hAnsi="Times New Roman" w:cs="Times New Roman"/>
          <w:sz w:val="24"/>
        </w:rPr>
        <w:t xml:space="preserve"> Ion concentrati</w:t>
      </w:r>
      <w:bookmarkStart w:id="8" w:name="_Hlk146216354"/>
      <w:r>
        <w:rPr>
          <w:rFonts w:hint="eastAsia" w:ascii="Times New Roman" w:hAnsi="Times New Roman" w:cs="Times New Roman"/>
          <w:sz w:val="24"/>
        </w:rPr>
        <w:t>on of simu</w:t>
      </w:r>
      <w:bookmarkEnd w:id="8"/>
      <w:r>
        <w:rPr>
          <w:rFonts w:hint="eastAsia" w:ascii="Times New Roman" w:hAnsi="Times New Roman" w:cs="Times New Roman"/>
          <w:sz w:val="24"/>
        </w:rPr>
        <w:t>lated seawater.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516"/>
        <w:gridCol w:w="516"/>
        <w:gridCol w:w="516"/>
        <w:gridCol w:w="516"/>
        <w:gridCol w:w="516"/>
        <w:gridCol w:w="450"/>
        <w:gridCol w:w="516"/>
        <w:gridCol w:w="566"/>
        <w:gridCol w:w="831"/>
        <w:gridCol w:w="831"/>
      </w:tblGrid>
      <w:tr w14:paraId="1E55C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24" w:hRule="atLeast"/>
          <w:jc w:val="center"/>
        </w:trPr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1D040CC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Element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3F6A781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U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728F0A9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V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749607B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Fe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3AB2CE9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Co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78AD8D3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Ni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350E6C1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Cu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055484F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Zn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167CF74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Pb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5328387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Mg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</w:tcPr>
          <w:p w14:paraId="4909F70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Ca</w:t>
            </w:r>
          </w:p>
        </w:tc>
      </w:tr>
      <w:tr w14:paraId="2B2DF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5B6B7B0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Simulated seawater (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μ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g 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455ADEB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330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4A1E9D9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152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138FBF6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141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0CADE82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530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06B0A41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101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41940AD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6770463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408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5943D9E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34.6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1B0BEFF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1.2*10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  <w14:ligatures w14:val="none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3401267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0.6*10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  <w14:ligatures w14:val="none"/>
              </w:rPr>
              <w:t>5</w:t>
            </w:r>
          </w:p>
        </w:tc>
      </w:tr>
    </w:tbl>
    <w:p w14:paraId="1C85A50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E1858C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Table S4.</w:t>
      </w:r>
      <w:r>
        <w:rPr>
          <w:rFonts w:hint="eastAsia" w:ascii="Times New Roman" w:hAnsi="Times New Roman" w:cs="Times New Roman"/>
          <w:sz w:val="24"/>
        </w:rPr>
        <w:t xml:space="preserve"> Ion concentration of </w:t>
      </w:r>
      <w:r>
        <w:rPr>
          <w:rFonts w:ascii="Book Antiqua" w:hAnsi="Book Antiqua" w:cs="Times New Roman"/>
          <w:sz w:val="22"/>
        </w:rPr>
        <w:t>natural</w:t>
      </w:r>
      <w:r>
        <w:rPr>
          <w:rFonts w:hint="eastAsia" w:ascii="Times New Roman" w:hAnsi="Times New Roman" w:cs="Times New Roman"/>
          <w:sz w:val="24"/>
        </w:rPr>
        <w:t xml:space="preserve"> seawater.</w:t>
      </w:r>
    </w:p>
    <w:tbl>
      <w:tblPr>
        <w:tblStyle w:val="6"/>
        <w:tblW w:w="499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466"/>
        <w:gridCol w:w="466"/>
        <w:gridCol w:w="466"/>
        <w:gridCol w:w="466"/>
        <w:gridCol w:w="466"/>
        <w:gridCol w:w="466"/>
        <w:gridCol w:w="466"/>
        <w:gridCol w:w="466"/>
        <w:gridCol w:w="831"/>
        <w:gridCol w:w="831"/>
        <w:gridCol w:w="831"/>
      </w:tblGrid>
      <w:tr w14:paraId="6CAF2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24" w:hRule="atLeast"/>
          <w:jc w:val="center"/>
        </w:trPr>
        <w:tc>
          <w:tcPr>
            <w:tcW w:w="1660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1711B6D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Element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1D9FF79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U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1CEA89D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V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6CB6CE1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Fe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3C0DA2D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Co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722D2BC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Ni</w:t>
            </w:r>
          </w:p>
        </w:tc>
        <w:tc>
          <w:tcPr>
            <w:tcW w:w="30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49F5866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Cu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6B31E2E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Zn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73D993D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Pb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497A2A7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Mg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32DA8FA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Ca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</w:tcPr>
          <w:p w14:paraId="6FED9D2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Na</w:t>
            </w:r>
          </w:p>
        </w:tc>
      </w:tr>
      <w:tr w14:paraId="21355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1660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59A9288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atural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 xml:space="preserve"> seawater (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μ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g 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)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498598F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2.4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254928B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2.7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02AC0C8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1.3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1D68C61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5.3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5785668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1.9</w:t>
            </w:r>
          </w:p>
        </w:tc>
        <w:tc>
          <w:tcPr>
            <w:tcW w:w="307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33BA728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0.5</w:t>
            </w:r>
          </w:p>
        </w:tc>
        <w:tc>
          <w:tcPr>
            <w:tcW w:w="30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12C77A3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4.6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09A817B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0.4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6BC14E3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*10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0CC7496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*10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vAlign w:val="center"/>
          </w:tcPr>
          <w:p w14:paraId="55BF1B6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*10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vertAlign w:val="superscript"/>
                <w14:ligatures w14:val="none"/>
              </w:rPr>
              <w:t>6</w:t>
            </w:r>
          </w:p>
        </w:tc>
      </w:tr>
    </w:tbl>
    <w:p w14:paraId="31685497">
      <w:pPr>
        <w:pStyle w:val="11"/>
        <w:spacing w:line="360" w:lineRule="auto"/>
        <w:ind w:left="360" w:firstLine="0" w:firstLineChars="0"/>
        <w:rPr>
          <w:rFonts w:ascii="Book Antiqua" w:hAnsi="Book Antiqua" w:cs="Times New Roman"/>
          <w:sz w:val="24"/>
          <w:szCs w:val="24"/>
        </w:rPr>
      </w:pPr>
    </w:p>
    <w:p w14:paraId="0A81FE79">
      <w:pPr>
        <w:widowControl/>
        <w:jc w:val="left"/>
        <w:rPr>
          <w:rFonts w:ascii="Times New Roman" w:hAnsi="Times New Roman" w:eastAsia="Times New Roman" w:cs="Times New Roman"/>
          <w:color w:val="1F1F1F"/>
          <w:kern w:val="0"/>
          <w:sz w:val="24"/>
          <w:szCs w:val="24"/>
          <w:lang w:bidi="ar"/>
        </w:rPr>
      </w:pPr>
      <w:r>
        <w:rPr>
          <w:rFonts w:hint="eastAsia" w:ascii="Times New Roman" w:hAnsi="Times New Roman" w:cs="Times New Roman"/>
          <w:b/>
          <w:bCs/>
          <w:sz w:val="24"/>
        </w:rPr>
        <w:t>Table S</w:t>
      </w:r>
      <w:r>
        <w:rPr>
          <w:rFonts w:ascii="Times New Roman" w:hAnsi="Times New Roman" w:cs="Times New Roman"/>
          <w:b/>
          <w:bCs/>
          <w:sz w:val="24"/>
        </w:rPr>
        <w:t>5</w:t>
      </w:r>
      <w:r>
        <w:rPr>
          <w:rFonts w:hint="eastAsia"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eastAsia="Times New Roman" w:cs="Times New Roman"/>
          <w:color w:val="1F1F1F"/>
          <w:kern w:val="0"/>
          <w:sz w:val="24"/>
          <w:szCs w:val="24"/>
          <w:lang w:bidi="ar"/>
        </w:rPr>
        <w:t> Comparison of electrosorption performance of CS/PA-PANI with other reported materials.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246"/>
        <w:gridCol w:w="3948"/>
      </w:tblGrid>
      <w:tr w14:paraId="4D4C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</w:tcPr>
          <w:p w14:paraId="380C24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  <w:t>CDI electrode material</w:t>
            </w:r>
          </w:p>
        </w:tc>
        <w:tc>
          <w:tcPr>
            <w:tcW w:w="131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44E9B2F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  <w:t>Adsorption capacity  (mg g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:vertAlign w:val="superscript"/>
                <w14:ligatures w14:val="none"/>
              </w:rPr>
              <w:t>−1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  <w:t>)</w:t>
            </w:r>
          </w:p>
        </w:tc>
        <w:tc>
          <w:tcPr>
            <w:tcW w:w="231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5483547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  <w14:ligatures w14:val="none"/>
              </w:rPr>
              <w:t>Ref.</w:t>
            </w:r>
          </w:p>
        </w:tc>
      </w:tr>
      <w:tr w14:paraId="097D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0488AF1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Carbon nanospheres</w:t>
            </w:r>
          </w:p>
        </w:tc>
        <w:tc>
          <w:tcPr>
            <w:tcW w:w="131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0AB1472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194</w:t>
            </w:r>
          </w:p>
        </w:tc>
        <w:tc>
          <w:tcPr>
            <w:tcW w:w="231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4E03F93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&lt;EndNote&gt;&lt;Cite&gt;&lt;Author&gt;Jin&lt;/Author&gt;&lt;Year&gt;2023&lt;/Year&gt;&lt;RecNum&gt;1&lt;/RecNum&gt;&lt;DisplayText&gt;&lt;style face="superscript"&gt;[1]&lt;/style&gt;&lt;/DisplayText&gt;&lt;record&gt;&lt;rec-number&gt;1&lt;/rec-number&gt;&lt;foreign-keys&gt;&lt;key app="EN" db-id="z2spfssrpxw2flee09rv5e9szfettw2xxxva" timestamp="1767609981"&gt;1&lt;/key&gt;&lt;/foreign-keys&gt;&lt;ref-type name="Journal Article"&gt;17&lt;/ref-type&gt;&lt;contributors&gt;&lt;authors&gt;&lt;author&gt;Jin, Meiyue&lt;/author&gt;&lt;author&gt;Huang, Xinhua&lt;/author&gt;&lt;author&gt;Wang, Zhirou&lt;/author&gt;&lt;author&gt;Chan, Vincent&lt;/author&gt;&lt;author&gt;Hu, Jinsong&lt;/author&gt;&lt;author&gt;Wu, Ai&lt;/author&gt;&lt;author&gt;Hu, Guangzhi&lt;/author&gt;&lt;/authors&gt;&lt;/contributors&gt;&lt;titles&gt;&lt;title&gt;Mn, N co-doped carbon nanospheres for efficient capture of uranium (VI) via capacitive deionization&lt;/title&gt;&lt;secondary-title&gt;Chemosphere&lt;/secondary-title&gt;&lt;/titles&gt;&lt;periodical&gt;&lt;full-title&gt;Chemosphere&lt;/full-title&gt;&lt;/periodical&gt;&lt;pages&gt;140190&lt;/pages&gt;&lt;volume&gt;342&lt;/volume&gt;&lt;dates&gt;&lt;year&gt;2023&lt;/year&gt;&lt;/dates&gt;&lt;isbn&gt;0045-6535&lt;/isbn&gt;&lt;urls&gt;&lt;/urls&gt;&lt;electronic-resource-num&gt;10.1016/j.chemosphere.2023.140190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060D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3FC2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Chitosan/biocarbon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DACD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207.6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C051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&lt;EndNote&gt;&lt;Cite&gt;&lt;Author&gt;Tang&lt;/Author&gt;&lt;Year&gt;2021&lt;/Year&gt;&lt;RecNum&gt;2&lt;/RecNum&gt;&lt;DisplayText&gt;&lt;style face="superscript"&gt;[2]&lt;/style&gt;&lt;/DisplayText&gt;&lt;record&gt;&lt;rec-number&gt;2&lt;/rec-number&gt;&lt;foreign-keys&gt;&lt;key app="EN" db-id="z2spfssrpxw2flee09rv5e9szfettw2xxxva" timestamp="1767609981"&gt;2&lt;/key&gt;&lt;/foreign-keys&gt;&lt;ref-type name="Journal Article"&gt;17&lt;/ref-type&gt;&lt;contributors&gt;&lt;authors&gt;&lt;author&gt;Tang, Xiaohuan&lt;/author&gt;&lt;author&gt;Zhou, Limin&lt;/author&gt;&lt;author&gt;Xi, Ji&lt;/author&gt;&lt;author&gt;Ouyang, Jinbo&lt;/author&gt;&lt;author&gt;Liu, Zhirong&lt;/author&gt;&lt;author&gt;Chen, Zhongsheng&lt;/author&gt;&lt;author&gt;Adesina, Adesoji A&lt;/author&gt;&lt;/authors&gt;&lt;/contributors&gt;&lt;titles&gt;&lt;title&gt;Porous chitosan/biocarbon composite membrane as the electrode material for the electrosorption of uranium from aqueous solution&lt;/title&gt;&lt;secondary-title&gt;Separation and Purification Technology&lt;/secondary-title&gt;&lt;/titles&gt;&lt;periodical&gt;&lt;full-title&gt;Separation and Purification Technology&lt;/full-title&gt;&lt;/periodical&gt;&lt;pages&gt;119005&lt;/pages&gt;&lt;volume&gt;274&lt;/volume&gt;&lt;dates&gt;&lt;year&gt;2021&lt;/year&gt;&lt;/dates&gt;&lt;isbn&gt;1383-5866&lt;/isbn&gt;&lt;urls&gt;&lt;/urls&gt;&lt;electronic-resource-num&gt;10.1016/j.seppur.2021.119005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[2]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282B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A5D8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GO/PPy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2FF1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246.5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05F7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&lt;EndNote&gt;&lt;Cite&gt;&lt;Author&gt;Shuang&lt;/Author&gt;&lt;Year&gt;2023&lt;/Year&gt;&lt;RecNum&gt;3&lt;/RecNum&gt;&lt;DisplayText&gt;&lt;style face="superscript"&gt;[3]&lt;/style&gt;&lt;/DisplayText&gt;&lt;record&gt;&lt;rec-number&gt;3&lt;/rec-number&gt;&lt;foreign-keys&gt;&lt;key app="EN" db-id="z2spfssrpxw2flee09rv5e9szfettw2xxxva" timestamp="1767609981"&gt;3&lt;/key&gt;&lt;/foreign-keys&gt;&lt;ref-type name="Journal Article"&gt;17&lt;/ref-type&gt;&lt;contributors&gt;&lt;authors&gt;&lt;author&gt;Shuang, Mengting&lt;/author&gt;&lt;author&gt;Zhou, Limin&lt;/author&gt;&lt;author&gt;Liu, Yanlin&lt;/author&gt;&lt;author&gt;Yu, Hailan&lt;/author&gt;&lt;author&gt;Ao, Xianqian&lt;/author&gt;&lt;author&gt;Ouyang, Jinbo&lt;/author&gt;&lt;author&gt;Liu, Zhirong&lt;/author&gt;&lt;author&gt;Shehzad, Hamza&lt;/author&gt;&lt;author&gt;Adesina, Adesoji A&lt;/author&gt;&lt;/authors&gt;&lt;/contributors&gt;&lt;titles&gt;&lt;title&gt;Electrodeposition nanofabrication of graphene oxide/polypyrrole electrodes with high hybrid specific capacitance for enhancing U (VI) electrosorption&lt;/title&gt;&lt;secondary-title&gt;Journal of Environmental Chemical Engineering&lt;/secondary-title&gt;&lt;/titles&gt;&lt;periodical&gt;&lt;full-title&gt;Journal of Environmental Chemical Engineering&lt;/full-title&gt;&lt;/periodical&gt;&lt;pages&gt;111498&lt;/pages&gt;&lt;volume&gt;11&lt;/volume&gt;&lt;number&gt;6&lt;/number&gt;&lt;dates&gt;&lt;year&gt;2023&lt;/year&gt;&lt;/dates&gt;&lt;isbn&gt;2213-3437&lt;/isbn&gt;&lt;urls&gt;&lt;/urls&gt;&lt;electronic-resource-num&gt;10.1016/j.jece.2023.111498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[3]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1D84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8EAD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MAFP/GO/CS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612A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260.6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71EC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&lt;EndNote&gt;&lt;Cite&gt;&lt;Author&gt;Ren&lt;/Author&gt;&lt;Year&gt;2024&lt;/Year&gt;&lt;RecNum&gt;4&lt;/RecNum&gt;&lt;DisplayText&gt;&lt;style face="superscript"&gt;[4]&lt;/style&gt;&lt;/DisplayText&gt;&lt;record&gt;&lt;rec-number&gt;4&lt;/rec-number&gt;&lt;foreign-keys&gt;&lt;key app="EN" db-id="z2spfssrpxw2flee09rv5e9szfettw2xxxva" timestamp="1767609981"&gt;4&lt;/key&gt;&lt;/foreign-keys&gt;&lt;ref-type name="Journal Article"&gt;17&lt;/ref-type&gt;&lt;contributors&gt;&lt;authors&gt;&lt;author&gt;Ren, Qi&lt;/author&gt;&lt;author&gt;Xia, Hongtao&lt;/author&gt;&lt;author&gt;Wang, Yang&lt;/author&gt;&lt;author&gt;Lv, Jianqi&lt;/author&gt;&lt;author&gt;Yuan, Dingzhong&lt;/author&gt;&lt;author&gt;Liu, Yan&lt;/author&gt;&lt;author&gt;Zhou, Limin&lt;/author&gt;&lt;author&gt;Li, Yang&lt;/author&gt;&lt;author&gt;Wang, Yun&lt;/author&gt;&lt;/authors&gt;&lt;/contributors&gt;&lt;titles&gt;&lt;title&gt;Novel malonamide-amidoxime bifunctional polymers decorated graphene oxide/chitosan electrode for enhancing electrosorptive removal of uranium (VI)&lt;/title&gt;&lt;secondary-title&gt;Separation and Purification Technology&lt;/secondary-title&gt;&lt;/titles&gt;&lt;periodical&gt;&lt;full-title&gt;Separation and Purification Technology&lt;/full-title&gt;&lt;/periodical&gt;&lt;pages&gt;125292&lt;/pages&gt;&lt;volume&gt;330&lt;/volume&gt;&lt;dates&gt;&lt;year&gt;2024&lt;/year&gt;&lt;/dates&gt;&lt;isbn&gt;1383-5866&lt;/isbn&gt;&lt;urls&gt;&lt;/urls&gt;&lt;electronic-resource-num&gt;10.1016/j.seppur.2023.125292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[4]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492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83BC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CC/PANI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91D6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282.2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93EF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&lt;EndNote&gt;&lt;Cite&gt;&lt;Author&gt;Yu&lt;/Author&gt;&lt;Year&gt;2023&lt;/Year&gt;&lt;RecNum&gt;5&lt;/RecNum&gt;&lt;DisplayText&gt;&lt;style face="superscript"&gt;[5]&lt;/style&gt;&lt;/DisplayText&gt;&lt;record&gt;&lt;rec-number&gt;5&lt;/rec-number&gt;&lt;foreign-keys&gt;&lt;key app="EN" db-id="z2spfssrpxw2flee09rv5e9szfettw2xxxva" timestamp="1767609981"&gt;5&lt;/key&gt;&lt;/foreign-keys&gt;&lt;ref-type name="Journal Article"&gt;17&lt;/ref-type&gt;&lt;contributors&gt;&lt;authors&gt;&lt;author&gt;Yu, Hailan&lt;/author&gt;&lt;author&gt;Zhou, Limin&lt;/author&gt;&lt;author&gt;Liu, Yanlin&lt;/author&gt;&lt;author&gt;Ao, Xianqian&lt;/author&gt;&lt;author&gt;Ouyang, Jinbo&lt;/author&gt;&lt;author&gt;Liu, Zhirong&lt;/author&gt;&lt;author&gt;Adesina, Adesoji A&lt;/author&gt;&lt;/authors&gt;&lt;/contributors&gt;&lt;titles&gt;&lt;title&gt;Biocarbon/polyaniline nanofiber electrodes with high hybrid capacitance and hierarchical porous structure for U (VI) electrosorption&lt;/title&gt;&lt;secondary-title&gt;Desalination&lt;/secondary-title&gt;&lt;/titles&gt;&lt;periodical&gt;&lt;full-title&gt;Desalination&lt;/full-title&gt;&lt;/periodical&gt;&lt;pages&gt;116773&lt;/pages&gt;&lt;volume&gt;564&lt;/volume&gt;&lt;dates&gt;&lt;year&gt;2023&lt;/year&gt;&lt;/dates&gt;&lt;isbn&gt;0011-9164&lt;/isbn&gt;&lt;urls&gt;&lt;/urls&gt;&lt;electronic-resource-num&gt;10.1016/j.desal.2023.116773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[5]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1B43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55C9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MIL-101-NH2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E375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331.4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D012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instrText xml:space="preserve"> ADDIN EN.CITE &lt;EndNote&gt;&lt;Cite&gt;&lt;Author&gt;Guo&lt;/Author&gt;&lt;Year&gt;2025&lt;/Year&gt;&lt;RecNum&gt;17&lt;/RecNum&gt;&lt;DisplayText&gt;&lt;style face="superscript"&gt;[6]&lt;/style&gt;&lt;/DisplayText&gt;&lt;record&gt;&lt;rec-number&gt;17&lt;/rec-number&gt;&lt;foreign-keys&gt;&lt;key app="EN" db-id="z2spfssrpxw2flee09rv5e9szfettw2xxxva" timestamp="1767610084"&gt;17&lt;/key&gt;&lt;/foreign-keys&gt;&lt;ref-type name="Journal Article"&gt;17&lt;/ref-type&gt;&lt;contributors&gt;&lt;authors&gt;&lt;author&gt;Guo, Dingge&lt;/author&gt;&lt;author&gt;Yan, Chunpei&lt;/author&gt;&lt;author&gt;Huang, Bin&lt;/author&gt;&lt;author&gt;Jin, Tianxiang&lt;/author&gt;&lt;author&gt;Liu, Zhirong&lt;/author&gt;&lt;author&gt;Qian, Yong&lt;/author&gt;&lt;/authors&gt;&lt;/contributors&gt;&lt;titles&gt;&lt;title&gt;Combining electrosorption and electrochemical reduction mechanisms for uranium removal using 1, 2, 3, 4-butane tetracarboxylic acid-modified MIL-101: an in-depth exploration of uranyl–adsorbent interactions&lt;/title&gt;&lt;secondary-title&gt;Inorganic Chemistry&lt;/secondary-title&gt;&lt;/titles&gt;&lt;periodical&gt;&lt;full-title&gt;Inorganic Chemistry&lt;/full-title&gt;&lt;/periodical&gt;&lt;pages&gt;1777-1787&lt;/pages&gt;&lt;volume&gt;64&lt;/volume&gt;&lt;number&gt;4&lt;/number&gt;&lt;dates&gt;&lt;year&gt;2025&lt;/year&gt;&lt;/dates&gt;&lt;isbn&gt;0020-1669&lt;/isbn&gt;&lt;urls&gt;&lt;/urls&gt;&lt;electronic-resource-num&gt;10.1021/acs.inorgchem.4c04304&lt;/electronic-resource-num&gt;&lt;/record&gt;&lt;/Cite&gt;&lt;/EndNote&gt;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[6]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end"/>
            </w:r>
          </w:p>
        </w:tc>
      </w:tr>
      <w:tr w14:paraId="27C3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4E74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CNT/MnO2/PPy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87D0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339.5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2773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&lt;EndNote&gt;&lt;Cite&gt;&lt;Author&gt;Liu&lt;/Author&gt;&lt;Year&gt;2024&lt;/Year&gt;&lt;RecNum&gt;6&lt;/RecNum&gt;&lt;DisplayText&gt;&lt;style face="superscript"&gt;[7]&lt;/style&gt;&lt;/DisplayText&gt;&lt;record&gt;&lt;rec-number&gt;6&lt;/rec-number&gt;&lt;foreign-keys&gt;&lt;key app="EN" db-id="z2spfssrpxw2flee09rv5e9szfettw2xxxva" timestamp="1767609981"&gt;6&lt;/key&gt;&lt;/foreign-keys&gt;&lt;ref-type name="Journal Article"&gt;17&lt;/ref-type&gt;&lt;contributors&gt;&lt;authors&gt;&lt;author&gt;Liu, Yanlin&lt;/author&gt;&lt;author&gt;Zhou, Limin&lt;/author&gt;&lt;author&gt;Ouyang, Jinbo&lt;/author&gt;&lt;author&gt;Ao, Xianqian&lt;/author&gt;&lt;author&gt;Shuang, Mengting&lt;/author&gt;&lt;author&gt;Adesina, Adesoji A&lt;/author&gt;&lt;/authors&gt;&lt;/contributors&gt;&lt;titles&gt;&lt;title&gt;&lt;style face="normal" font="default" size="100%"&gt;Electrodeposition nanofabrication of carboxylated carbon nanotubes/&lt;/style&gt;&lt;style face="normal" font="default" charset="161" size="100%"&gt;α-MnO2 nanorods/polypyrrole composites as high hybrid capacitance electrodes for efficient U (VI) electrosorption&lt;/style&gt;&lt;/title&gt;&lt;secondary-title&gt;Separation and Purification Technology&lt;/secondary-title&gt;&lt;/titles&gt;&lt;periodical&gt;&lt;full-title&gt;Separation and Purification Technology&lt;/full-title&gt;&lt;/periodical&gt;&lt;pages&gt;125989&lt;/pages&gt;&lt;volume&gt;334&lt;/volume&gt;&lt;dates&gt;&lt;year&gt;2024&lt;/year&gt;&lt;/dates&gt;&lt;isbn&gt;1383-5866&lt;/isbn&gt;&lt;urls&gt;&lt;/urls&gt;&lt;electronic-resource-num&gt;10.1016/j.seppur.2023.125989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[7]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3CAA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E432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MOF/MWCNTs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3390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410.3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FF08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&lt;EndNote&gt;&lt;Cite&gt;&lt;Author&gt;Hu&lt;/Author&gt;&lt;Year&gt;2024&lt;/Year&gt;&lt;RecNum&gt;7&lt;/RecNum&gt;&lt;DisplayText&gt;&lt;style face="superscript"&gt;[8]&lt;/style&gt;&lt;/DisplayText&gt;&lt;record&gt;&lt;rec-number&gt;7&lt;/rec-number&gt;&lt;foreign-keys&gt;&lt;key app="EN" db-id="z2spfssrpxw2flee09rv5e9szfettw2xxxva" timestamp="1767609981"&gt;7&lt;/key&gt;&lt;/foreign-keys&gt;&lt;ref-type name="Journal Article"&gt;17&lt;/ref-type&gt;&lt;contributors&gt;&lt;authors&gt;&lt;author&gt;Hu, Qinyan&lt;/author&gt;&lt;author&gt;Wang, De&lt;/author&gt;&lt;author&gt;Liang, Jiawei&lt;/author&gt;&lt;author&gt;Liu, Zaidao&lt;/author&gt;&lt;author&gt;Li, Jiaxing&lt;/author&gt;&lt;/authors&gt;&lt;/contributors&gt;&lt;titles&gt;&lt;title&gt;Porous carbonized N-doped MOF-199 modified with MWCNTs for the deionization of uranium (VI)&lt;/title&gt;&lt;secondary-title&gt;Separation and Purification Technology&lt;/secondary-title&gt;&lt;/titles&gt;&lt;periodical&gt;&lt;full-title&gt;Separation and Purification Technology&lt;/full-title&gt;&lt;/periodical&gt;&lt;pages&gt;125494&lt;/pages&gt;&lt;volume&gt;330&lt;/volume&gt;&lt;dates&gt;&lt;year&gt;2024&lt;/year&gt;&lt;/dates&gt;&lt;isbn&gt;1383-5866&lt;/isbn&gt;&lt;urls&gt;&lt;/urls&gt;&lt;electronic-resource-num&gt;10.1016/j.seppur.2023.125494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[8]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3E6F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0CA9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CSPA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9BAD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429.1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24AE2">
            <w:pPr>
              <w:spacing w:line="480" w:lineRule="auto"/>
              <w:jc w:val="center"/>
              <w:rPr>
                <w:rFonts w:ascii="sans-serif" w:hAnsi="sans-serif" w:eastAsia="sans-serif" w:cs="sans-serif"/>
                <w:color w:val="279EF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"https://www.x-mol.com/paperRedirect/1469817991271587840" \t "/storage/Users/currentUser/Documents\x/_blank"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instrText xml:space="preserve"> ADDIN EN.CITE &lt;EndNote&gt;&lt;Cite&gt;&lt;Author&gt;Huang&lt;/Author&gt;&lt;Year&gt;2022&lt;/Year&gt;&lt;RecNum&gt;13&lt;/RecNum&gt;&lt;DisplayText&gt;&lt;style face="superscript"&gt;[9]&lt;/style&gt;&lt;/DisplayText&gt;&lt;record&gt;&lt;rec-number&gt;13&lt;/rec-number&gt;&lt;foreign-keys&gt;&lt;key app="EN" db-id="z2spfssrpxw2flee09rv5e9szfettw2xxxva" timestamp="1767610084"&gt;13&lt;/key&gt;&lt;/foreign-keys&gt;&lt;ref-type name="Journal Article"&gt;17&lt;/ref-type&gt;&lt;contributors&gt;&lt;authors&gt;&lt;author&gt;Huang, Jie&lt;/author&gt;&lt;author&gt;Huang, Bin&lt;/author&gt;&lt;author&gt;Jin, Tianxiang&lt;/author&gt;&lt;author&gt;Liu, Zhirong&lt;/author&gt;&lt;author&gt;Huang, Dejuan&lt;/author&gt;&lt;author&gt;Qian, Yong&lt;/author&gt;&lt;/authors&gt;&lt;/contributors&gt;&lt;titles&gt;&lt;title&gt;Electrosorption of uranium (VI) from aqueous solution by phytic acid modified chitosan: An experimental and DFT study&lt;/title&gt;&lt;secondary-title&gt;Separation and Purification Technology&lt;/secondary-title&gt;&lt;/titles&gt;&lt;periodical&gt;&lt;full-title&gt;Separation and Purification Technology&lt;/full-title&gt;&lt;/periodical&gt;&lt;pages&gt;120284&lt;/pages&gt;&lt;volume&gt;284&lt;/volume&gt;&lt;dates&gt;&lt;year&gt;2022&lt;/year&gt;&lt;/dates&gt;&lt;isbn&gt;1383-5866&lt;/isbn&gt;&lt;urls&gt;&lt;/urls&gt;&lt;electronic-resource-num&gt;10.1016/j.seppur.2021.120284&lt;/electronic-resource-num&gt;&lt;/record&gt;&lt;/Cite&gt;&lt;/EndNote&gt;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[9]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end"/>
            </w:r>
          </w:p>
        </w:tc>
      </w:tr>
      <w:tr w14:paraId="3430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7844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COFs-AO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A831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478.5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3E76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instrText xml:space="preserve"> ADDIN EN.CITE &lt;EndNote&gt;&lt;Cite&gt;&lt;Author&gt;Yang&lt;/Author&gt;&lt;Year&gt;2024&lt;/Year&gt;&lt;RecNum&gt;14&lt;/RecNum&gt;&lt;DisplayText&gt;&lt;style face="superscript"&gt;[10]&lt;/style&gt;&lt;/DisplayText&gt;&lt;record&gt;&lt;rec-number&gt;14&lt;/rec-number&gt;&lt;foreign-keys&gt;&lt;key app="EN" db-id="z2spfssrpxw2flee09rv5e9szfettw2xxxva" timestamp="1767610084"&gt;14&lt;/key&gt;&lt;/foreign-keys&gt;&lt;ref-type name="Journal Article"&gt;17&lt;/ref-type&gt;&lt;contributors&gt;&lt;authors&gt;&lt;author&gt;Yang, Sen&lt;/author&gt;&lt;author&gt;Luan, Zitong&lt;/author&gt;&lt;author&gt;Li, Wenjun&lt;/author&gt;&lt;author&gt;Cheng, Xiaoya&lt;/author&gt;&lt;author&gt;Ye, Zhouyi&lt;/author&gt;&lt;author&gt;Hu, Baowei&lt;/author&gt;&lt;/authors&gt;&lt;/contributors&gt;&lt;titles&gt;&lt;title&gt;Two-dimensional sp2 carbon-conjugated COFs electrode for efficient electro-adsorption of uranium&lt;/title&gt;&lt;secondary-title&gt;Separation and Purification Technology&lt;/secondary-title&gt;&lt;/titles&gt;&lt;periodical&gt;&lt;full-title&gt;Separation and Purification Technology&lt;/full-title&gt;&lt;/periodical&gt;&lt;pages&gt;125378&lt;/pages&gt;&lt;volume&gt;330&lt;/volume&gt;&lt;dates&gt;&lt;year&gt;2024&lt;/year&gt;&lt;/dates&gt;&lt;isbn&gt;1383-5866&lt;/isbn&gt;&lt;urls&gt;&lt;/urls&gt;&lt;electronic-resource-num&gt;10.1016/j.seppur.2023.125378&lt;/electronic-resource-num&gt;&lt;/record&gt;&lt;/Cite&gt;&lt;/EndNote&gt;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[10]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end"/>
            </w:r>
          </w:p>
        </w:tc>
      </w:tr>
      <w:tr w14:paraId="118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3030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Phosphate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746E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545.7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9052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&lt;EndNote&gt;&lt;Cite&gt;&lt;Author&gt;Liao&lt;/Author&gt;&lt;Year&gt;2019&lt;/Year&gt;&lt;RecNum&gt;8&lt;/RecNum&gt;&lt;DisplayText&gt;&lt;style face="superscript"&gt;[11]&lt;/style&gt;&lt;/DisplayText&gt;&lt;record&gt;&lt;rec-number&gt;8&lt;/rec-number&gt;&lt;foreign-keys&gt;&lt;key app="EN" db-id="z2spfssrpxw2flee09rv5e9szfettw2xxxva" timestamp="1767609981"&gt;8&lt;/key&gt;&lt;/foreign-keys&gt;&lt;ref-type name="Journal Article"&gt;17&lt;/ref-type&gt;&lt;contributors&gt;&lt;authors&gt;&lt;author&gt;Liao, Yun&lt;/author&gt;&lt;author&gt;Wang, Meng&lt;/author&gt;&lt;author&gt;Chen, Dajun&lt;/author&gt;&lt;/authors&gt;&lt;/contributors&gt;&lt;titles&gt;&lt;title&gt;Electrosorption of uranium (VI) by highly porous phosphate-functionalized graphene hydrogel&lt;/title&gt;&lt;secondary-title&gt;Applied Surface Science&lt;/secondary-title&gt;&lt;/titles&gt;&lt;periodical&gt;&lt;full-title&gt;Applied Surface Science&lt;/full-title&gt;&lt;/periodical&gt;&lt;pages&gt;83-96&lt;/pages&gt;&lt;volume&gt;484&lt;/volume&gt;&lt;dates&gt;&lt;year&gt;2019&lt;/year&gt;&lt;/dates&gt;&lt;isbn&gt;0169-4332&lt;/isbn&gt;&lt;urls&gt;&lt;/urls&gt;&lt;electronic-resource-num&gt;10.1016/j.apsusc.2019.04.103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[11]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4104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0E0C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NHC-CMS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C123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581.5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31B8B">
            <w:pPr>
              <w:spacing w:line="480" w:lineRule="auto"/>
              <w:jc w:val="center"/>
              <w:rPr>
                <w:rFonts w:ascii="sans-serif" w:hAnsi="sans-serif" w:eastAsia="sans-serif" w:cs="sans-serif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"https://doi.org/10.1016/j.cej.2025.164881" \t "/storage/Users/currentUser/Documents\x/_blank" \o "Persistent link using digital object identifier"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instrText xml:space="preserve"> ADDIN EN.CITE &lt;EndNote&gt;&lt;Cite&gt;&lt;Author&gt;Li&lt;/Author&gt;&lt;Year&gt;2025&lt;/Year&gt;&lt;RecNum&gt;15&lt;/RecNum&gt;&lt;DisplayText&gt;&lt;style face="superscript"&gt;[12]&lt;/style&gt;&lt;/DisplayText&gt;&lt;record&gt;&lt;rec-number&gt;15&lt;/rec-number&gt;&lt;foreign-keys&gt;&lt;key app="EN" db-id="z2spfssrpxw2flee09rv5e9szfettw2xxxva" timestamp="1767610084"&gt;15&lt;/key&gt;&lt;/foreign-keys&gt;&lt;ref-type name="Journal Article"&gt;17&lt;/ref-type&gt;&lt;contributors&gt;&lt;authors&gt;&lt;author&gt;Li, Qianxi&lt;/author&gt;&lt;author&gt;Zhou, Jianguo&lt;/author&gt;&lt;author&gt;Xu, Yingsheng&lt;/author&gt;&lt;author&gt;Jin, Zhen&lt;/author&gt;&lt;author&gt;Zhou, Hongjian&lt;/author&gt;&lt;/authors&gt;&lt;/contributors&gt;&lt;titles&gt;&lt;title&gt;Interface-driven electronic modulation enhances US coordination in carbon-confined Co-Mo sulfide heterojunctions for electrochemical uranium extraction&lt;/title&gt;&lt;secondary-title&gt;Chemical Engineering Journal&lt;/secondary-title&gt;&lt;/titles&gt;&lt;periodical&gt;&lt;full-title&gt;Chemical Engineering Journal&lt;/full-title&gt;&lt;/periodical&gt;&lt;pages&gt;164881&lt;/pages&gt;&lt;dates&gt;&lt;year&gt;2025&lt;/year&gt;&lt;/dates&gt;&lt;isbn&gt;1385-8947&lt;/isbn&gt;&lt;urls&gt;&lt;/urls&gt;&lt;electronic-resource-num&gt;10.1016/j.cej.2025.164881&lt;/electronic-resource-num&gt;&lt;/record&gt;&lt;/Cite&gt;&lt;/EndNote&gt;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[12]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end"/>
            </w:r>
          </w:p>
        </w:tc>
      </w:tr>
      <w:tr w14:paraId="7FD5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F68D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MIP-202/MXene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5C91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582.4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027D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instrText xml:space="preserve"> ADDIN EN.CITE &lt;EndNote&gt;&lt;Cite&gt;&lt;Author&gt;Zhang&lt;/Author&gt;&lt;Year&gt;2022&lt;/Year&gt;&lt;RecNum&gt;9&lt;/RecNum&gt;&lt;DisplayText&gt;&lt;style face="superscript"&gt;[13]&lt;/style&gt;&lt;/DisplayText&gt;&lt;record&gt;&lt;rec-number&gt;9&lt;/rec-number&gt;&lt;foreign-keys&gt;&lt;key app="EN" db-id="z2spfssrpxw2flee09rv5e9szfettw2xxxva" timestamp="1767609981"&gt;9&lt;/key&gt;&lt;/foreign-keys&gt;&lt;ref-type name="Journal Article"&gt;17&lt;/ref-type&gt;&lt;contributors&gt;&lt;authors&gt;&lt;author&gt;Zhang, Yingzi&lt;/author&gt;&lt;author&gt;Zhou, Jian&lt;/author&gt;&lt;author&gt;Wang, De&lt;/author&gt;&lt;author&gt;Cao, Ruya&lt;/author&gt;&lt;author&gt;Li, Jiaxing&lt;/author&gt;&lt;/authors&gt;&lt;/contributors&gt;&lt;titles&gt;&lt;title&gt;Performance of MXene incorporated MOF-derived carbon electrode on deionization of uranium (VI)&lt;/title&gt;&lt;secondary-title&gt;Chemical Engineering Journal&lt;/secondary-title&gt;&lt;/titles&gt;&lt;periodical&gt;&lt;full-title&gt;Chemical Engineering Journal&lt;/full-title&gt;&lt;/periodical&gt;&lt;pages&gt;132702&lt;/pages&gt;&lt;volume&gt;430&lt;/volume&gt;&lt;dates&gt;&lt;year&gt;2022&lt;/year&gt;&lt;/dates&gt;&lt;isbn&gt;1385-8947&lt;/isbn&gt;&lt;urls&gt;&lt;/urls&gt;&lt;electronic-resource-num&gt;10.1016/j.cej.2021.132702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[13]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end"/>
            </w:r>
          </w:p>
        </w:tc>
      </w:tr>
      <w:tr w14:paraId="64D9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FE37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CS-PBTCA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6F1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631.9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432B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instrText xml:space="preserve"> ADDIN EN.CITE &lt;EndNote&gt;&lt;Cite&gt;&lt;Author&gt;Yang&lt;/Author&gt;&lt;Year&gt;2025&lt;/Year&gt;&lt;RecNum&gt;16&lt;/RecNum&gt;&lt;DisplayText&gt;&lt;style face="superscript"&gt;[14]&lt;/style&gt;&lt;/DisplayText&gt;&lt;record&gt;&lt;rec-number&gt;16&lt;/rec-number&gt;&lt;foreign-keys&gt;&lt;key app="EN" db-id="z2spfssrpxw2flee09rv5e9szfettw2xxxva" timestamp="1767610084"&gt;16&lt;/key&gt;&lt;/foreign-keys&gt;&lt;ref-type name="Journal Article"&gt;17&lt;/ref-type&gt;&lt;contributors&gt;&lt;authors&gt;&lt;author&gt;Yang, Shengxing&lt;/author&gt;&lt;author&gt;Yan, Chunpei&lt;/author&gt;&lt;author&gt;Huang, Bin&lt;/author&gt;&lt;author&gt;Jin, Tianxiang&lt;/author&gt;&lt;author&gt;Guo, Dingge&lt;/author&gt;&lt;author&gt;Xiao, Minnan&lt;/author&gt;&lt;author&gt;Qian, Yong&lt;/author&gt;&lt;/authors&gt;&lt;/contributors&gt;&lt;titles&gt;&lt;title&gt;PBTCA-modified self-crosslinked chitosan gels for efficient electrosorption of uranium from wastewater&lt;/title&gt;&lt;secondary-title&gt;Desalination&lt;/secondary-title&gt;&lt;/titles&gt;&lt;periodical&gt;&lt;full-title&gt;Desalination&lt;/full-title&gt;&lt;/periodical&gt;&lt;pages&gt;118984&lt;/pages&gt;&lt;dates&gt;&lt;year&gt;2025&lt;/year&gt;&lt;/dates&gt;&lt;isbn&gt;0011-9164&lt;/isbn&gt;&lt;urls&gt;&lt;/urls&gt;&lt;electronic-resource-num&gt;10.1016/j.desal.2025.118984&lt;/electronic-resource-num&gt;&lt;/record&gt;&lt;/Cite&gt;&lt;/EndNote&gt;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[14]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ldChar w:fldCharType="end"/>
            </w:r>
          </w:p>
        </w:tc>
      </w:tr>
      <w:tr w14:paraId="4A7D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B3DE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FeOOH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2317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709.4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1643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&lt;EndNote&gt;&lt;Cite&gt;&lt;Author&gt;Jiao&lt;/Author&gt;&lt;Year&gt;2023&lt;/Year&gt;&lt;RecNum&gt;10&lt;/RecNum&gt;&lt;DisplayText&gt;&lt;style face="superscript"&gt;[15]&lt;/style&gt;&lt;/DisplayText&gt;&lt;record&gt;&lt;rec-number&gt;10&lt;/rec-number&gt;&lt;foreign-keys&gt;&lt;key app="EN" db-id="z2spfssrpxw2flee09rv5e9szfettw2xxxva" timestamp="1767609981"&gt;10&lt;/key&gt;&lt;/foreign-keys&gt;&lt;ref-type name="Journal Article"&gt;17&lt;/ref-type&gt;&lt;contributors&gt;&lt;authors&gt;&lt;author&gt;Jiao, Ranran&lt;/author&gt;&lt;author&gt;Chen, Zheng&lt;/author&gt;&lt;author&gt;Zeng, Suyuan&lt;/author&gt;&lt;author&gt;Wang, De&lt;/author&gt;&lt;author&gt;Li, Jiaxing&lt;/author&gt;&lt;/authors&gt;&lt;/contributors&gt;&lt;titles&gt;&lt;title&gt;Electrosorption of uranium (VI) by sulfonic acid‑decorated FeOOH nanorods&lt;/title&gt;&lt;secondary-title&gt;Journal of Environmental Chemical Engineering&lt;/secondary-title&gt;&lt;/titles&gt;&lt;periodical&gt;&lt;full-title&gt;Journal of Environmental Chemical Engineering&lt;/full-title&gt;&lt;/periodical&gt;&lt;pages&gt;111275&lt;/pages&gt;&lt;volume&gt;11&lt;/volume&gt;&lt;number&gt;6&lt;/number&gt;&lt;dates&gt;&lt;year&gt;2023&lt;/year&gt;&lt;/dates&gt;&lt;isbn&gt;2213-3437&lt;/isbn&gt;&lt;urls&gt;&lt;/urls&gt;&lt;electronic-resource-num&gt;10.1016/j.jece.2023.111275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[15]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2D15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B911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CS/PA-PPy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93E5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799.3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8C76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&lt;EndNote&gt;&lt;Cite&gt;&lt;Author&gt;Zhao&lt;/Author&gt;&lt;Year&gt;2024&lt;/Year&gt;&lt;RecNum&gt;11&lt;/RecNum&gt;&lt;DisplayText&gt;&lt;style face="superscript"&gt;[16]&lt;/style&gt;&lt;/DisplayText&gt;&lt;record&gt;&lt;rec-number&gt;11&lt;/rec-number&gt;&lt;foreign-keys&gt;&lt;key app="EN" db-id="z2spfssrpxw2flee09rv5e9szfettw2xxxva" timestamp="1767609981"&gt;11&lt;/key&gt;&lt;/foreign-keys&gt;&lt;ref-type name="Journal Article"&gt;17&lt;/ref-type&gt;&lt;contributors&gt;&lt;authors&gt;&lt;author&gt;Zhao, Xinyue&lt;/author&gt;&lt;author&gt;Chen, Dingyang&lt;/author&gt;&lt;author&gt;Shi, Minsi&lt;/author&gt;&lt;author&gt;Zhao, Rui&lt;/author&gt;&lt;/authors&gt;&lt;/contributors&gt;&lt;titles&gt;&lt;title&gt;Anchoring chitosan/phytic acid complexes on polypyrrole nanotubes as capacitive deionization electrodes for uranium capture from wastewater&lt;/title&gt;&lt;secondary-title&gt;International Journal of Biological Macromolecules&lt;/secondary-title&gt;&lt;/titles&gt;&lt;periodical&gt;&lt;full-title&gt;International Journal of Biological Macromolecules&lt;/full-title&gt;&lt;/periodical&gt;&lt;pages&gt;132491&lt;/pages&gt;&lt;volume&gt;270&lt;/volume&gt;&lt;dates&gt;&lt;year&gt;2024&lt;/year&gt;&lt;/dates&gt;&lt;isbn&gt;0141-8130&lt;/isbn&gt;&lt;urls&gt;&lt;/urls&gt;&lt;electronic-resource-num&gt;10.1016/j.ijbiomac.2024.132491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[16]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3A36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ECFE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Porous polymer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9B43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831.5</w:t>
            </w:r>
          </w:p>
        </w:tc>
        <w:tc>
          <w:tcPr>
            <w:tcW w:w="2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48FA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ADDIN EN.CITE &lt;EndNote&gt;&lt;Cite&gt;&lt;Author&gt;Tang&lt;/Author&gt;&lt;Year&gt;2023&lt;/Year&gt;&lt;RecNum&gt;12&lt;/RecNum&gt;&lt;DisplayText&gt;&lt;style face="superscript"&gt;[17]&lt;/style&gt;&lt;/DisplayText&gt;&lt;record&gt;&lt;rec-number&gt;12&lt;/rec-number&gt;&lt;foreign-keys&gt;&lt;key app="EN" db-id="z2spfssrpxw2flee09rv5e9szfettw2xxxva" timestamp="1767609981"&gt;12&lt;/key&gt;&lt;/foreign-keys&gt;&lt;ref-type name="Journal Article"&gt;17&lt;/ref-type&gt;&lt;contributors&gt;&lt;authors&gt;&lt;author&gt;Tang, Weiwu&lt;/author&gt;&lt;author&gt;Li, Dagang&lt;/author&gt;&lt;author&gt;Zhang, Xu&lt;/author&gt;&lt;author&gt;Guo, Fang&lt;/author&gt;&lt;author&gt;Cui, Chang&lt;/author&gt;&lt;author&gt;Pan, Meng&lt;/author&gt;&lt;author&gt;Zhang, Dongxiang&lt;/author&gt;&lt;author&gt;Li, Jinying&lt;/author&gt;&lt;author&gt;Xu, Xiyan&lt;/author&gt;&lt;/authors&gt;&lt;/contributors&gt;&lt;titles&gt;&lt;title&gt;A modified freezing-casted conductive hierarchical porous polymer composite electrode for electrochemical extraction of uranium from water&lt;/title&gt;&lt;secondary-title&gt;Separation and Purification Technology&lt;/secondary-title&gt;&lt;/titles&gt;&lt;periodical&gt;&lt;full-title&gt;Separation and Purification Technology&lt;/full-title&gt;&lt;/periodical&gt;&lt;pages&gt;124087&lt;/pages&gt;&lt;volume&gt;319&lt;/volume&gt;&lt;dates&gt;&lt;year&gt;2023&lt;/year&gt;&lt;/dates&gt;&lt;isbn&gt;1383-5866&lt;/isbn&gt;&lt;urls&gt;&lt;/urls&gt;&lt;electronic-resource-num&gt;10.1016/j.seppur.2023.124087&lt;/electronic-resource-num&gt;&lt;/record&gt;&lt;/Cite&gt;&lt;/EndNote&gt;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[17]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14:paraId="57D7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36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A91664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CS/PA-PANI</w:t>
            </w:r>
          </w:p>
        </w:tc>
        <w:tc>
          <w:tcPr>
            <w:tcW w:w="13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70DF11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942.3</w:t>
            </w:r>
          </w:p>
        </w:tc>
        <w:tc>
          <w:tcPr>
            <w:tcW w:w="23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1CE6A86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  <w14:ligatures w14:val="none"/>
              </w:rPr>
              <w:t>This work</w:t>
            </w:r>
          </w:p>
        </w:tc>
      </w:tr>
    </w:tbl>
    <w:p w14:paraId="400C3994">
      <w:pPr>
        <w:spacing w:line="480" w:lineRule="auto"/>
        <w:jc w:val="center"/>
        <w:rPr>
          <w:rFonts w:ascii="Times New Roman" w:hAnsi="Times New Roman" w:eastAsia="宋体" w:cs="Times New Roman"/>
          <w:kern w:val="0"/>
          <w:sz w:val="20"/>
          <w:szCs w:val="21"/>
          <w14:ligatures w14:val="none"/>
        </w:rPr>
      </w:pPr>
    </w:p>
    <w:p w14:paraId="3009AF92">
      <w:pPr>
        <w:spacing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Candara" w:hAnsi="Candara"/>
          <w:b/>
          <w:bCs/>
          <w:sz w:val="28"/>
          <w:szCs w:val="28"/>
        </w:rPr>
        <w:t xml:space="preserve">Supplementary </w:t>
      </w:r>
      <w:r>
        <w:rPr>
          <w:rFonts w:hint="eastAsia" w:ascii="Candara" w:hAnsi="Candara"/>
          <w:b/>
          <w:bCs/>
          <w:sz w:val="28"/>
          <w:szCs w:val="28"/>
        </w:rPr>
        <w:t>Figures</w:t>
      </w:r>
    </w:p>
    <w:p w14:paraId="7EA12E7B">
      <w:pPr>
        <w:rPr>
          <w:rFonts w:hint="eastAsia"/>
        </w:rPr>
      </w:pPr>
      <w:r>
        <w:drawing>
          <wp:inline distT="0" distB="0" distL="114300" distR="114300">
            <wp:extent cx="5268595" cy="244348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1189A">
      <w:pPr>
        <w:widowControl/>
        <w:jc w:val="left"/>
        <w:rPr>
          <w:rFonts w:hint="eastAsia"/>
        </w:rPr>
      </w:pPr>
      <w:r>
        <w:rPr>
          <w:rFonts w:hint="eastAsia" w:ascii="Candara" w:hAnsi="Candara" w:cs="Times New Roman"/>
          <w:b/>
          <w:bCs/>
          <w:sz w:val="24"/>
        </w:rPr>
        <w:t>Figure S1.</w:t>
      </w:r>
      <w:r>
        <w:rPr>
          <w:rFonts w:ascii="Candara" w:hAnsi="Candara" w:cs="Times New Roman"/>
          <w:b/>
          <w:bCs/>
          <w:sz w:val="24"/>
        </w:rPr>
        <w:t xml:space="preserve"> </w:t>
      </w:r>
      <w:r>
        <w:rPr>
          <w:rFonts w:ascii="Noto Sans" w:hAnsi="Noto Sans" w:eastAsia="Noto Sans" w:cs="Noto Sans"/>
          <w:kern w:val="0"/>
          <w:szCs w:val="21"/>
          <w:shd w:val="clear" w:color="auto" w:fill="FFFFFF"/>
          <w:lang w:bidi="ar"/>
        </w:rPr>
        <w:t xml:space="preserve">EDS mapping spectra of </w:t>
      </w:r>
      <w:r>
        <w:rPr>
          <w:rFonts w:hint="eastAsia" w:ascii="Noto Sans" w:hAnsi="Noto Sans" w:eastAsia="Noto Sans" w:cs="Noto Sans"/>
          <w:kern w:val="0"/>
          <w:szCs w:val="21"/>
          <w:shd w:val="clear" w:color="auto" w:fill="FFFFFF"/>
          <w:lang w:bidi="ar"/>
        </w:rPr>
        <w:t>CS/PA-PANI</w:t>
      </w:r>
      <w:r>
        <w:rPr>
          <w:rFonts w:ascii="Noto Sans" w:hAnsi="Noto Sans" w:eastAsia="Noto Sans" w:cs="Noto Sans"/>
          <w:kern w:val="0"/>
          <w:szCs w:val="21"/>
          <w:shd w:val="clear" w:color="auto" w:fill="FFFFFF"/>
          <w:lang w:bidi="ar"/>
        </w:rPr>
        <w:t>.</w:t>
      </w:r>
    </w:p>
    <w:p w14:paraId="5B997F6B">
      <w:pPr>
        <w:jc w:val="center"/>
        <w:rPr>
          <w:rFonts w:hint="eastAsia"/>
        </w:rPr>
      </w:pPr>
      <w:r>
        <w:drawing>
          <wp:inline distT="0" distB="0" distL="114300" distR="114300">
            <wp:extent cx="2618105" cy="200279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0C369">
      <w:pPr>
        <w:pStyle w:val="4"/>
        <w:keepNext w:val="0"/>
        <w:keepLines w:val="0"/>
        <w:widowControl/>
        <w:suppressLineNumbers w:val="0"/>
      </w:pPr>
      <w:r>
        <w:rPr>
          <w:rFonts w:hint="eastAsia" w:ascii="Candara" w:hAnsi="Candara" w:cs="Times New Roman"/>
          <w:b/>
          <w:bCs/>
          <w:sz w:val="24"/>
        </w:rPr>
        <w:t>Figure S</w:t>
      </w:r>
      <w:r>
        <w:rPr>
          <w:rFonts w:hint="default" w:ascii="Candara" w:hAnsi="Candara" w:cs="Times New Roman"/>
          <w:b/>
          <w:bCs/>
          <w:sz w:val="24"/>
        </w:rPr>
        <w:t>2</w:t>
      </w:r>
      <w:r>
        <w:rPr>
          <w:rFonts w:hint="eastAsia" w:ascii="Candara" w:hAnsi="Candara" w:cs="Times New Roman"/>
          <w:b/>
          <w:bCs/>
          <w:sz w:val="24"/>
        </w:rPr>
        <w:t>.</w:t>
      </w:r>
      <w:r>
        <w:rPr>
          <w:rFonts w:hint="default" w:ascii="Candara" w:hAnsi="Candara" w:cs="Times New Roman"/>
          <w:b/>
          <w:bCs/>
          <w:sz w:val="24"/>
        </w:rPr>
        <w:t xml:space="preserve"> </w:t>
      </w:r>
      <w:r>
        <w:rPr>
          <w:rFonts w:ascii="Noto Sans" w:hAnsi="Noto Sans" w:eastAsia="Noto Sans" w:cs="Noto Sans"/>
          <w:kern w:val="0"/>
          <w:sz w:val="21"/>
          <w:szCs w:val="21"/>
          <w:shd w:val="clear" w:color="auto" w:fill="FFFFFF"/>
          <w:lang w:val="en-US" w:eastAsia="zh-CN" w:bidi="ar"/>
          <w14:ligatures w14:val="standardContextual"/>
        </w:rPr>
        <w:t>Relationship between phytic acid incorporation level and phosphorus content.</w:t>
      </w:r>
    </w:p>
    <w:p w14:paraId="5E1C64AF">
      <w:r>
        <w:drawing>
          <wp:inline distT="0" distB="0" distL="114300" distR="114300">
            <wp:extent cx="5090795" cy="1903730"/>
            <wp:effectExtent l="0" t="0" r="317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79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98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Book Antiqua" w:hAnsi="Book Antiqua"/>
          <w:b w:val="0"/>
          <w:bCs w:val="0"/>
          <w:color w:val="4472C4" w:themeColor="accent1"/>
          <w:sz w:val="24"/>
          <w:szCs w:val="24"/>
          <w:highlight w:val="none"/>
          <w:lang w:eastAsia="zh-CN"/>
          <w14:textFill>
            <w14:solidFill>
              <w14:schemeClr w14:val="accent1"/>
            </w14:solidFill>
          </w14:textFill>
          <w14:ligatures w14:val="standardContextual"/>
        </w:rPr>
      </w:pPr>
      <w:r>
        <w:rPr>
          <w:rFonts w:hint="eastAsia" w:ascii="Candara" w:hAnsi="Candara" w:cs="Times New Roman" w:eastAsiaTheme="minorEastAsia"/>
          <w:b/>
          <w:bCs/>
          <w:kern w:val="2"/>
          <w:sz w:val="24"/>
          <w:szCs w:val="22"/>
          <w:lang w:val="en-US" w:eastAsia="zh-CN" w:bidi="ar-SA"/>
          <w14:ligatures w14:val="standardContextual"/>
        </w:rPr>
        <w:t>Fig</w:t>
      </w:r>
      <w:r>
        <w:rPr>
          <w:rFonts w:hint="default" w:ascii="Candara" w:hAnsi="Candara" w:cs="Times New Roman" w:eastAsiaTheme="minorEastAsia"/>
          <w:b/>
          <w:bCs/>
          <w:kern w:val="2"/>
          <w:sz w:val="24"/>
          <w:szCs w:val="22"/>
          <w:lang w:val="en-US" w:eastAsia="zh-CN" w:bidi="ar-SA"/>
          <w14:ligatures w14:val="standardContextual"/>
        </w:rPr>
        <w:t>.</w:t>
      </w:r>
      <w:r>
        <w:rPr>
          <w:rFonts w:hint="eastAsia" w:ascii="Candara" w:hAnsi="Candara" w:cs="Times New Roman" w:eastAsiaTheme="minorEastAsia"/>
          <w:b/>
          <w:bCs/>
          <w:kern w:val="2"/>
          <w:sz w:val="24"/>
          <w:szCs w:val="22"/>
          <w:lang w:val="en-US" w:eastAsia="zh-CN" w:bidi="ar-SA"/>
          <w14:ligatures w14:val="standardContextual"/>
        </w:rPr>
        <w:t xml:space="preserve"> </w:t>
      </w:r>
      <w:r>
        <w:rPr>
          <w:rFonts w:hint="default" w:ascii="Candara" w:hAnsi="Candara" w:cs="Times New Roman" w:eastAsiaTheme="minorEastAsia"/>
          <w:b/>
          <w:bCs/>
          <w:kern w:val="2"/>
          <w:sz w:val="24"/>
          <w:szCs w:val="22"/>
          <w:lang w:val="en-US" w:eastAsia="zh-CN" w:bidi="ar-SA"/>
          <w14:ligatures w14:val="standardContextual"/>
        </w:rPr>
        <w:t>S3.</w:t>
      </w:r>
      <w:r>
        <w:rPr>
          <w:rFonts w:hint="default" w:ascii="Book Antiqua" w:hAnsi="Book Antiqua"/>
          <w:b w:val="0"/>
          <w:bCs w:val="0"/>
          <w:color w:val="4472C4" w:themeColor="accent1"/>
          <w:sz w:val="24"/>
          <w:szCs w:val="24"/>
          <w:highlight w:val="none"/>
          <w:lang w:eastAsia="zh-CN"/>
          <w14:textFill>
            <w14:solidFill>
              <w14:schemeClr w14:val="accent1"/>
            </w14:solidFill>
          </w14:textFill>
          <w14:ligatures w14:val="standardContextual"/>
        </w:rPr>
        <w:t xml:space="preserve"> </w:t>
      </w:r>
      <w:r>
        <w:rPr>
          <w:rFonts w:hint="default" w:ascii="Noto Sans" w:hAnsi="Noto Sans" w:eastAsia="Noto Sans" w:cs="Noto Sans"/>
          <w:kern w:val="0"/>
          <w:sz w:val="21"/>
          <w:szCs w:val="21"/>
          <w:shd w:val="clear" w:color="auto" w:fill="FFFFFF"/>
          <w:lang w:val="en-US" w:eastAsia="zh-CN" w:bidi="ar"/>
          <w14:ligatures w14:val="standardContextual"/>
        </w:rPr>
        <w:t xml:space="preserve">High-resolution O 1s and N 1s spectra of CS/PA-PANI before and after uranium capture. </w:t>
      </w:r>
    </w:p>
    <w:p w14:paraId="6A0722B6">
      <w:pPr>
        <w:rPr>
          <w:rFonts w:hint="eastAsia"/>
        </w:rPr>
      </w:pPr>
      <w:bookmarkStart w:id="9" w:name="_GoBack"/>
      <w:bookmarkEnd w:id="9"/>
    </w:p>
    <w:p w14:paraId="2ABA23E8">
      <w:pPr>
        <w:rPr>
          <w:rFonts w:hint="eastAsia"/>
        </w:rPr>
      </w:pPr>
    </w:p>
    <w:p w14:paraId="6CDEEDD9">
      <w:pPr>
        <w:pStyle w:val="15"/>
        <w:ind w:left="720" w:hanging="72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ADDIN EN.REFLIST </w:instrText>
      </w:r>
      <w:r>
        <w:rPr>
          <w:rFonts w:hint="eastAsia"/>
        </w:rPr>
        <w:fldChar w:fldCharType="separate"/>
      </w:r>
      <w:r>
        <w:rPr>
          <w:rFonts w:hint="eastAsia"/>
        </w:rPr>
        <w:t>[1]</w:t>
      </w:r>
      <w:r>
        <w:rPr>
          <w:rFonts w:hint="eastAsia"/>
        </w:rPr>
        <w:tab/>
      </w:r>
      <w:r>
        <w:rPr>
          <w:rFonts w:hint="eastAsia"/>
        </w:rPr>
        <w:t xml:space="preserve">Jin M, Huang X, Wang Z, Chan V, Hu J, et al. 2023. Mn, N co-doped carbon nanospheres for efficient capture of uranium (VI) via capacitive deionization. </w:t>
      </w:r>
      <w:r>
        <w:rPr>
          <w:rFonts w:hint="eastAsia"/>
          <w:i/>
        </w:rPr>
        <w:t>Chemosphere</w:t>
      </w:r>
      <w:r>
        <w:rPr>
          <w:rFonts w:hint="eastAsia"/>
        </w:rPr>
        <w:t xml:space="preserve"> 342:140190 doi:10.1016/j.chemosphere.2023.140190</w:t>
      </w:r>
    </w:p>
    <w:p w14:paraId="55D9F163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[2]</w:t>
      </w:r>
      <w:r>
        <w:rPr>
          <w:rFonts w:hint="eastAsia"/>
        </w:rPr>
        <w:tab/>
      </w:r>
      <w:r>
        <w:rPr>
          <w:rFonts w:hint="eastAsia"/>
        </w:rPr>
        <w:t xml:space="preserve">Tang X, Zhou L, Xi J, Ouyang J, Liu Z, et al. 2021. Porous chitosan/biocarbon composite membrane as the electrode material for the electrosorption of uranium from aqueous solution.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274:119005 doi:10.1016/j.seppur.2021.119005</w:t>
      </w:r>
    </w:p>
    <w:p w14:paraId="4A54483B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[3]</w:t>
      </w:r>
      <w:r>
        <w:rPr>
          <w:rFonts w:hint="eastAsia"/>
        </w:rPr>
        <w:tab/>
      </w:r>
      <w:r>
        <w:rPr>
          <w:rFonts w:hint="eastAsia"/>
        </w:rPr>
        <w:t xml:space="preserve">Shuang M, Zhou L, Liu Y, Yu H, Ao X, et al. 2023. Electrodeposition nanofabrication of graphene oxide/polypyrrole electrodes with high hybrid specific capacitance for enhancing U (VI) electrosorption. </w:t>
      </w:r>
      <w:r>
        <w:rPr>
          <w:rFonts w:hint="eastAsia"/>
          <w:i/>
        </w:rPr>
        <w:t>Journal of Environmental Chemical Engineering</w:t>
      </w:r>
      <w:r>
        <w:rPr>
          <w:rFonts w:hint="eastAsia"/>
        </w:rPr>
        <w:t xml:space="preserve"> 11:111498 doi:10.1016/j.jece.2023.111498</w:t>
      </w:r>
    </w:p>
    <w:p w14:paraId="60797A57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[4]</w:t>
      </w:r>
      <w:r>
        <w:rPr>
          <w:rFonts w:hint="eastAsia"/>
        </w:rPr>
        <w:tab/>
      </w:r>
      <w:r>
        <w:rPr>
          <w:rFonts w:hint="eastAsia"/>
        </w:rPr>
        <w:t xml:space="preserve">Ren Q, Xia H, Wang Y, Lv J, Yuan D, et al. 2024. Novel malonamide-amidoxime bifunctional polymers decorated graphene oxide/chitosan electrode for enhancing electrosorptive removal of uranium (VI).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330:125292 doi:10.1016/j.seppur.2023.125292</w:t>
      </w:r>
    </w:p>
    <w:p w14:paraId="0EB077BF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[5]</w:t>
      </w:r>
      <w:r>
        <w:rPr>
          <w:rFonts w:hint="eastAsia"/>
        </w:rPr>
        <w:tab/>
      </w:r>
      <w:r>
        <w:rPr>
          <w:rFonts w:hint="eastAsia"/>
        </w:rPr>
        <w:t xml:space="preserve">Yu H, Zhou L, Liu Y, Ao X, Ouyang J, et al. 2023. Biocarbon/polyaniline nanofiber electrodes with high hybrid capacitance and hierarchical porous structure for U (VI) electrosorption. </w:t>
      </w:r>
      <w:r>
        <w:rPr>
          <w:rFonts w:hint="eastAsia"/>
          <w:i/>
        </w:rPr>
        <w:t>Desalination</w:t>
      </w:r>
      <w:r>
        <w:rPr>
          <w:rFonts w:hint="eastAsia"/>
        </w:rPr>
        <w:t xml:space="preserve"> 564:116773 doi:10.1016/j.desal.2023.116773</w:t>
      </w:r>
    </w:p>
    <w:p w14:paraId="672ECF11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[6]</w:t>
      </w:r>
      <w:r>
        <w:rPr>
          <w:rFonts w:hint="eastAsia"/>
        </w:rPr>
        <w:tab/>
      </w:r>
      <w:r>
        <w:rPr>
          <w:rFonts w:hint="eastAsia"/>
        </w:rPr>
        <w:t xml:space="preserve">Guo D, Yan C, Huang B, Jin T, Liu Z, Qian Y. 2025. Combining electrosorption and electrochemical reduction mechanisms for uranium removal using 1, 2, 3, 4-butane tetracarboxylic acid-modified MIL-101: an in-depth exploration of uranyl–adsorbent interactions. </w:t>
      </w:r>
      <w:r>
        <w:rPr>
          <w:rFonts w:hint="eastAsia"/>
          <w:i/>
        </w:rPr>
        <w:t>Inorganic Chemistry</w:t>
      </w:r>
      <w:r>
        <w:rPr>
          <w:rFonts w:hint="eastAsia"/>
        </w:rPr>
        <w:t xml:space="preserve"> 64:1777-87 doi:10.1021/acs.inorgchem.4c04304</w:t>
      </w:r>
    </w:p>
    <w:p w14:paraId="605D1955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[7]</w:t>
      </w:r>
      <w:r>
        <w:rPr>
          <w:rFonts w:hint="eastAsia"/>
        </w:rPr>
        <w:tab/>
      </w:r>
      <w:r>
        <w:rPr>
          <w:rFonts w:hint="eastAsia"/>
        </w:rPr>
        <w:t xml:space="preserve">Liu Y, Zhou L, Ouyang J, Ao X, Shuang M, Adesina AA. 2024. Electrodeposition nanofabrication of carboxylated carbon nanotubes/α-MnO2 nanorods/polypyrrole composites as high hybrid capacitance electrodes for efficient U (VI) electrosorption.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334:125989 doi:10.1016/j.seppur.2023.125989</w:t>
      </w:r>
    </w:p>
    <w:p w14:paraId="22E998F2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[8]</w:t>
      </w:r>
      <w:r>
        <w:rPr>
          <w:rFonts w:hint="eastAsia"/>
        </w:rPr>
        <w:tab/>
      </w:r>
      <w:r>
        <w:rPr>
          <w:rFonts w:hint="eastAsia"/>
        </w:rPr>
        <w:t xml:space="preserve">Hu Q, Wang D, Liang J, Liu Z, Li J. 2024. Porous carbonized N-doped MOF-199 modified with MWCNTs for the deionization of uranium (VI).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330:125494 doi:10.1016/j.seppur.2023.125494</w:t>
      </w:r>
    </w:p>
    <w:p w14:paraId="5A9243D3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[9]</w:t>
      </w:r>
      <w:r>
        <w:rPr>
          <w:rFonts w:hint="eastAsia"/>
        </w:rPr>
        <w:tab/>
      </w:r>
      <w:r>
        <w:rPr>
          <w:rFonts w:hint="eastAsia"/>
        </w:rPr>
        <w:t xml:space="preserve">Huang J, Huang B, Jin T, Liu Z, Huang D, Qian Y. 2022. Electrosorption of uranium (VI) from aqueous solution by phytic acid modified chitosan: An experimental and DFT study.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284:120284 doi:10.1016/j.seppur.2021.120284</w:t>
      </w:r>
    </w:p>
    <w:p w14:paraId="10813A66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[10]</w:t>
      </w:r>
      <w:r>
        <w:rPr>
          <w:rFonts w:hint="eastAsia"/>
        </w:rPr>
        <w:tab/>
      </w:r>
      <w:r>
        <w:rPr>
          <w:rFonts w:hint="eastAsia"/>
        </w:rPr>
        <w:t xml:space="preserve">Yang S, Luan Z, Li W, Cheng X, Ye Z, Hu B. 2024. Two-dimensional sp2 carbon-conjugated COFs electrode for efficient electro-adsorption of uranium.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330:125378 doi:10.1016/j.seppur.2023.125378</w:t>
      </w:r>
    </w:p>
    <w:p w14:paraId="3C659C80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[11]</w:t>
      </w:r>
      <w:r>
        <w:rPr>
          <w:rFonts w:hint="eastAsia"/>
        </w:rPr>
        <w:tab/>
      </w:r>
      <w:r>
        <w:rPr>
          <w:rFonts w:hint="eastAsia"/>
        </w:rPr>
        <w:t xml:space="preserve">Liao Y, Wang M, Chen D. 2019. Electrosorption of uranium (VI) by highly porous phosphate-functionalized graphene hydrogel. </w:t>
      </w:r>
      <w:r>
        <w:rPr>
          <w:rFonts w:hint="eastAsia"/>
          <w:i/>
        </w:rPr>
        <w:t>Applied Surface Science</w:t>
      </w:r>
      <w:r>
        <w:rPr>
          <w:rFonts w:hint="eastAsia"/>
        </w:rPr>
        <w:t xml:space="preserve"> 484:83-96 doi:10.1016/j.apsusc.2019.04.103</w:t>
      </w:r>
    </w:p>
    <w:p w14:paraId="13847D59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[12]</w:t>
      </w:r>
      <w:r>
        <w:rPr>
          <w:rFonts w:hint="eastAsia"/>
        </w:rPr>
        <w:tab/>
      </w:r>
      <w:r>
        <w:rPr>
          <w:rFonts w:hint="eastAsia"/>
        </w:rPr>
        <w:t xml:space="preserve">Li Q, Zhou J, Xu Y, Jin Z, Zhou H. 2025. Interface-driven electronic modulation enhances US coordination in carbon-confined Co-Mo sulfide heterojunctions for electrochemical uranium extraction. </w:t>
      </w:r>
      <w:r>
        <w:rPr>
          <w:rFonts w:hint="eastAsia"/>
          <w:i/>
        </w:rPr>
        <w:t>Chemical Engineering Journal</w:t>
      </w:r>
      <w:r>
        <w:rPr>
          <w:rFonts w:hint="eastAsia"/>
        </w:rPr>
        <w:t>:164881 doi:10.1016/j.cej.2025.164881</w:t>
      </w:r>
    </w:p>
    <w:p w14:paraId="29195137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[13]</w:t>
      </w:r>
      <w:r>
        <w:rPr>
          <w:rFonts w:hint="eastAsia"/>
        </w:rPr>
        <w:tab/>
      </w:r>
      <w:r>
        <w:rPr>
          <w:rFonts w:hint="eastAsia"/>
        </w:rPr>
        <w:t xml:space="preserve">Zhang Y, Zhou J, Wang D, Cao R, Li J. 2022. Performance of MXene incorporated MOF-derived carbon electrode on deionization of uranium (VI). </w:t>
      </w:r>
      <w:r>
        <w:rPr>
          <w:rFonts w:hint="eastAsia"/>
          <w:i/>
        </w:rPr>
        <w:t>Chemical Engineering Journal</w:t>
      </w:r>
      <w:r>
        <w:rPr>
          <w:rFonts w:hint="eastAsia"/>
        </w:rPr>
        <w:t xml:space="preserve"> 430:132702 doi:10.1016/j.cej.2021.132702</w:t>
      </w:r>
    </w:p>
    <w:p w14:paraId="73B74E75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[14]</w:t>
      </w:r>
      <w:r>
        <w:rPr>
          <w:rFonts w:hint="eastAsia"/>
        </w:rPr>
        <w:tab/>
      </w:r>
      <w:r>
        <w:rPr>
          <w:rFonts w:hint="eastAsia"/>
        </w:rPr>
        <w:t xml:space="preserve">Yang S, Yan C, Huang B, Jin T, Guo D, et al. 2025. PBTCA-modified self-crosslinked chitosan gels for efficient electrosorption of uranium from wastewater. </w:t>
      </w:r>
      <w:r>
        <w:rPr>
          <w:rFonts w:hint="eastAsia"/>
          <w:i/>
        </w:rPr>
        <w:t>Desalination</w:t>
      </w:r>
      <w:r>
        <w:rPr>
          <w:rFonts w:hint="eastAsia"/>
        </w:rPr>
        <w:t>:118984 doi:10.1016/j.desal.2025.118984</w:t>
      </w:r>
    </w:p>
    <w:p w14:paraId="48B88083">
      <w:pPr>
        <w:pStyle w:val="15"/>
        <w:ind w:left="720" w:hanging="720"/>
      </w:pPr>
      <w:r>
        <w:rPr>
          <w:rFonts w:hint="eastAsia"/>
        </w:rPr>
        <w:t>[15]</w:t>
      </w:r>
      <w:r>
        <w:tab/>
      </w:r>
      <w:r>
        <w:t>Jiao R, Chen Z, Zeng S, Wang D, Li J. 2023. Electrosorption of uranium (VI) by sulfonic acid</w:t>
      </w:r>
      <w:r>
        <w:rPr>
          <w:rFonts w:ascii="Cambria Math" w:hAnsi="Cambria Math" w:cs="Cambria Math"/>
        </w:rPr>
        <w:t>‑</w:t>
      </w:r>
      <w:r>
        <w:t xml:space="preserve">decorated FeOOH nanorods. </w:t>
      </w:r>
      <w:r>
        <w:rPr>
          <w:i/>
        </w:rPr>
        <w:t>Journal of Environmental Chemical Engineering</w:t>
      </w:r>
      <w:r>
        <w:t xml:space="preserve"> 11:111275 doi:10.1016/j.jece.2023.111275</w:t>
      </w:r>
    </w:p>
    <w:p w14:paraId="17944136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[16]</w:t>
      </w:r>
      <w:r>
        <w:rPr>
          <w:rFonts w:hint="eastAsia"/>
        </w:rPr>
        <w:tab/>
      </w:r>
      <w:r>
        <w:rPr>
          <w:rFonts w:hint="eastAsia"/>
        </w:rPr>
        <w:t xml:space="preserve">Zhao X, Chen D, Shi M, Zhao R. 2024. Anchoring chitosan/phytic acid complexes on polypyrrole nanotubes as capacitive deionization electrodes for uranium capture from wastewater. </w:t>
      </w:r>
      <w:r>
        <w:rPr>
          <w:rFonts w:hint="eastAsia"/>
          <w:i/>
        </w:rPr>
        <w:t>International Journal of Biological Macromolecules</w:t>
      </w:r>
      <w:r>
        <w:rPr>
          <w:rFonts w:hint="eastAsia"/>
        </w:rPr>
        <w:t xml:space="preserve"> 270:132491 doi:10.1016/j.ijbiomac.2024.132491</w:t>
      </w:r>
    </w:p>
    <w:p w14:paraId="791A1382">
      <w:pPr>
        <w:pStyle w:val="15"/>
        <w:ind w:left="720" w:hanging="720"/>
        <w:rPr>
          <w:rFonts w:hint="eastAsia"/>
        </w:rPr>
      </w:pPr>
      <w:r>
        <w:rPr>
          <w:rFonts w:hint="eastAsia"/>
        </w:rPr>
        <w:t>[17]</w:t>
      </w:r>
      <w:r>
        <w:rPr>
          <w:rFonts w:hint="eastAsia"/>
        </w:rPr>
        <w:tab/>
      </w:r>
      <w:r>
        <w:rPr>
          <w:rFonts w:hint="eastAsia"/>
        </w:rPr>
        <w:t xml:space="preserve">Tang W, Li D, Zhang X, Guo F, Cui C, et al. 2023. A modified freezing-casted conductive hierarchical porous polymer composite electrode for electrochemical extraction of uranium from water. </w:t>
      </w:r>
      <w:r>
        <w:rPr>
          <w:rFonts w:hint="eastAsia"/>
          <w:i/>
        </w:rPr>
        <w:t>Separation and Purification Technology</w:t>
      </w:r>
      <w:r>
        <w:rPr>
          <w:rFonts w:hint="eastAsia"/>
        </w:rPr>
        <w:t xml:space="preserve"> 319:124087 doi:10.1016/j.seppur.2023.124087</w:t>
      </w:r>
    </w:p>
    <w:p w14:paraId="2C9688B1">
      <w:pPr>
        <w:rPr>
          <w:rFonts w:hint="eastAsia"/>
        </w:rPr>
      </w:pP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2000500000000000000"/>
    <w:charset w:val="86"/>
    <w:family w:val="auto"/>
    <w:pitch w:val="default"/>
    <w:sig w:usb0="A10102FF" w:usb1="38CF7CFB" w:usb2="00010016" w:usb3="00000000" w:csb0="00040001" w:csb1="00000000"/>
  </w:font>
  <w:font w:name="楷体">
    <w:altName w:val="楷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Candara">
    <w:altName w:val="FT AeroSans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FT AeroSans">
    <w:panose1 w:val="020B0504030202020204"/>
    <w:charset w:val="00"/>
    <w:family w:val="auto"/>
    <w:pitch w:val="default"/>
    <w:sig w:usb0="0000028F" w:usb1="00000000" w:usb2="00000000" w:usb3="00000000" w:csb0="0000011F" w:csb1="07030000"/>
  </w:font>
  <w:font w:name="DejaVu Math TeX Gyre">
    <w:panose1 w:val="02000503000000000000"/>
    <w:charset w:val="00"/>
    <w:family w:val="auto"/>
    <w:pitch w:val="default"/>
    <w:sig w:usb0="A10000EF" w:usb1="4A00F9EE" w:usb2="02000008" w:usb3="00000000" w:csb0="60000193" w:csb1="0DD40000"/>
  </w:font>
  <w:font w:name="微软雅黑">
    <w:altName w:val="方正雅意黑 GB18030L2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Book Antiqua">
    <w:altName w:val="FT KliphSerif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FT KliphSerif">
    <w:panose1 w:val="02040503050406030204"/>
    <w:charset w:val="00"/>
    <w:family w:val="auto"/>
    <w:pitch w:val="default"/>
    <w:sig w:usb0="80000003" w:usb1="40000000" w:usb2="00000000" w:usb3="00000000" w:csb0="00000001" w:csb1="00000000"/>
  </w:font>
  <w:font w:name="sans-serif">
    <w:altName w:val="鸿蒙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">
    <w:panose1 w:val="020B0502040504020204"/>
    <w:charset w:val="00"/>
    <w:family w:val="swiss"/>
    <w:pitch w:val="default"/>
    <w:sig w:usb0="E00002FF" w:usb1="4000201F" w:usb2="08000029" w:usb3="00100000" w:csb0="0000019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ustainable Carbon Material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spfssrpxw2flee09rv5e9szfettw2xxxva&quot;&gt;1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172A27"/>
    <w:rsid w:val="000F1C18"/>
    <w:rsid w:val="00151729"/>
    <w:rsid w:val="00172A27"/>
    <w:rsid w:val="001C001F"/>
    <w:rsid w:val="00211FDC"/>
    <w:rsid w:val="002D7149"/>
    <w:rsid w:val="002F555B"/>
    <w:rsid w:val="0042095E"/>
    <w:rsid w:val="00465C35"/>
    <w:rsid w:val="005613CA"/>
    <w:rsid w:val="005F3F5E"/>
    <w:rsid w:val="00650B68"/>
    <w:rsid w:val="006927DE"/>
    <w:rsid w:val="006E52B6"/>
    <w:rsid w:val="007D77B9"/>
    <w:rsid w:val="0084185C"/>
    <w:rsid w:val="00883FFB"/>
    <w:rsid w:val="008D70F4"/>
    <w:rsid w:val="0094369E"/>
    <w:rsid w:val="00A37118"/>
    <w:rsid w:val="00A534BD"/>
    <w:rsid w:val="00B673F2"/>
    <w:rsid w:val="00BC0E18"/>
    <w:rsid w:val="00C72A7D"/>
    <w:rsid w:val="00CE5EFF"/>
    <w:rsid w:val="00D0442F"/>
    <w:rsid w:val="00D97979"/>
    <w:rsid w:val="00DE14B4"/>
    <w:rsid w:val="00ED0E7A"/>
    <w:rsid w:val="00ED7A76"/>
    <w:rsid w:val="00FB2E65"/>
    <w:rsid w:val="13CB287A"/>
    <w:rsid w:val="3BEAD7CB"/>
    <w:rsid w:val="3FAFE7A4"/>
    <w:rsid w:val="3FFF59AF"/>
    <w:rsid w:val="3FFF7FC9"/>
    <w:rsid w:val="7AF5788C"/>
    <w:rsid w:val="7E3FDDB5"/>
    <w:rsid w:val="7FBD574A"/>
    <w:rsid w:val="9FFBDAF4"/>
    <w:rsid w:val="BB57D4CB"/>
    <w:rsid w:val="BBD7C129"/>
    <w:rsid w:val="BFDC4D9C"/>
    <w:rsid w:val="EBBD0B54"/>
    <w:rsid w:val="F6AFC9BB"/>
    <w:rsid w:val="F75B42B3"/>
    <w:rsid w:val="FB7FF564"/>
    <w:rsid w:val="FE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link w:val="12"/>
    <w:qFormat/>
    <w:uiPriority w:val="34"/>
    <w:pPr>
      <w:ind w:firstLine="420" w:firstLineChars="200"/>
    </w:pPr>
    <w:rPr>
      <w14:ligatures w14:val="none"/>
    </w:rPr>
  </w:style>
  <w:style w:type="character" w:customStyle="1" w:styleId="12">
    <w:name w:val="列表段落 字符"/>
    <w:basedOn w:val="7"/>
    <w:link w:val="11"/>
    <w:qFormat/>
    <w:uiPriority w:val="34"/>
    <w:rPr>
      <w14:ligatures w14:val="none"/>
    </w:rPr>
  </w:style>
  <w:style w:type="paragraph" w:customStyle="1" w:styleId="13">
    <w:name w:val="EndNote Bibliography Title"/>
    <w:basedOn w:val="1"/>
    <w:link w:val="14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4">
    <w:name w:val="EndNote Bibliography Title 字符"/>
    <w:basedOn w:val="7"/>
    <w:link w:val="13"/>
    <w:qFormat/>
    <w:uiPriority w:val="0"/>
    <w:rPr>
      <w:rFonts w:ascii="等线" w:hAnsi="等线" w:eastAsia="等线" w:cstheme="minorBidi"/>
      <w:kern w:val="2"/>
      <w:szCs w:val="22"/>
      <w14:ligatures w14:val="standardContextual"/>
    </w:rPr>
  </w:style>
  <w:style w:type="paragraph" w:customStyle="1" w:styleId="15">
    <w:name w:val="EndNote Bibliography"/>
    <w:basedOn w:val="1"/>
    <w:link w:val="16"/>
    <w:qFormat/>
    <w:uiPriority w:val="0"/>
    <w:rPr>
      <w:rFonts w:ascii="等线" w:hAnsi="等线" w:eastAsia="等线"/>
      <w:sz w:val="20"/>
    </w:rPr>
  </w:style>
  <w:style w:type="character" w:customStyle="1" w:styleId="16">
    <w:name w:val="EndNote Bibliography 字符"/>
    <w:basedOn w:val="7"/>
    <w:link w:val="15"/>
    <w:qFormat/>
    <w:uiPriority w:val="0"/>
    <w:rPr>
      <w:rFonts w:ascii="等线" w:hAnsi="等线" w:eastAsia="等线" w:cstheme="minorBidi"/>
      <w:kern w:val="2"/>
      <w:szCs w:val="22"/>
      <w14:ligatures w14:val="standardContextual"/>
    </w:r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4189</Words>
  <Characters>23879</Characters>
  <Lines>1</Lines>
  <Paragraphs>1</Paragraphs>
  <TotalTime>0</TotalTime>
  <ScaleCrop>false</ScaleCrop>
  <LinksUpToDate>false</LinksUpToDate>
  <CharactersWithSpaces>28012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2025-09-30T22:45:00Z</dcterms:created>
  <dc:creator>晨潇 洪</dc:creator>
  <cp:lastModifiedBy>red晨</cp:lastModifiedBy>
  <dcterms:modified xsi:type="dcterms:W3CDTF">2026-01-14T10:03:29Z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D0E9CDE98D5C2AE2B51AEB684B2D7E79_42</vt:lpwstr>
  </property>
</Properties>
</file>