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8D237">
      <w:pPr>
        <w:pStyle w:val="2"/>
        <w:keepNext/>
        <w:keepLines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/>
        <w:textAlignment w:val="auto"/>
        <w:rPr>
          <w:rFonts w:hint="default" w:ascii="Times New Roman" w:hAnsi="Times New Roman" w:eastAsia="Times New Roman" w:cs="Times New Roman"/>
          <w:color w:val="B68C02" w:themeColor="accent3" w:themeShade="BF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Supplementary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File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4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color w:val="B68C02" w:themeColor="accent3" w:themeShade="BF"/>
          <w:sz w:val="28"/>
          <w:szCs w:val="28"/>
        </w:rPr>
        <w:t> </w:t>
      </w:r>
      <w:r>
        <w:rPr>
          <w:rFonts w:hint="default" w:ascii="Times New Roman" w:hAnsi="Times New Roman" w:cs="Times New Roman"/>
          <w:color w:val="B68C02" w:themeColor="accent3" w:themeShade="BF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color w:val="B68C02" w:themeColor="accent3" w:themeShade="BF"/>
          <w:sz w:val="24"/>
          <w:szCs w:val="24"/>
        </w:rPr>
        <w:t>Predicted versus observed CGM values for challenging patients #357, #393 and #498 for the 30-minute prediction horizon</w:t>
      </w:r>
    </w:p>
    <w:p w14:paraId="147D69E0">
      <w:pPr>
        <w:keepNext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385060"/>
            <wp:effectExtent l="0" t="0" r="0" b="15240"/>
            <wp:docPr id="15455177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17793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704E8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instrText xml:space="preserve"> SEQ Figure_S \* ARABIC </w:instrTex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: Predicted versus observed CGM values for patient 357 on the first test day for 30-minute prediction horizon</w:t>
      </w:r>
    </w:p>
    <w:p w14:paraId="1DEE7B69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385060"/>
            <wp:effectExtent l="0" t="0" r="0" b="15240"/>
            <wp:docPr id="10585744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574484" name="Imag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77FA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S3: Predicted versus observed CGM values for patient #357 on the second test day for a 30-minute prediction horizon</w:t>
      </w:r>
    </w:p>
    <w:p w14:paraId="063D0D07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03C9D8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385060"/>
            <wp:effectExtent l="0" t="0" r="0" b="15240"/>
            <wp:docPr id="17862890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89002" name="Imag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27942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S4: Predicted versus observed CGM values for patient #393 on the first test day for a 30-minute prediction horizon</w:t>
      </w:r>
    </w:p>
    <w:p w14:paraId="34D95C9B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385060"/>
            <wp:effectExtent l="0" t="0" r="0" b="15240"/>
            <wp:docPr id="20354383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38368" name="Imag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6946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S5: Predicted versus observed CGM values for patient #393 on the second test day for a 30-minute prediction horizon</w:t>
      </w:r>
    </w:p>
    <w:p w14:paraId="61B0C91E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413635"/>
            <wp:effectExtent l="0" t="0" r="0" b="5715"/>
            <wp:docPr id="12620362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036298" name="Imag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30770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S6: Predicted versus observed CGM values for patient #498 on the first test day for a 30-minute prediction horizon</w:t>
      </w:r>
    </w:p>
    <w:p w14:paraId="3D50E2A1">
      <w:pPr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43600" cy="2413635"/>
            <wp:effectExtent l="0" t="0" r="0" b="5715"/>
            <wp:docPr id="9277095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9596" name="Imag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2F48F">
      <w:pPr>
        <w:pStyle w:val="3"/>
        <w:suppressLineNumbers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Figure S7: Predicted versus observed CGM values for patient #498 on the second test day for a 30-minute prediction horizon</w:t>
      </w:r>
    </w:p>
    <w:p w14:paraId="7CC00EA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A18CF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2026-10-14T01:56:00Z</dcterms:created>
  <dc:creator>@ 华@</dc:creator>
  <cp:lastModifiedBy>@ 华@</cp:lastModifiedBy>
  <dcterms:modified xsi:type="dcterms:W3CDTF">2026-10-14T01:56:29Z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934B168B72224154B27AFA9395BB2DDB_11</vt:lpwstr>
  </property>
  <property fmtid="{D5CDD505-2E9C-101B-9397-08002B2CF9AE}" pid="4" name="KSOTemplateDocerSaveRecord">
    <vt:lpwstr>eyJoZGlkIjoiYTU1NWFjODI5NzUxNzg3NDcyNmZiNDllZmY1Mzg0ZWEiLCJ1c2VySWQiOiI1NDYwODA1MjMifQ==</vt:lpwstr>
  </property>
</Properties>
</file>