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447A0">
      <w:pPr>
        <w:spacing w:line="480" w:lineRule="auto"/>
        <w:rPr>
          <w:rFonts w:ascii="Times New Roman" w:hAnsi="Times New Roman" w:eastAsia="宋体"/>
          <w:b/>
          <w:bCs/>
          <w:sz w:val="24"/>
          <w:szCs w:val="22"/>
        </w:rPr>
      </w:pPr>
      <w:bookmarkStart w:id="0" w:name="OLE_LINK113"/>
      <w:bookmarkStart w:id="1" w:name="OLE_LINK2"/>
      <w:bookmarkStart w:id="2" w:name="OLE_LINK6"/>
      <w:r>
        <w:rPr>
          <w:rFonts w:ascii="Times New Roman" w:hAnsi="Times New Roman" w:eastAsia="宋体"/>
          <w:b/>
          <w:bCs/>
          <w:sz w:val="24"/>
          <w:szCs w:val="22"/>
        </w:rPr>
        <w:t>Straw return methods differentially mitigate N</w:t>
      </w:r>
      <w:r>
        <w:rPr>
          <w:rFonts w:hint="eastAsia" w:ascii="Times New Roman" w:hAnsi="Times New Roman" w:eastAsia="宋体"/>
          <w:b/>
          <w:bCs/>
          <w:sz w:val="24"/>
          <w:szCs w:val="22"/>
          <w:vertAlign w:val="subscript"/>
        </w:rPr>
        <w:t>2</w:t>
      </w:r>
      <w:r>
        <w:rPr>
          <w:rFonts w:ascii="Times New Roman" w:hAnsi="Times New Roman" w:eastAsia="宋体"/>
          <w:b/>
          <w:bCs/>
          <w:sz w:val="24"/>
          <w:szCs w:val="22"/>
        </w:rPr>
        <w:t xml:space="preserve">O emissions with reduced AOB </w:t>
      </w:r>
      <w:r>
        <w:rPr>
          <w:rFonts w:ascii="Times New Roman" w:hAnsi="Times New Roman" w:eastAsia="宋体"/>
          <w:b/>
          <w:bCs/>
          <w:i/>
          <w:iCs/>
          <w:sz w:val="24"/>
          <w:szCs w:val="22"/>
        </w:rPr>
        <w:t xml:space="preserve">amoA </w:t>
      </w:r>
      <w:r>
        <w:rPr>
          <w:rFonts w:ascii="Times New Roman" w:hAnsi="Times New Roman" w:eastAsia="宋体"/>
          <w:b/>
          <w:bCs/>
          <w:sz w:val="24"/>
          <w:szCs w:val="22"/>
        </w:rPr>
        <w:t>abundance and shifted community composition in N fertilized saline‑alkali soils</w:t>
      </w:r>
    </w:p>
    <w:p w14:paraId="4B7CD0DE">
      <w:pPr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>Zhen</w:t>
      </w:r>
      <w:bookmarkEnd w:id="0"/>
      <w:r>
        <w:rPr>
          <w:rFonts w:ascii="Times New Roman" w:hAnsi="Times New Roman" w:cs="Times New Roman"/>
          <w:sz w:val="24"/>
        </w:rPr>
        <w:t xml:space="preserve"> Li</w:t>
      </w:r>
      <w:r>
        <w:rPr>
          <w:rFonts w:ascii="Times New Roman" w:hAnsi="Times New Roman" w:cs="Times New Roman"/>
          <w:sz w:val="24"/>
          <w:vertAlign w:val="superscript"/>
        </w:rPr>
        <w:t>1,a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</w:rPr>
        <w:t>Huimin Dong</w:t>
      </w:r>
      <w:r>
        <w:rPr>
          <w:rFonts w:ascii="Times New Roman" w:hAnsi="Times New Roman" w:cs="Times New Roman"/>
          <w:sz w:val="24"/>
          <w:vertAlign w:val="superscript"/>
        </w:rPr>
        <w:t>1,a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</w:rPr>
        <w:t>Wenshuo Liu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Yaqi Yu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Marcela Hernández</w:t>
      </w:r>
      <w:r>
        <w:rPr>
          <w:rFonts w:hint="eastAsia" w:ascii="Times New Roman" w:hAnsi="Times New Roman" w:cs="Times New Roman"/>
          <w:sz w:val="24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</w:rPr>
        <w:t>Yanhong Lou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</w:rPr>
        <w:t>Haojie Feng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</w:t>
      </w:r>
      <w:r>
        <w:t xml:space="preserve"> </w:t>
      </w:r>
      <w:r>
        <w:rPr>
          <w:rFonts w:ascii="Times New Roman" w:hAnsi="Times New Roman" w:cs="Times New Roman"/>
          <w:sz w:val="24"/>
        </w:rPr>
        <w:t>Hui Wang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</w:rPr>
        <w:t>Quangang Yang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</w:t>
      </w:r>
      <w:r>
        <w:t xml:space="preserve"> </w:t>
      </w:r>
      <w:r>
        <w:rPr>
          <w:rFonts w:ascii="Times New Roman" w:hAnsi="Times New Roman" w:cs="Times New Roman"/>
          <w:sz w:val="24"/>
        </w:rPr>
        <w:t>Hongjie Di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</w:t>
      </w:r>
      <w:r>
        <w:t xml:space="preserve"> </w:t>
      </w:r>
      <w:r>
        <w:rPr>
          <w:rFonts w:ascii="Times New Roman" w:hAnsi="Times New Roman" w:cs="Times New Roman"/>
          <w:sz w:val="24"/>
        </w:rPr>
        <w:t>Hong Pan</w:t>
      </w:r>
      <w:r>
        <w:rPr>
          <w:rFonts w:ascii="Times New Roman" w:hAnsi="Times New Roman" w:cs="Times New Roman"/>
          <w:sz w:val="24"/>
          <w:vertAlign w:val="superscript"/>
        </w:rPr>
        <w:t>1*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</w:rPr>
        <w:t>Yuping Zhuge</w:t>
      </w:r>
      <w:r>
        <w:rPr>
          <w:rFonts w:ascii="Times New Roman" w:hAnsi="Times New Roman" w:cs="Times New Roman"/>
          <w:sz w:val="24"/>
          <w:vertAlign w:val="superscript"/>
        </w:rPr>
        <w:t>1*</w:t>
      </w:r>
    </w:p>
    <w:p w14:paraId="0E65A559">
      <w:pPr>
        <w:spacing w:line="480" w:lineRule="auto"/>
      </w:pPr>
      <w:r>
        <w:rPr>
          <w:rFonts w:ascii="Times New Roman" w:hAnsi="Times New Roman" w:cs="Times New Roman"/>
          <w:b/>
          <w:sz w:val="24"/>
        </w:rPr>
        <w:t xml:space="preserve">Authors </w:t>
      </w:r>
      <w:bookmarkStart w:id="3" w:name="OLE_LINK60"/>
      <w:r>
        <w:rPr>
          <w:rFonts w:ascii="Times New Roman" w:hAnsi="Times New Roman" w:cs="Times New Roman"/>
          <w:b/>
          <w:sz w:val="24"/>
        </w:rPr>
        <w:t>affiliations:</w:t>
      </w:r>
      <w:bookmarkEnd w:id="3"/>
    </w:p>
    <w:p w14:paraId="6C8512DB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>National Engineering Research Center for Efficient Utilization of Soil and Fertilizer Resources, College of Resources and Environment, Shandong Agricultural University, Daizong Road, Tai’an City 271018, Shandong, China</w:t>
      </w:r>
    </w:p>
    <w:p w14:paraId="0CEE33D1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  <w:szCs w:val="32"/>
        </w:rPr>
        <w:t>School of Biological Sciences, University of East Anglia, Norwich NR4 7TJ, UK</w:t>
      </w:r>
    </w:p>
    <w:p w14:paraId="48315F5B">
      <w:pPr>
        <w:spacing w:line="480" w:lineRule="auto"/>
      </w:pPr>
      <w:r>
        <w:rPr>
          <w:rFonts w:ascii="Times New Roman" w:hAnsi="Times New Roman" w:cs="Times New Roman"/>
          <w:sz w:val="24"/>
          <w:szCs w:val="32"/>
          <w:vertAlign w:val="superscript"/>
        </w:rPr>
        <w:t>a</w:t>
      </w:r>
      <w:r>
        <w:rPr>
          <w:rFonts w:ascii="Times New Roman" w:hAnsi="Times New Roman" w:cs="Times New Roman"/>
          <w:sz w:val="24"/>
          <w:szCs w:val="32"/>
        </w:rPr>
        <w:t xml:space="preserve"> These authors contributed equally to this work.</w:t>
      </w:r>
    </w:p>
    <w:p w14:paraId="29241361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* Corresponding authors: Hong Pan, Yuping Zhuge</w:t>
      </w:r>
    </w:p>
    <w:p w14:paraId="68084A9A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Tel: +86 538 8243918</w:t>
      </w:r>
    </w:p>
    <w:p w14:paraId="2122D209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FAX: +86-538- 8242250</w:t>
      </w:r>
    </w:p>
    <w:p w14:paraId="4FE05FD0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E-mail addresses: panhong6239@163.com; zhugeyp@sdau.edu.cn</w:t>
      </w:r>
    </w:p>
    <w:p w14:paraId="6DC87F68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Add: College of Resources and Environment, Shandong Agricultural University, Tai’an City, Shandong, Chin</w:t>
      </w:r>
      <w:r>
        <w:rPr>
          <w:rFonts w:hint="eastAsia" w:ascii="Times New Roman" w:hAnsi="Times New Roman" w:cs="Times New Roman"/>
          <w:sz w:val="24"/>
          <w:szCs w:val="32"/>
        </w:rPr>
        <w:t>a</w:t>
      </w:r>
    </w:p>
    <w:p w14:paraId="3FCCB89C">
      <w:pPr>
        <w:rPr>
          <w:rFonts w:ascii="Times New Roman" w:hAnsi="Times New Roman" w:eastAsia="宋体"/>
          <w:b/>
          <w:bCs/>
          <w:sz w:val="24"/>
          <w:szCs w:val="22"/>
        </w:rPr>
      </w:pPr>
      <w:r>
        <w:rPr>
          <w:rFonts w:ascii="Times New Roman" w:hAnsi="Times New Roman" w:eastAsia="宋体"/>
          <w:b/>
          <w:bCs/>
          <w:sz w:val="24"/>
          <w:szCs w:val="22"/>
        </w:rPr>
        <w:br w:type="page"/>
      </w:r>
    </w:p>
    <w:p w14:paraId="2BD30E04">
      <w:pPr>
        <w:spacing w:line="480" w:lineRule="auto"/>
        <w:jc w:val="center"/>
        <w:rPr>
          <w:rFonts w:hint="eastAsia" w:ascii="Times New Roman" w:hAnsi="Times New Roman" w:eastAsiaTheme="minorEastAsia"/>
          <w:b/>
          <w:bCs/>
          <w:sz w:val="24"/>
          <w:szCs w:val="22"/>
          <w:lang w:val="en-US" w:eastAsia="zh-CN"/>
        </w:rPr>
      </w:pP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Table S1.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The basic properties of different straw materials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1208"/>
        <w:gridCol w:w="1206"/>
        <w:gridCol w:w="1665"/>
        <w:gridCol w:w="1827"/>
        <w:gridCol w:w="1238"/>
      </w:tblGrid>
      <w:tr w14:paraId="39CA9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CD8505">
            <w:pPr>
              <w:spacing w:line="48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Treatment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74FB4B">
            <w:pPr>
              <w:spacing w:line="48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C/N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7D923FE">
            <w:pPr>
              <w:spacing w:line="48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pH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46A682">
            <w:pPr>
              <w:spacing w:line="48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EC (ms cm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vertAlign w:val="superscript"/>
              </w:rPr>
              <w:t>−</w:t>
            </w:r>
            <w:r>
              <w:rPr>
                <w:rFonts w:ascii="Times New Roman" w:hAnsi="Times New Roman" w:eastAsia="宋体"/>
                <w:b/>
                <w:bCs/>
                <w:sz w:val="24"/>
                <w:szCs w:val="22"/>
                <w:vertAlign w:val="superscript"/>
              </w:rPr>
              <w:t>1</w:t>
            </w: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)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6E9DE5">
            <w:pPr>
              <w:spacing w:line="48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DOC (g kg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vertAlign w:val="superscript"/>
              </w:rPr>
              <w:t>−</w:t>
            </w:r>
            <w:r>
              <w:rPr>
                <w:rFonts w:ascii="Times New Roman" w:hAnsi="Times New Roman" w:eastAsia="宋体"/>
                <w:b/>
                <w:bCs/>
                <w:sz w:val="24"/>
                <w:szCs w:val="22"/>
                <w:vertAlign w:val="superscript"/>
              </w:rPr>
              <w:t>1</w:t>
            </w: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)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AC3DC6">
            <w:pPr>
              <w:spacing w:line="48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2"/>
              </w:rPr>
              <w:t>Reference</w:t>
            </w:r>
          </w:p>
        </w:tc>
      </w:tr>
      <w:tr w14:paraId="0F32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C2D14F1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CS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8893A1D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48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875F33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6.5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B5BFA40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2.1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9C311B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10.2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D14BA11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[1]</w:t>
            </w:r>
          </w:p>
        </w:tc>
      </w:tr>
      <w:tr w14:paraId="606E0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5263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PS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B6CEB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50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E3BC1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6.8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7206C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1.5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3A9C0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5.3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3EE69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[2]</w:t>
            </w:r>
          </w:p>
        </w:tc>
      </w:tr>
      <w:tr w14:paraId="4C565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E32CB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MS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F8E87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BC9C2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8.0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BC7F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5.2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6FD46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18.2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F358E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[3]</w:t>
            </w:r>
          </w:p>
        </w:tc>
      </w:tr>
      <w:tr w14:paraId="4B0AC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F6CDB0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CBS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3D97F4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100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FB3C43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9.0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443C142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1.4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5A08E5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1.8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142637">
            <w:pPr>
              <w:spacing w:line="480" w:lineRule="auto"/>
              <w:jc w:val="center"/>
              <w:rPr>
                <w:rFonts w:ascii="Times New Roman" w:hAnsi="Times New Roman" w:eastAsia="宋体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sz w:val="24"/>
                <w:szCs w:val="22"/>
              </w:rPr>
              <w:t>[4]</w:t>
            </w:r>
          </w:p>
        </w:tc>
      </w:tr>
    </w:tbl>
    <w:p w14:paraId="78064A29">
      <w:pPr>
        <w:spacing w:line="480" w:lineRule="auto"/>
        <w:rPr>
          <w:rFonts w:ascii="Times New Roman" w:hAnsi="Times New Roman" w:eastAsia="宋体"/>
          <w:b/>
          <w:bCs/>
          <w:sz w:val="24"/>
          <w:szCs w:val="22"/>
        </w:rPr>
        <w:sectPr>
          <w:pgSz w:w="11906" w:h="16838"/>
          <w:pgMar w:top="1440" w:right="1800" w:bottom="1440" w:left="1800" w:header="851" w:footer="992" w:gutter="0"/>
          <w:cols w:space="0" w:num="1"/>
          <w:docGrid w:type="lines" w:linePitch="312" w:charSpace="0"/>
        </w:sectPr>
      </w:pPr>
    </w:p>
    <w:p w14:paraId="24580EAB">
      <w:pPr>
        <w:spacing w:line="360" w:lineRule="auto"/>
        <w:jc w:val="center"/>
        <w:rPr>
          <w:rFonts w:ascii="Times New Roman" w:hAnsi="Times New Roman" w:cs="Segoe UI"/>
          <w:sz w:val="24"/>
          <w:shd w:val="clear" w:color="auto" w:fill="FFFFFF"/>
        </w:rPr>
      </w:pP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Table S2.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</w:t>
      </w:r>
      <w:r>
        <w:rPr>
          <w:rFonts w:ascii="Times New Roman" w:hAnsi="Times New Roman" w:cs="Segoe UI"/>
          <w:sz w:val="24"/>
          <w:shd w:val="clear" w:color="auto" w:fill="FFFFFF"/>
        </w:rPr>
        <w:t>PCR primers and thermal cycling conditions used for gene quantification</w:t>
      </w:r>
    </w:p>
    <w:tbl>
      <w:tblPr>
        <w:tblStyle w:val="9"/>
        <w:tblW w:w="1474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506"/>
        <w:gridCol w:w="3845"/>
        <w:gridCol w:w="1172"/>
        <w:gridCol w:w="5248"/>
        <w:gridCol w:w="1826"/>
      </w:tblGrid>
      <w:tr w14:paraId="2ABBFC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43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1376EB1">
            <w:pPr>
              <w:spacing w:line="360" w:lineRule="auto"/>
              <w:jc w:val="center"/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  <w:t>Gene</w:t>
            </w:r>
          </w:p>
        </w:tc>
        <w:tc>
          <w:tcPr>
            <w:tcW w:w="1506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69E5B76">
            <w:pPr>
              <w:spacing w:line="360" w:lineRule="auto"/>
              <w:jc w:val="center"/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  <w:t>Primer</w:t>
            </w:r>
          </w:p>
        </w:tc>
        <w:tc>
          <w:tcPr>
            <w:tcW w:w="384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4278B92">
            <w:pPr>
              <w:spacing w:line="360" w:lineRule="auto"/>
              <w:jc w:val="center"/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  <w:t>Sequence</w:t>
            </w:r>
          </w:p>
        </w:tc>
        <w:tc>
          <w:tcPr>
            <w:tcW w:w="1172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C222161">
            <w:pPr>
              <w:spacing w:line="360" w:lineRule="auto"/>
              <w:jc w:val="center"/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  <w:t>Amplicon</w:t>
            </w:r>
          </w:p>
          <w:p w14:paraId="646748B3">
            <w:pPr>
              <w:spacing w:line="360" w:lineRule="auto"/>
              <w:jc w:val="center"/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b/>
                <w:bCs/>
                <w:sz w:val="24"/>
                <w:shd w:val="clear" w:color="auto" w:fill="FFFFFF"/>
              </w:rPr>
              <w:t>size (bp)</w:t>
            </w:r>
          </w:p>
        </w:tc>
        <w:tc>
          <w:tcPr>
            <w:tcW w:w="5248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95CD9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  <w:t>Thermal conditions</w:t>
            </w:r>
          </w:p>
        </w:tc>
        <w:tc>
          <w:tcPr>
            <w:tcW w:w="1826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A08B2B1">
            <w:pPr>
              <w:spacing w:line="360" w:lineRule="auto"/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Reference</w:t>
            </w:r>
          </w:p>
        </w:tc>
      </w:tr>
      <w:tr w14:paraId="3C8835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3" w:type="dxa"/>
            <w:vMerge w:val="restart"/>
            <w:tcBorders>
              <w:top w:val="single" w:color="auto" w:sz="8" w:space="0"/>
              <w:bottom w:val="nil"/>
            </w:tcBorders>
            <w:vAlign w:val="center"/>
          </w:tcPr>
          <w:p w14:paraId="08DB4FE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nirS</w:t>
            </w:r>
          </w:p>
        </w:tc>
        <w:tc>
          <w:tcPr>
            <w:tcW w:w="1506" w:type="dxa"/>
            <w:tcBorders>
              <w:top w:val="single" w:color="auto" w:sz="8" w:space="0"/>
              <w:bottom w:val="nil"/>
            </w:tcBorders>
            <w:vAlign w:val="center"/>
          </w:tcPr>
          <w:p w14:paraId="60950CB6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nirSCd3aF</w:t>
            </w:r>
          </w:p>
        </w:tc>
        <w:tc>
          <w:tcPr>
            <w:tcW w:w="3845" w:type="dxa"/>
            <w:tcBorders>
              <w:top w:val="single" w:color="auto" w:sz="8" w:space="0"/>
              <w:bottom w:val="nil"/>
            </w:tcBorders>
            <w:vAlign w:val="center"/>
          </w:tcPr>
          <w:p w14:paraId="51157A02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GTSAACGTSAAGGARACSGG</w:t>
            </w:r>
          </w:p>
        </w:tc>
        <w:tc>
          <w:tcPr>
            <w:tcW w:w="1172" w:type="dxa"/>
            <w:vMerge w:val="restart"/>
            <w:tcBorders>
              <w:top w:val="single" w:color="auto" w:sz="8" w:space="0"/>
              <w:bottom w:val="nil"/>
            </w:tcBorders>
            <w:vAlign w:val="center"/>
          </w:tcPr>
          <w:p w14:paraId="3FF67B0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425</w:t>
            </w:r>
          </w:p>
        </w:tc>
        <w:tc>
          <w:tcPr>
            <w:tcW w:w="5248" w:type="dxa"/>
            <w:vMerge w:val="restart"/>
            <w:tcBorders>
              <w:top w:val="single" w:color="auto" w:sz="8" w:space="0"/>
              <w:bottom w:val="nil"/>
            </w:tcBorders>
            <w:vAlign w:val="center"/>
          </w:tcPr>
          <w:p w14:paraId="6DDB001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95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°C, 3 min; 35 × (95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°C for 10 s, 56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°C for 30 s, 72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°C for 20 s+ plate read)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; </w:t>
            </w:r>
            <w:r>
              <w:rPr>
                <w:rFonts w:ascii="Times New Roman" w:hAnsi="Times New Roman" w:eastAsia="宋体" w:cs="Times New Roman"/>
                <w:sz w:val="24"/>
              </w:rPr>
              <w:t>Melt curve: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65.0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°C to 95.0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°C, increment 0.5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°C, 0:05+ plate read</w:t>
            </w:r>
          </w:p>
        </w:tc>
        <w:tc>
          <w:tcPr>
            <w:tcW w:w="1826" w:type="dxa"/>
            <w:vMerge w:val="restart"/>
            <w:tcBorders>
              <w:top w:val="single" w:color="auto" w:sz="8" w:space="0"/>
            </w:tcBorders>
          </w:tcPr>
          <w:p w14:paraId="0DCAA872"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[5]</w:t>
            </w:r>
          </w:p>
        </w:tc>
      </w:tr>
      <w:tr w14:paraId="6E0234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3" w:type="dxa"/>
            <w:vMerge w:val="continue"/>
            <w:tcBorders>
              <w:top w:val="nil"/>
              <w:bottom w:val="nil"/>
            </w:tcBorders>
            <w:vAlign w:val="center"/>
          </w:tcPr>
          <w:p w14:paraId="507096FF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506" w:type="dxa"/>
            <w:tcBorders>
              <w:top w:val="nil"/>
              <w:bottom w:val="nil"/>
            </w:tcBorders>
            <w:vAlign w:val="center"/>
          </w:tcPr>
          <w:p w14:paraId="0A5D82F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nirSR3cd</w:t>
            </w:r>
          </w:p>
        </w:tc>
        <w:tc>
          <w:tcPr>
            <w:tcW w:w="3845" w:type="dxa"/>
            <w:tcBorders>
              <w:top w:val="nil"/>
              <w:bottom w:val="nil"/>
            </w:tcBorders>
            <w:vAlign w:val="center"/>
          </w:tcPr>
          <w:p w14:paraId="407503E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GASTTCGGRTGSGTCTTGA</w:t>
            </w:r>
          </w:p>
        </w:tc>
        <w:tc>
          <w:tcPr>
            <w:tcW w:w="1172" w:type="dxa"/>
            <w:vMerge w:val="continue"/>
            <w:tcBorders>
              <w:top w:val="nil"/>
              <w:bottom w:val="nil"/>
            </w:tcBorders>
            <w:vAlign w:val="center"/>
          </w:tcPr>
          <w:p w14:paraId="6423C98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5248" w:type="dxa"/>
            <w:vMerge w:val="continue"/>
            <w:tcBorders>
              <w:top w:val="nil"/>
              <w:bottom w:val="nil"/>
            </w:tcBorders>
            <w:vAlign w:val="center"/>
          </w:tcPr>
          <w:p w14:paraId="4BF614C2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826" w:type="dxa"/>
            <w:vMerge w:val="continue"/>
            <w:tcBorders>
              <w:bottom w:val="nil"/>
            </w:tcBorders>
          </w:tcPr>
          <w:p w14:paraId="3A87277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691D6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restart"/>
            <w:tcBorders>
              <w:top w:val="nil"/>
              <w:bottom w:val="nil"/>
            </w:tcBorders>
            <w:vAlign w:val="center"/>
          </w:tcPr>
          <w:p w14:paraId="659F7A5F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i/>
                <w:iCs/>
                <w:sz w:val="24"/>
                <w:shd w:val="clear" w:color="auto" w:fill="FFFFFF"/>
              </w:rPr>
              <w:t>nirK</w:t>
            </w:r>
          </w:p>
        </w:tc>
        <w:tc>
          <w:tcPr>
            <w:tcW w:w="1506" w:type="dxa"/>
            <w:tcBorders>
              <w:top w:val="nil"/>
              <w:bottom w:val="nil"/>
            </w:tcBorders>
            <w:vAlign w:val="center"/>
          </w:tcPr>
          <w:p w14:paraId="32267D55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nirKF1aCu</w:t>
            </w:r>
          </w:p>
        </w:tc>
        <w:tc>
          <w:tcPr>
            <w:tcW w:w="3845" w:type="dxa"/>
            <w:tcBorders>
              <w:top w:val="nil"/>
              <w:bottom w:val="nil"/>
            </w:tcBorders>
            <w:vAlign w:val="center"/>
          </w:tcPr>
          <w:p w14:paraId="09A2F229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ATCATGGTSCTGCCGCG</w:t>
            </w:r>
          </w:p>
        </w:tc>
        <w:tc>
          <w:tcPr>
            <w:tcW w:w="1172" w:type="dxa"/>
            <w:vMerge w:val="restart"/>
            <w:tcBorders>
              <w:top w:val="nil"/>
              <w:bottom w:val="nil"/>
            </w:tcBorders>
            <w:vAlign w:val="center"/>
          </w:tcPr>
          <w:p w14:paraId="4B30BEEC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473</w:t>
            </w:r>
          </w:p>
        </w:tc>
        <w:tc>
          <w:tcPr>
            <w:tcW w:w="5248" w:type="dxa"/>
            <w:vMerge w:val="restart"/>
            <w:tcBorders>
              <w:top w:val="nil"/>
              <w:bottom w:val="nil"/>
            </w:tcBorders>
            <w:vAlign w:val="center"/>
          </w:tcPr>
          <w:p w14:paraId="28194E22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3 min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×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10 s, 56 °C for 30 s, 72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20 s+ plate read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);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Melt curve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to 95.0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increment 0.5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0:05+ plate read</w:t>
            </w:r>
          </w:p>
        </w:tc>
        <w:tc>
          <w:tcPr>
            <w:tcW w:w="1826" w:type="dxa"/>
            <w:vMerge w:val="restart"/>
            <w:tcBorders>
              <w:top w:val="nil"/>
            </w:tcBorders>
          </w:tcPr>
          <w:p w14:paraId="4CD0542C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[5]</w:t>
            </w:r>
          </w:p>
        </w:tc>
      </w:tr>
      <w:tr w14:paraId="201AE3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continue"/>
            <w:tcBorders>
              <w:top w:val="nil"/>
            </w:tcBorders>
            <w:vAlign w:val="center"/>
          </w:tcPr>
          <w:p w14:paraId="53D0846E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1506" w:type="dxa"/>
            <w:tcBorders>
              <w:top w:val="nil"/>
            </w:tcBorders>
            <w:vAlign w:val="center"/>
          </w:tcPr>
          <w:p w14:paraId="01756514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nirKR3Cu</w:t>
            </w:r>
          </w:p>
        </w:tc>
        <w:tc>
          <w:tcPr>
            <w:tcW w:w="3845" w:type="dxa"/>
            <w:tcBorders>
              <w:top w:val="nil"/>
            </w:tcBorders>
            <w:vAlign w:val="center"/>
          </w:tcPr>
          <w:p w14:paraId="0FB36013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GCCTCGATCAGRTTGTGGTT</w:t>
            </w:r>
          </w:p>
        </w:tc>
        <w:tc>
          <w:tcPr>
            <w:tcW w:w="1172" w:type="dxa"/>
            <w:vMerge w:val="continue"/>
            <w:tcBorders>
              <w:top w:val="nil"/>
            </w:tcBorders>
            <w:vAlign w:val="center"/>
          </w:tcPr>
          <w:p w14:paraId="6F796808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5248" w:type="dxa"/>
            <w:vMerge w:val="continue"/>
            <w:tcBorders>
              <w:top w:val="nil"/>
            </w:tcBorders>
            <w:vAlign w:val="center"/>
          </w:tcPr>
          <w:p w14:paraId="1F98E9EA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826" w:type="dxa"/>
            <w:vMerge w:val="continue"/>
            <w:tcBorders/>
          </w:tcPr>
          <w:p w14:paraId="48528090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</w:tr>
      <w:tr w14:paraId="72C035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restart"/>
            <w:vAlign w:val="center"/>
          </w:tcPr>
          <w:p w14:paraId="42A5518F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i/>
                <w:iCs/>
                <w:sz w:val="24"/>
                <w:shd w:val="clear" w:color="auto" w:fill="FFFFFF"/>
              </w:rPr>
              <w:t>nosZ</w:t>
            </w:r>
          </w:p>
        </w:tc>
        <w:tc>
          <w:tcPr>
            <w:tcW w:w="1506" w:type="dxa"/>
            <w:vAlign w:val="center"/>
          </w:tcPr>
          <w:p w14:paraId="5B36A979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nosLb</w:t>
            </w:r>
          </w:p>
        </w:tc>
        <w:tc>
          <w:tcPr>
            <w:tcW w:w="3845" w:type="dxa"/>
            <w:vAlign w:val="center"/>
          </w:tcPr>
          <w:p w14:paraId="5B106E95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CCCGCTGCACACCRCCTTCGA</w:t>
            </w:r>
          </w:p>
        </w:tc>
        <w:tc>
          <w:tcPr>
            <w:tcW w:w="1172" w:type="dxa"/>
            <w:vMerge w:val="restart"/>
            <w:vAlign w:val="center"/>
          </w:tcPr>
          <w:p w14:paraId="206F2BFD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300</w:t>
            </w:r>
          </w:p>
        </w:tc>
        <w:tc>
          <w:tcPr>
            <w:tcW w:w="5248" w:type="dxa"/>
            <w:vMerge w:val="restart"/>
            <w:vAlign w:val="center"/>
          </w:tcPr>
          <w:p w14:paraId="63F744ED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3 min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×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10 s, 56.8 °C for 30 s, 72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20 s+ plate read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);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Melt curve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to 95.0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increment 0.5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0:05+ plate read</w:t>
            </w:r>
          </w:p>
        </w:tc>
        <w:tc>
          <w:tcPr>
            <w:tcW w:w="1826" w:type="dxa"/>
            <w:vMerge w:val="restart"/>
          </w:tcPr>
          <w:p w14:paraId="4FC42FE3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[6]</w:t>
            </w:r>
          </w:p>
        </w:tc>
      </w:tr>
      <w:tr w14:paraId="3FE02D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continue"/>
            <w:vAlign w:val="center"/>
          </w:tcPr>
          <w:p w14:paraId="52C378A6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1506" w:type="dxa"/>
            <w:vAlign w:val="center"/>
          </w:tcPr>
          <w:p w14:paraId="2FF858BD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nosRb</w:t>
            </w:r>
          </w:p>
        </w:tc>
        <w:tc>
          <w:tcPr>
            <w:tcW w:w="3845" w:type="dxa"/>
            <w:vAlign w:val="center"/>
          </w:tcPr>
          <w:p w14:paraId="65711BBB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CGTCGCCSGAGATGTCGATCA</w:t>
            </w:r>
          </w:p>
        </w:tc>
        <w:tc>
          <w:tcPr>
            <w:tcW w:w="1172" w:type="dxa"/>
            <w:vMerge w:val="continue"/>
            <w:vAlign w:val="center"/>
          </w:tcPr>
          <w:p w14:paraId="3F41C34E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5248" w:type="dxa"/>
            <w:vMerge w:val="continue"/>
            <w:vAlign w:val="center"/>
          </w:tcPr>
          <w:p w14:paraId="58EE502A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826" w:type="dxa"/>
            <w:vMerge w:val="continue"/>
            <w:tcBorders/>
          </w:tcPr>
          <w:p w14:paraId="49864A60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</w:tr>
      <w:tr w14:paraId="6BFF2F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restart"/>
            <w:vAlign w:val="center"/>
          </w:tcPr>
          <w:p w14:paraId="162C2B74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bookmarkStart w:id="4" w:name="OLE_LINK4"/>
            <w:bookmarkStart w:id="5" w:name="OLE_LINK5"/>
            <w:r>
              <w:rPr>
                <w:rFonts w:hint="eastAsia" w:ascii="Times New Roman" w:hAnsi="Times New Roman" w:cs="Segoe UI"/>
                <w:sz w:val="24"/>
                <w:shd w:val="clear" w:color="auto" w:fill="FFFFFF"/>
              </w:rPr>
              <w:t>Ar</w:t>
            </w: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ch</w:t>
            </w:r>
            <w:r>
              <w:rPr>
                <w:rFonts w:hint="eastAsia" w:ascii="Times New Roman" w:hAnsi="Times New Roman" w:cs="Segoe UI"/>
                <w:sz w:val="24"/>
                <w:shd w:val="clear" w:color="auto" w:fill="FFFFFF"/>
              </w:rPr>
              <w:t>a</w:t>
            </w: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 xml:space="preserve">eal </w:t>
            </w:r>
            <w:r>
              <w:rPr>
                <w:rFonts w:ascii="Times New Roman" w:hAnsi="Times New Roman" w:cs="Segoe UI"/>
                <w:i/>
                <w:iCs/>
                <w:sz w:val="24"/>
                <w:shd w:val="clear" w:color="auto" w:fill="FFFFFF"/>
              </w:rPr>
              <w:t>amoA</w:t>
            </w:r>
            <w:bookmarkEnd w:id="4"/>
            <w:bookmarkEnd w:id="5"/>
          </w:p>
        </w:tc>
        <w:tc>
          <w:tcPr>
            <w:tcW w:w="1506" w:type="dxa"/>
            <w:vAlign w:val="center"/>
          </w:tcPr>
          <w:p w14:paraId="378BC6AD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Arch-amoAF</w:t>
            </w:r>
          </w:p>
        </w:tc>
        <w:tc>
          <w:tcPr>
            <w:tcW w:w="3845" w:type="dxa"/>
            <w:vAlign w:val="center"/>
          </w:tcPr>
          <w:p w14:paraId="0851A3E8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STAATGGTCTGGCTTAGACG</w:t>
            </w:r>
          </w:p>
        </w:tc>
        <w:tc>
          <w:tcPr>
            <w:tcW w:w="1172" w:type="dxa"/>
            <w:vMerge w:val="restart"/>
            <w:vAlign w:val="center"/>
          </w:tcPr>
          <w:p w14:paraId="3F09B294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635</w:t>
            </w:r>
          </w:p>
        </w:tc>
        <w:tc>
          <w:tcPr>
            <w:tcW w:w="5248" w:type="dxa"/>
            <w:vMerge w:val="restart"/>
            <w:vAlign w:val="center"/>
          </w:tcPr>
          <w:p w14:paraId="7214B38D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3min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>；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×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30 s, 55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30 s, 72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45 s+ plate read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);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Melt curve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to 95.0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increment 0.5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0:05+ plate read</w:t>
            </w:r>
          </w:p>
        </w:tc>
        <w:tc>
          <w:tcPr>
            <w:tcW w:w="1826" w:type="dxa"/>
            <w:vMerge w:val="restart"/>
          </w:tcPr>
          <w:p w14:paraId="100D4B82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[7]</w:t>
            </w:r>
          </w:p>
        </w:tc>
      </w:tr>
      <w:tr w14:paraId="39B55F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continue"/>
            <w:vAlign w:val="center"/>
          </w:tcPr>
          <w:p w14:paraId="37D6F0E6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1506" w:type="dxa"/>
            <w:vAlign w:val="center"/>
          </w:tcPr>
          <w:p w14:paraId="4BE48AFC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Arch-amoAR</w:t>
            </w:r>
          </w:p>
        </w:tc>
        <w:tc>
          <w:tcPr>
            <w:tcW w:w="3845" w:type="dxa"/>
            <w:vAlign w:val="center"/>
          </w:tcPr>
          <w:p w14:paraId="19B4C0D0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GCGGCCATCCATCTGTATGT</w:t>
            </w:r>
          </w:p>
        </w:tc>
        <w:tc>
          <w:tcPr>
            <w:tcW w:w="1172" w:type="dxa"/>
            <w:vMerge w:val="continue"/>
            <w:vAlign w:val="center"/>
          </w:tcPr>
          <w:p w14:paraId="4655A82E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5248" w:type="dxa"/>
            <w:vMerge w:val="continue"/>
            <w:vAlign w:val="center"/>
          </w:tcPr>
          <w:p w14:paraId="5F21C486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826" w:type="dxa"/>
            <w:vMerge w:val="continue"/>
            <w:tcBorders/>
          </w:tcPr>
          <w:p w14:paraId="2D7D4463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</w:tr>
      <w:tr w14:paraId="41727E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restart"/>
            <w:vAlign w:val="center"/>
          </w:tcPr>
          <w:p w14:paraId="7E1ECEE0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hint="eastAsia" w:ascii="Times New Roman" w:hAnsi="Times New Roman" w:cs="Segoe UI"/>
                <w:sz w:val="24"/>
                <w:shd w:val="clear" w:color="auto" w:fill="FFFFFF"/>
              </w:rPr>
              <w:t>B</w:t>
            </w: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 xml:space="preserve">acterial </w:t>
            </w:r>
            <w:r>
              <w:rPr>
                <w:rFonts w:ascii="Times New Roman" w:hAnsi="Times New Roman" w:cs="Segoe UI"/>
                <w:i/>
                <w:iCs/>
                <w:sz w:val="24"/>
                <w:shd w:val="clear" w:color="auto" w:fill="FFFFFF"/>
              </w:rPr>
              <w:t>amoA</w:t>
            </w:r>
          </w:p>
        </w:tc>
        <w:tc>
          <w:tcPr>
            <w:tcW w:w="1506" w:type="dxa"/>
            <w:vAlign w:val="center"/>
          </w:tcPr>
          <w:p w14:paraId="7EF36BD8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amoA-1F</w:t>
            </w:r>
          </w:p>
        </w:tc>
        <w:tc>
          <w:tcPr>
            <w:tcW w:w="3845" w:type="dxa"/>
            <w:vAlign w:val="center"/>
          </w:tcPr>
          <w:p w14:paraId="5B7D4311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GGGGTTTCTACTGGTGGT</w:t>
            </w:r>
          </w:p>
        </w:tc>
        <w:tc>
          <w:tcPr>
            <w:tcW w:w="1172" w:type="dxa"/>
            <w:vMerge w:val="restart"/>
            <w:vAlign w:val="center"/>
          </w:tcPr>
          <w:p w14:paraId="6F82B7EB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491</w:t>
            </w:r>
          </w:p>
        </w:tc>
        <w:tc>
          <w:tcPr>
            <w:tcW w:w="5248" w:type="dxa"/>
            <w:vMerge w:val="restart"/>
            <w:vAlign w:val="center"/>
          </w:tcPr>
          <w:p w14:paraId="04D69CEC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3min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×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30 s, 55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30 s, 72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for 45 s+ plate read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);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Melt curve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 to 95.0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increment 0.5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°C, 0:05+ plate read</w:t>
            </w:r>
          </w:p>
        </w:tc>
        <w:tc>
          <w:tcPr>
            <w:tcW w:w="1826" w:type="dxa"/>
            <w:vMerge w:val="restart"/>
          </w:tcPr>
          <w:p w14:paraId="56E36732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[8]</w:t>
            </w:r>
          </w:p>
        </w:tc>
      </w:tr>
      <w:tr w14:paraId="1023C4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3" w:type="dxa"/>
            <w:vMerge w:val="continue"/>
            <w:tcBorders>
              <w:bottom w:val="single" w:color="auto" w:sz="12" w:space="0"/>
            </w:tcBorders>
            <w:vAlign w:val="center"/>
          </w:tcPr>
          <w:p w14:paraId="6070D9A7">
            <w:pPr>
              <w:jc w:val="left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1506" w:type="dxa"/>
            <w:tcBorders>
              <w:bottom w:val="single" w:color="auto" w:sz="12" w:space="0"/>
            </w:tcBorders>
            <w:vAlign w:val="center"/>
          </w:tcPr>
          <w:p w14:paraId="645ABC79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amoA-2R</w:t>
            </w:r>
          </w:p>
        </w:tc>
        <w:tc>
          <w:tcPr>
            <w:tcW w:w="3845" w:type="dxa"/>
            <w:tcBorders>
              <w:bottom w:val="single" w:color="auto" w:sz="12" w:space="0"/>
            </w:tcBorders>
            <w:vAlign w:val="center"/>
          </w:tcPr>
          <w:p w14:paraId="07FD61E0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  <w:r>
              <w:rPr>
                <w:rFonts w:ascii="Times New Roman" w:hAnsi="Times New Roman" w:cs="Segoe UI"/>
                <w:sz w:val="24"/>
                <w:shd w:val="clear" w:color="auto" w:fill="FFFFFF"/>
              </w:rPr>
              <w:t>CCC CTC KGS AAA GCCTTCTTC</w:t>
            </w:r>
          </w:p>
        </w:tc>
        <w:tc>
          <w:tcPr>
            <w:tcW w:w="1172" w:type="dxa"/>
            <w:vMerge w:val="continue"/>
            <w:tcBorders>
              <w:bottom w:val="single" w:color="auto" w:sz="12" w:space="0"/>
            </w:tcBorders>
            <w:vAlign w:val="center"/>
          </w:tcPr>
          <w:p w14:paraId="1EA081C7">
            <w:pPr>
              <w:jc w:val="left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5248" w:type="dxa"/>
            <w:vMerge w:val="continue"/>
            <w:tcBorders>
              <w:bottom w:val="single" w:color="auto" w:sz="12" w:space="0"/>
            </w:tcBorders>
            <w:vAlign w:val="center"/>
          </w:tcPr>
          <w:p w14:paraId="0E9F7A00">
            <w:pPr>
              <w:jc w:val="left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  <w:tc>
          <w:tcPr>
            <w:tcW w:w="1826" w:type="dxa"/>
            <w:vMerge w:val="continue"/>
            <w:tcBorders>
              <w:bottom w:val="single" w:color="auto" w:sz="12" w:space="0"/>
            </w:tcBorders>
          </w:tcPr>
          <w:p w14:paraId="17180926">
            <w:pPr>
              <w:jc w:val="center"/>
              <w:rPr>
                <w:rFonts w:ascii="Times New Roman" w:hAnsi="Times New Roman" w:cs="Segoe UI"/>
                <w:sz w:val="24"/>
                <w:shd w:val="clear" w:color="auto" w:fill="FFFFFF"/>
              </w:rPr>
            </w:pPr>
          </w:p>
        </w:tc>
      </w:tr>
    </w:tbl>
    <w:p w14:paraId="473C304E">
      <w:pPr>
        <w:rPr>
          <w:rFonts w:ascii="Times New Roman" w:hAnsi="Times New Roman" w:cs="Segoe UI"/>
          <w:sz w:val="24"/>
          <w:shd w:val="clear" w:color="auto" w:fill="FFFFFF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B1600EB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Table S</w:t>
      </w:r>
      <w:bookmarkEnd w:id="1"/>
      <w:r>
        <w:rPr>
          <w:rFonts w:ascii="Times New Roman" w:hAnsi="Times New Roman" w:cs="Segoe UI"/>
          <w:b/>
          <w:bCs/>
          <w:sz w:val="24"/>
          <w:shd w:val="clear" w:color="auto" w:fill="FFFFFF"/>
        </w:rPr>
        <w:t xml:space="preserve">3. </w:t>
      </w:r>
      <w:r>
        <w:rPr>
          <w:rFonts w:hint="eastAsia" w:ascii="Times New Roman" w:hAnsi="Times New Roman" w:cs="Segoe UI"/>
          <w:sz w:val="24"/>
          <w:shd w:val="clear" w:color="auto" w:fill="FFFFFF"/>
        </w:rPr>
        <w:t>Analysis of variance of accumulated N</w:t>
      </w:r>
      <w:r>
        <w:rPr>
          <w:rFonts w:hint="eastAsia" w:ascii="Times New Roman" w:hAnsi="Times New Roman" w:cs="Segoe UI"/>
          <w:sz w:val="24"/>
          <w:shd w:val="clear" w:color="auto" w:fill="FFFFFF"/>
          <w:vertAlign w:val="subscript"/>
        </w:rPr>
        <w:t>2</w:t>
      </w:r>
      <w:r>
        <w:rPr>
          <w:rFonts w:hint="eastAsia" w:ascii="Times New Roman" w:hAnsi="Times New Roman" w:cs="Segoe UI"/>
          <w:sz w:val="24"/>
          <w:shd w:val="clear" w:color="auto" w:fill="FFFFFF"/>
        </w:rPr>
        <w:t>O emissions from straw, N fertilizer and their interactions in saline-alkali soil</w:t>
      </w:r>
    </w:p>
    <w:bookmarkEnd w:id="2"/>
    <w:tbl>
      <w:tblPr>
        <w:tblStyle w:val="9"/>
        <w:tblW w:w="7833" w:type="dxa"/>
        <w:tblInd w:w="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870"/>
        <w:gridCol w:w="1113"/>
        <w:gridCol w:w="2149"/>
        <w:gridCol w:w="2411"/>
      </w:tblGrid>
      <w:tr w14:paraId="10F97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290" w:type="dxa"/>
            <w:vMerge w:val="restart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62E1661">
            <w:pPr>
              <w:pStyle w:val="7"/>
              <w:widowControl/>
              <w:jc w:val="center"/>
            </w:pPr>
          </w:p>
        </w:tc>
        <w:tc>
          <w:tcPr>
            <w:tcW w:w="6543" w:type="dxa"/>
            <w:gridSpan w:val="4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11D6D5D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Factors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and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their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interaction</w:t>
            </w:r>
          </w:p>
        </w:tc>
      </w:tr>
      <w:tr w14:paraId="17259D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290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D995FCC">
            <w:pPr>
              <w:rPr>
                <w:rFonts w:ascii="宋体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FFCE1FD">
            <w:pPr>
              <w:pStyle w:val="7"/>
              <w:widowControl/>
              <w:jc w:val="center"/>
            </w:pPr>
          </w:p>
        </w:tc>
        <w:tc>
          <w:tcPr>
            <w:tcW w:w="1113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3766852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Straw</w:t>
            </w:r>
          </w:p>
        </w:tc>
        <w:tc>
          <w:tcPr>
            <w:tcW w:w="2149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08D0196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Nitrogen</w:t>
            </w:r>
          </w:p>
        </w:tc>
        <w:tc>
          <w:tcPr>
            <w:tcW w:w="2411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C828B44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Straw</w:t>
            </w:r>
            <w:r>
              <w:rPr>
                <w:rFonts w:hint="eastAsia"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×</w:t>
            </w:r>
            <w:r>
              <w:rPr>
                <w:rFonts w:hint="eastAsia"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Nitrogen</w:t>
            </w:r>
          </w:p>
        </w:tc>
      </w:tr>
      <w:tr w14:paraId="19C6C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290" w:type="dxa"/>
            <w:vMerge w:val="restart"/>
            <w:tcBorders>
              <w:top w:val="single" w:color="auto" w:sz="4" w:space="0"/>
              <w:left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90E6928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N</w:t>
            </w:r>
            <w:r>
              <w:rPr>
                <w:rFonts w:ascii="Times New Roman" w:hAnsi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/>
                <w:color w:val="000000"/>
              </w:rPr>
              <w:t>O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emission</w:t>
            </w:r>
          </w:p>
        </w:tc>
        <w:tc>
          <w:tcPr>
            <w:tcW w:w="870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8E4F341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i/>
                <w:iCs/>
                <w:color w:val="000000"/>
              </w:rPr>
              <w:t>Df</w:t>
            </w:r>
            <w:r>
              <w:rPr>
                <w:rFonts w:hint="eastAsia" w:ascii="Times New Roman" w:hAnsi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1113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254E8A4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49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E6DC839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411" w:type="dxa"/>
            <w:tcBorders>
              <w:top w:val="single" w:color="auto" w:sz="4" w:space="0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4A71B16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14:paraId="5AC584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290" w:type="dxa"/>
            <w:vMerge w:val="continue"/>
            <w:tcBorders>
              <w:top w:val="nil"/>
              <w:left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B13E174">
            <w:pPr>
              <w:rPr>
                <w:rFonts w:ascii="宋体"/>
                <w:sz w:val="24"/>
              </w:rPr>
            </w:pPr>
          </w:p>
        </w:tc>
        <w:tc>
          <w:tcPr>
            <w:tcW w:w="870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4BD0B90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i/>
                <w:iCs/>
                <w:color w:val="000000"/>
              </w:rPr>
              <w:t>F</w:t>
            </w:r>
          </w:p>
        </w:tc>
        <w:tc>
          <w:tcPr>
            <w:tcW w:w="1113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237166DC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83.6</w:t>
            </w:r>
          </w:p>
        </w:tc>
        <w:tc>
          <w:tcPr>
            <w:tcW w:w="2149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083CDB4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2411" w:type="dxa"/>
            <w:tcBorders>
              <w:top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B774CAD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6.05</w:t>
            </w:r>
          </w:p>
        </w:tc>
      </w:tr>
      <w:tr w14:paraId="4E1DB0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90" w:type="dxa"/>
            <w:vMerge w:val="continue"/>
            <w:tcBorders>
              <w:top w:val="nil"/>
              <w:left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672718A">
            <w:pPr>
              <w:rPr>
                <w:rFonts w:ascii="宋体"/>
                <w:sz w:val="24"/>
              </w:rPr>
            </w:pPr>
          </w:p>
        </w:tc>
        <w:tc>
          <w:tcPr>
            <w:tcW w:w="870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F7AB1F8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i/>
                <w:iCs/>
                <w:color w:val="000000"/>
              </w:rPr>
              <w:t>P</w:t>
            </w:r>
          </w:p>
        </w:tc>
        <w:tc>
          <w:tcPr>
            <w:tcW w:w="1113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10A5415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&lt;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0.001</w:t>
            </w:r>
          </w:p>
        </w:tc>
        <w:tc>
          <w:tcPr>
            <w:tcW w:w="2149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4486D10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&lt;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0.001</w:t>
            </w:r>
          </w:p>
        </w:tc>
        <w:tc>
          <w:tcPr>
            <w:tcW w:w="2411" w:type="dxa"/>
            <w:tcBorders>
              <w:top w:val="nil"/>
              <w:bottom w:val="single" w:color="auto" w:sz="4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98CEAF0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0.002</w:t>
            </w:r>
          </w:p>
        </w:tc>
      </w:tr>
    </w:tbl>
    <w:p w14:paraId="6416C02F">
      <w:r>
        <w:br w:type="page"/>
      </w:r>
    </w:p>
    <w:p w14:paraId="57D7CA3A">
      <w:pPr>
        <w:spacing w:line="360" w:lineRule="auto"/>
        <w:jc w:val="center"/>
        <w:rPr>
          <w:rFonts w:ascii="Times New Roman" w:hAnsi="Times New Roman" w:cs="Segoe UI"/>
          <w:sz w:val="24"/>
          <w:shd w:val="clear" w:color="auto" w:fill="FFFFFF"/>
        </w:rPr>
      </w:pPr>
      <w:r>
        <w:rPr>
          <w:rFonts w:ascii="Times New Roman" w:hAnsi="Times New Roman" w:cs="Segoe UI"/>
          <w:b/>
          <w:bCs/>
          <w:sz w:val="24"/>
          <w:shd w:val="clear" w:color="auto" w:fill="FFFFFF"/>
        </w:rPr>
        <w:t xml:space="preserve">Table S4. </w:t>
      </w:r>
      <w:r>
        <w:rPr>
          <w:rFonts w:hint="eastAsia" w:ascii="Times New Roman" w:hAnsi="Times New Roman" w:cs="Segoe UI"/>
          <w:sz w:val="24"/>
          <w:shd w:val="clear" w:color="auto" w:fill="FFFFFF"/>
        </w:rPr>
        <w:t>Results of regression analysis to assess the significance of associations between N</w:t>
      </w:r>
      <w:r>
        <w:rPr>
          <w:rFonts w:hint="eastAsia" w:ascii="Times New Roman" w:hAnsi="Times New Roman" w:cs="Segoe UI"/>
          <w:sz w:val="24"/>
          <w:shd w:val="clear" w:color="auto" w:fill="FFFFFF"/>
          <w:vertAlign w:val="subscript"/>
        </w:rPr>
        <w:t>2</w:t>
      </w:r>
      <w:r>
        <w:rPr>
          <w:rFonts w:hint="eastAsia" w:ascii="Times New Roman" w:hAnsi="Times New Roman" w:cs="Segoe UI"/>
          <w:sz w:val="24"/>
          <w:shd w:val="clear" w:color="auto" w:fill="FFFFFF"/>
        </w:rPr>
        <w:t>O flux (</w:t>
      </w:r>
      <w:r>
        <w:rPr>
          <w:rFonts w:ascii="Times New Roman" w:hAnsi="Times New Roman" w:cs="Segoe UI"/>
          <w:i/>
          <w:iCs/>
          <w:sz w:val="24"/>
          <w:shd w:val="clear" w:color="auto" w:fill="FFFFFF"/>
        </w:rPr>
        <w:t>y</w:t>
      </w:r>
      <w:r>
        <w:rPr>
          <w:rFonts w:hint="eastAsia" w:ascii="Times New Roman" w:hAnsi="Times New Roman" w:cs="Segoe UI"/>
          <w:sz w:val="24"/>
          <w:shd w:val="clear" w:color="auto" w:fill="FFFFFF"/>
        </w:rPr>
        <w:t>) and soil characteristics or abundance of functional genes of N</w:t>
      </w:r>
      <w:r>
        <w:rPr>
          <w:rFonts w:hint="eastAsia" w:ascii="Times New Roman" w:hAnsi="Times New Roman" w:cs="Segoe UI"/>
          <w:sz w:val="24"/>
          <w:shd w:val="clear" w:color="auto" w:fill="FFFFFF"/>
          <w:vertAlign w:val="subscript"/>
        </w:rPr>
        <w:t>2</w:t>
      </w:r>
      <w:r>
        <w:rPr>
          <w:rFonts w:hint="eastAsia" w:ascii="Times New Roman" w:hAnsi="Times New Roman" w:cs="Segoe UI"/>
          <w:sz w:val="24"/>
          <w:shd w:val="clear" w:color="auto" w:fill="FFFFFF"/>
        </w:rPr>
        <w:t>O-forming and reducing microorganisms (</w:t>
      </w:r>
      <w:r>
        <w:rPr>
          <w:rFonts w:ascii="Times New Roman" w:hAnsi="Times New Roman" w:cs="Segoe UI"/>
          <w:i/>
          <w:iCs/>
          <w:sz w:val="24"/>
          <w:shd w:val="clear" w:color="auto" w:fill="FFFFFF"/>
        </w:rPr>
        <w:t>x</w:t>
      </w:r>
      <w:r>
        <w:rPr>
          <w:rFonts w:hint="eastAsia" w:ascii="Times New Roman" w:hAnsi="Times New Roman" w:cs="Segoe UI"/>
          <w:sz w:val="24"/>
          <w:shd w:val="clear" w:color="auto" w:fill="FFFFFF"/>
        </w:rPr>
        <w:t>) on day 90</w:t>
      </w:r>
    </w:p>
    <w:tbl>
      <w:tblPr>
        <w:tblStyle w:val="9"/>
        <w:tblW w:w="521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0"/>
        <w:gridCol w:w="3198"/>
        <w:gridCol w:w="1328"/>
        <w:gridCol w:w="959"/>
        <w:gridCol w:w="1265"/>
      </w:tblGrid>
      <w:tr w14:paraId="09D010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198" w:type="pct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C75F647">
            <w:pPr>
              <w:pStyle w:val="7"/>
              <w:widowControl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Soil characteristics</w:t>
            </w:r>
          </w:p>
        </w:tc>
        <w:tc>
          <w:tcPr>
            <w:tcW w:w="1799" w:type="pct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475C827">
            <w:pPr>
              <w:pStyle w:val="7"/>
              <w:widowControl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Regression equation</w:t>
            </w:r>
          </w:p>
        </w:tc>
        <w:tc>
          <w:tcPr>
            <w:tcW w:w="748" w:type="pct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58C4926">
            <w:pPr>
              <w:pStyle w:val="7"/>
              <w:widowControl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R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value</w:t>
            </w:r>
          </w:p>
        </w:tc>
        <w:tc>
          <w:tcPr>
            <w:tcW w:w="540" w:type="pct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1DF0D80">
            <w:pPr>
              <w:pStyle w:val="7"/>
              <w:widowControl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F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value</w:t>
            </w:r>
          </w:p>
        </w:tc>
        <w:tc>
          <w:tcPr>
            <w:tcW w:w="712" w:type="pct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515A10B">
            <w:pPr>
              <w:pStyle w:val="7"/>
              <w:widowControl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lang w:val="en-US" w:eastAsia="zh-CN"/>
              </w:rPr>
              <w:t>p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value</w:t>
            </w:r>
          </w:p>
        </w:tc>
      </w:tr>
      <w:tr w14:paraId="6926BC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98" w:type="pct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E036550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SOC</w:t>
            </w:r>
          </w:p>
        </w:tc>
        <w:tc>
          <w:tcPr>
            <w:tcW w:w="1799" w:type="pct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3526B35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---</w:t>
            </w:r>
          </w:p>
        </w:tc>
        <w:tc>
          <w:tcPr>
            <w:tcW w:w="748" w:type="pct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BE78C1E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0.136</w:t>
            </w:r>
          </w:p>
        </w:tc>
        <w:tc>
          <w:tcPr>
            <w:tcW w:w="540" w:type="pct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CF7601E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2.08</w:t>
            </w:r>
          </w:p>
        </w:tc>
        <w:tc>
          <w:tcPr>
            <w:tcW w:w="712" w:type="pct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92F5D9A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0.145</w:t>
            </w:r>
          </w:p>
        </w:tc>
      </w:tr>
      <w:tr w14:paraId="7E073E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E250459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MBC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D248CF2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=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0.016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>²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6.119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+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698.84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E3FE5BF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0.482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45DB551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13.05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A01B19B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&lt;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0.001</w:t>
            </w:r>
          </w:p>
        </w:tc>
      </w:tr>
      <w:tr w14:paraId="31BEED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6EB3CBD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SOC/MBC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98620A9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=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274e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hint="eastAsia" w:ascii="Times New Roman" w:hAnsi="Times New Roman" w:eastAsia="宋体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28.8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99FD2ED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0.715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36BBEA4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70.11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77D6CAC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&lt;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0.001</w:t>
            </w:r>
          </w:p>
        </w:tc>
      </w:tr>
      <w:tr w14:paraId="62D5DF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49DF0BB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NH</w:t>
            </w:r>
            <w:r>
              <w:rPr>
                <w:rFonts w:ascii="Times New Roman" w:hAnsi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>+</w:t>
            </w:r>
            <w:r>
              <w:rPr>
                <w:rFonts w:ascii="Times New Roman" w:hAnsi="Times New Roman"/>
                <w:color w:val="000000"/>
              </w:rPr>
              <w:t>-N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A28E271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---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D83DED8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0.012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708DD7C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0.34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A25AFCC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0.564</w:t>
            </w:r>
          </w:p>
        </w:tc>
      </w:tr>
      <w:tr w14:paraId="74AA6A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1DCD8EA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NO</w:t>
            </w:r>
            <w:r>
              <w:rPr>
                <w:rFonts w:ascii="Times New Roman" w:hAnsi="Times New Roman"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宋体"/>
                <w:b/>
                <w:bCs/>
                <w:vertAlign w:val="superscript"/>
              </w:rPr>
              <w:t>−</w:t>
            </w:r>
            <w:r>
              <w:rPr>
                <w:rFonts w:ascii="Times New Roman" w:hAnsi="Times New Roman"/>
                <w:color w:val="000000"/>
              </w:rPr>
              <w:t>-N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07A5522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=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1.298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+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49.11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020E82D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0.284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977AC44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11.13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F185CBC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0.002</w:t>
            </w:r>
          </w:p>
        </w:tc>
      </w:tr>
      <w:tr w14:paraId="607534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8CC8B2E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MNN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A042D10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=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274e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hint="eastAsia" w:ascii="Times New Roman" w:hAnsi="Times New Roman" w:eastAsia="宋体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0.265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D41B859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0.618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D49F9A3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45.7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9FAAABF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&lt;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0.001</w:t>
            </w:r>
          </w:p>
        </w:tc>
      </w:tr>
      <w:tr w14:paraId="0564E3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B70FD20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 xml:space="preserve">AOA </w:t>
            </w:r>
            <w:r>
              <w:rPr>
                <w:rFonts w:hint="eastAsia" w:ascii="Times New Roman" w:hAnsi="Times New Roman" w:eastAsia="宋体"/>
                <w:i/>
                <w:iCs/>
                <w:szCs w:val="32"/>
              </w:rPr>
              <w:t xml:space="preserve">amoA </w:t>
            </w:r>
            <w:r>
              <w:rPr>
                <w:rFonts w:ascii="Times New Roman" w:hAnsi="Times New Roman"/>
                <w:color w:val="000000"/>
              </w:rPr>
              <w:t>gene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(×10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>8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8AB790A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---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54F21E4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0.108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7D3F694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3.38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9A761EF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0.076</w:t>
            </w:r>
          </w:p>
        </w:tc>
      </w:tr>
      <w:tr w14:paraId="1F891E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A717DEF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 xml:space="preserve">AOB </w:t>
            </w:r>
            <w:r>
              <w:rPr>
                <w:rFonts w:hint="eastAsia" w:ascii="Times New Roman" w:hAnsi="Times New Roman" w:eastAsia="宋体"/>
                <w:i/>
                <w:iCs/>
                <w:szCs w:val="32"/>
              </w:rPr>
              <w:t xml:space="preserve">amoA </w:t>
            </w:r>
            <w:r>
              <w:rPr>
                <w:rFonts w:ascii="Times New Roman" w:hAnsi="Times New Roman"/>
                <w:color w:val="000000"/>
              </w:rPr>
              <w:t>gene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(×10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>8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EF8F5B1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=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15.63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+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68.60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FF66628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0.328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ABA0B15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13.64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2E481CE4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0.001</w:t>
            </w:r>
          </w:p>
        </w:tc>
      </w:tr>
      <w:tr w14:paraId="5C3B54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A6DE0B3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</w:rPr>
              <w:t>n</w:t>
            </w:r>
            <w:r>
              <w:rPr>
                <w:rFonts w:ascii="Times New Roman" w:hAnsi="Times New Roman"/>
                <w:i/>
                <w:iCs/>
                <w:color w:val="000000"/>
              </w:rPr>
              <w:t>irK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gene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(×10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>8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4522645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---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2E92E67B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0.087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4A0C61D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2.51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6DD20AD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0.201</w:t>
            </w:r>
          </w:p>
        </w:tc>
      </w:tr>
      <w:tr w14:paraId="535028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B137FCF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</w:rPr>
              <w:t>n</w:t>
            </w:r>
            <w:r>
              <w:rPr>
                <w:rFonts w:ascii="Times New Roman" w:hAnsi="Times New Roman"/>
                <w:i/>
                <w:iCs/>
                <w:color w:val="000000"/>
              </w:rPr>
              <w:t>irS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gene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(×10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>8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61B1E49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---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965BA8D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0.008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EB27982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0.220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FEC323C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0.640</w:t>
            </w:r>
          </w:p>
        </w:tc>
      </w:tr>
      <w:tr w14:paraId="7734B2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9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540B7FE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</w:rPr>
              <w:t>nos</w:t>
            </w:r>
            <w:r>
              <w:rPr>
                <w:rFonts w:ascii="Times New Roman" w:hAnsi="Times New Roman"/>
                <w:i/>
                <w:iCs/>
                <w:color w:val="000000"/>
              </w:rPr>
              <w:t>Z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gene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(×10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>8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799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EDF5573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---</w:t>
            </w:r>
          </w:p>
        </w:tc>
        <w:tc>
          <w:tcPr>
            <w:tcW w:w="748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8DE163D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0.089</w:t>
            </w:r>
          </w:p>
        </w:tc>
        <w:tc>
          <w:tcPr>
            <w:tcW w:w="540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B07E67F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2.74</w:t>
            </w:r>
          </w:p>
        </w:tc>
        <w:tc>
          <w:tcPr>
            <w:tcW w:w="712" w:type="pct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92262CA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0.104</w:t>
            </w:r>
          </w:p>
        </w:tc>
      </w:tr>
      <w:tr w14:paraId="1D2E57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198" w:type="pct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3BA73D68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nosZ/(nirS+nirK)</w:t>
            </w:r>
          </w:p>
        </w:tc>
        <w:tc>
          <w:tcPr>
            <w:tcW w:w="1799" w:type="pct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19EB97E0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---</w:t>
            </w:r>
          </w:p>
        </w:tc>
        <w:tc>
          <w:tcPr>
            <w:tcW w:w="748" w:type="pct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7E2E1EB9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0.019</w:t>
            </w:r>
          </w:p>
        </w:tc>
        <w:tc>
          <w:tcPr>
            <w:tcW w:w="540" w:type="pct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4A5DA1CF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0.54</w:t>
            </w:r>
          </w:p>
        </w:tc>
        <w:tc>
          <w:tcPr>
            <w:tcW w:w="712" w:type="pct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05154CC2">
            <w:pPr>
              <w:pStyle w:val="7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0.468</w:t>
            </w:r>
          </w:p>
        </w:tc>
      </w:tr>
    </w:tbl>
    <w:p w14:paraId="15E6D108">
      <w:pPr>
        <w:rPr>
          <w:rFonts w:ascii="Times New Roman" w:hAnsi="Times New Roman" w:cs="Segoe UI"/>
          <w:sz w:val="24"/>
          <w:shd w:val="clear" w:color="auto" w:fill="FFFFFF"/>
        </w:rPr>
      </w:pPr>
      <w:r>
        <w:rPr>
          <w:rFonts w:hint="eastAsia" w:ascii="Times New Roman" w:hAnsi="Times New Roman" w:cs="Segoe UI"/>
          <w:sz w:val="24"/>
          <w:shd w:val="clear" w:color="auto" w:fill="FFFFFF"/>
        </w:rPr>
        <w:br w:type="page"/>
      </w:r>
    </w:p>
    <w:p w14:paraId="52EDEE6E">
      <w:pPr>
        <w:spacing w:line="360" w:lineRule="auto"/>
        <w:jc w:val="center"/>
        <w:rPr>
          <w:rFonts w:ascii="Times New Roman" w:hAnsi="Times New Roman" w:cs="Segoe UI"/>
          <w:sz w:val="24"/>
          <w:shd w:val="clear" w:color="auto" w:fill="FFFFFF"/>
        </w:rPr>
      </w:pP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Table S5.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Spearman correlations between abundance of functional genes of N</w:t>
      </w:r>
      <w:r>
        <w:rPr>
          <w:rFonts w:hint="eastAsia" w:ascii="Times New Roman" w:hAnsi="Times New Roman" w:cs="Segoe UI"/>
          <w:sz w:val="24"/>
          <w:shd w:val="clear" w:color="auto" w:fill="FFFFFF"/>
          <w:vertAlign w:val="subscript"/>
        </w:rPr>
        <w:t>2</w:t>
      </w:r>
      <w:r>
        <w:rPr>
          <w:rFonts w:hint="eastAsia" w:ascii="Times New Roman" w:hAnsi="Times New Roman" w:cs="Segoe UI"/>
          <w:sz w:val="24"/>
          <w:shd w:val="clear" w:color="auto" w:fill="FFFFFF"/>
        </w:rPr>
        <w:t>O-forming and reducing microorganisms and soil biochemical properties on day 90</w:t>
      </w:r>
    </w:p>
    <w:tbl>
      <w:tblPr>
        <w:tblStyle w:val="9"/>
        <w:tblW w:w="9098" w:type="dxa"/>
        <w:tblInd w:w="-26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4"/>
        <w:gridCol w:w="1045"/>
        <w:gridCol w:w="1135"/>
        <w:gridCol w:w="1025"/>
        <w:gridCol w:w="1058"/>
        <w:gridCol w:w="1386"/>
        <w:gridCol w:w="1265"/>
      </w:tblGrid>
      <w:tr w14:paraId="760F31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84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CE0D997">
            <w:pPr>
              <w:pStyle w:val="7"/>
              <w:widowControl/>
              <w:jc w:val="center"/>
            </w:pPr>
          </w:p>
        </w:tc>
        <w:tc>
          <w:tcPr>
            <w:tcW w:w="1045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908315A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NH</w:t>
            </w:r>
            <w:r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+</w:t>
            </w:r>
            <w:r>
              <w:rPr>
                <w:rFonts w:ascii="Times New Roman" w:hAnsi="Times New Roman"/>
                <w:b/>
                <w:bCs/>
                <w:color w:val="000000"/>
              </w:rPr>
              <w:t>-N</w:t>
            </w:r>
          </w:p>
        </w:tc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A5A05B7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NO</w:t>
            </w:r>
            <w:r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宋体"/>
                <w:b/>
                <w:bCs/>
                <w:vertAlign w:val="superscript"/>
              </w:rPr>
              <w:t>−</w:t>
            </w:r>
            <w:r>
              <w:rPr>
                <w:rFonts w:ascii="Times New Roman" w:hAnsi="Times New Roman"/>
                <w:b/>
                <w:bCs/>
                <w:color w:val="000000"/>
              </w:rPr>
              <w:t>-N</w:t>
            </w:r>
          </w:p>
        </w:tc>
        <w:tc>
          <w:tcPr>
            <w:tcW w:w="1025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A9A03EA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SOC</w:t>
            </w:r>
          </w:p>
        </w:tc>
        <w:tc>
          <w:tcPr>
            <w:tcW w:w="1058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194F7F4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MBC</w:t>
            </w:r>
          </w:p>
        </w:tc>
        <w:tc>
          <w:tcPr>
            <w:tcW w:w="1386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AF94492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MBC/SOC</w:t>
            </w:r>
          </w:p>
        </w:tc>
        <w:tc>
          <w:tcPr>
            <w:tcW w:w="1265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C89BD6">
            <w:pPr>
              <w:pStyle w:val="7"/>
              <w:widowControl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MNN</w:t>
            </w:r>
          </w:p>
        </w:tc>
      </w:tr>
      <w:tr w14:paraId="692C62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84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FF9C6CE">
            <w:pPr>
              <w:pStyle w:val="7"/>
              <w:widowControl/>
              <w:jc w:val="center"/>
            </w:pPr>
            <w:r>
              <w:rPr>
                <w:rFonts w:hint="eastAsia" w:ascii="Times New Roman" w:hAnsi="Times New Roman"/>
                <w:color w:val="000000"/>
              </w:rPr>
              <w:t>AOA</w:t>
            </w:r>
            <w:r>
              <w:rPr>
                <w:rFonts w:hint="eastAsia" w:ascii="Times New Roman" w:hAnsi="Times New Roman"/>
                <w:i/>
                <w:iCs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i/>
                <w:iCs/>
                <w:szCs w:val="22"/>
              </w:rPr>
              <w:t xml:space="preserve">amoA </w:t>
            </w:r>
            <w:r>
              <w:rPr>
                <w:rFonts w:ascii="Times New Roman" w:hAnsi="Times New Roman"/>
                <w:color w:val="000000"/>
              </w:rPr>
              <w:t>gene</w:t>
            </w:r>
          </w:p>
        </w:tc>
        <w:tc>
          <w:tcPr>
            <w:tcW w:w="1045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C4C91B1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0.290</w:t>
            </w:r>
          </w:p>
        </w:tc>
        <w:tc>
          <w:tcPr>
            <w:tcW w:w="1135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07E30BB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0.120</w:t>
            </w:r>
          </w:p>
        </w:tc>
        <w:tc>
          <w:tcPr>
            <w:tcW w:w="1025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4205279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0.140</w:t>
            </w:r>
          </w:p>
        </w:tc>
        <w:tc>
          <w:tcPr>
            <w:tcW w:w="1058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708ABF2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0.280*</w:t>
            </w:r>
          </w:p>
        </w:tc>
        <w:tc>
          <w:tcPr>
            <w:tcW w:w="1386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2B94166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0.200</w:t>
            </w:r>
          </w:p>
        </w:tc>
        <w:tc>
          <w:tcPr>
            <w:tcW w:w="1265" w:type="dxa"/>
            <w:tcBorders>
              <w:top w:val="single" w:color="auto" w:sz="4" w:space="0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80EC1C4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0.270*</w:t>
            </w:r>
          </w:p>
        </w:tc>
      </w:tr>
      <w:tr w14:paraId="09007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84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6D0A004">
            <w:pPr>
              <w:pStyle w:val="7"/>
              <w:widowControl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AOB </w:t>
            </w:r>
            <w:r>
              <w:rPr>
                <w:rFonts w:hint="eastAsia" w:ascii="Times New Roman" w:hAnsi="Times New Roman"/>
                <w:i/>
                <w:iCs/>
                <w:szCs w:val="22"/>
              </w:rPr>
              <w:t xml:space="preserve">amoA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</w:tc>
        <w:tc>
          <w:tcPr>
            <w:tcW w:w="104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C979803">
            <w:pPr>
              <w:pStyle w:val="7"/>
              <w:widowControl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0.053</w:t>
            </w:r>
          </w:p>
        </w:tc>
        <w:tc>
          <w:tcPr>
            <w:tcW w:w="113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EAF8DC6">
            <w:pPr>
              <w:pStyle w:val="7"/>
              <w:widowControl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0.730***</w:t>
            </w:r>
          </w:p>
        </w:tc>
        <w:tc>
          <w:tcPr>
            <w:tcW w:w="102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FDEA0F2">
            <w:pPr>
              <w:pStyle w:val="7"/>
              <w:widowControl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0.460*</w:t>
            </w:r>
          </w:p>
        </w:tc>
        <w:tc>
          <w:tcPr>
            <w:tcW w:w="1058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AD150B6">
            <w:pPr>
              <w:pStyle w:val="7"/>
              <w:widowControl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0.420*</w:t>
            </w:r>
          </w:p>
        </w:tc>
        <w:tc>
          <w:tcPr>
            <w:tcW w:w="1386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B122610">
            <w:pPr>
              <w:pStyle w:val="7"/>
              <w:widowControl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0.520**</w:t>
            </w:r>
          </w:p>
        </w:tc>
        <w:tc>
          <w:tcPr>
            <w:tcW w:w="126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24B2CBF">
            <w:pPr>
              <w:pStyle w:val="7"/>
              <w:widowControl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0.510***</w:t>
            </w:r>
          </w:p>
        </w:tc>
      </w:tr>
      <w:tr w14:paraId="69BCA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84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29AF85C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i/>
                <w:iCs/>
                <w:color w:val="000000"/>
              </w:rPr>
              <w:t>nirS</w:t>
            </w:r>
          </w:p>
        </w:tc>
        <w:tc>
          <w:tcPr>
            <w:tcW w:w="104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E36CFCB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0.300</w:t>
            </w:r>
          </w:p>
        </w:tc>
        <w:tc>
          <w:tcPr>
            <w:tcW w:w="113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7CE67A6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0.320</w:t>
            </w:r>
          </w:p>
        </w:tc>
        <w:tc>
          <w:tcPr>
            <w:tcW w:w="102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246B4165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0.067</w:t>
            </w:r>
          </w:p>
        </w:tc>
        <w:tc>
          <w:tcPr>
            <w:tcW w:w="1058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1B87D5C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0.260</w:t>
            </w:r>
          </w:p>
        </w:tc>
        <w:tc>
          <w:tcPr>
            <w:tcW w:w="1386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DADF8B4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0.360*</w:t>
            </w:r>
          </w:p>
        </w:tc>
        <w:tc>
          <w:tcPr>
            <w:tcW w:w="126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62AF9C3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0.260</w:t>
            </w:r>
          </w:p>
        </w:tc>
      </w:tr>
      <w:tr w14:paraId="378AA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84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6930BFE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i/>
                <w:iCs/>
                <w:color w:val="000000"/>
              </w:rPr>
              <w:t>nirK</w:t>
            </w:r>
          </w:p>
        </w:tc>
        <w:tc>
          <w:tcPr>
            <w:tcW w:w="104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23FB317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113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0C64C73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0.180</w:t>
            </w:r>
          </w:p>
        </w:tc>
        <w:tc>
          <w:tcPr>
            <w:tcW w:w="102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26FC27B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0.270</w:t>
            </w:r>
          </w:p>
        </w:tc>
        <w:tc>
          <w:tcPr>
            <w:tcW w:w="1058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4848EFA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0.110</w:t>
            </w:r>
          </w:p>
        </w:tc>
        <w:tc>
          <w:tcPr>
            <w:tcW w:w="1386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C6DB955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0.100</w:t>
            </w:r>
          </w:p>
        </w:tc>
        <w:tc>
          <w:tcPr>
            <w:tcW w:w="126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86BB84F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0.170</w:t>
            </w:r>
          </w:p>
        </w:tc>
      </w:tr>
      <w:tr w14:paraId="173E2E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84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CE936A9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i/>
                <w:iCs/>
                <w:color w:val="000000"/>
              </w:rPr>
              <w:t>nosZ</w:t>
            </w:r>
          </w:p>
        </w:tc>
        <w:tc>
          <w:tcPr>
            <w:tcW w:w="104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9E2D1AD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0.000</w:t>
            </w:r>
          </w:p>
        </w:tc>
        <w:tc>
          <w:tcPr>
            <w:tcW w:w="113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0D92C35A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0.460</w:t>
            </w:r>
          </w:p>
        </w:tc>
        <w:tc>
          <w:tcPr>
            <w:tcW w:w="102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25CFD94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0.380</w:t>
            </w:r>
          </w:p>
        </w:tc>
        <w:tc>
          <w:tcPr>
            <w:tcW w:w="1058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4790536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0.170</w:t>
            </w:r>
          </w:p>
        </w:tc>
        <w:tc>
          <w:tcPr>
            <w:tcW w:w="1386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1C9B86B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0.190</w:t>
            </w:r>
          </w:p>
        </w:tc>
        <w:tc>
          <w:tcPr>
            <w:tcW w:w="1265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2B4A581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0.330</w:t>
            </w:r>
          </w:p>
        </w:tc>
      </w:tr>
      <w:tr w14:paraId="3AA03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84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8674CA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i/>
                <w:iCs/>
                <w:color w:val="000000"/>
              </w:rPr>
              <w:t>nosZ</w:t>
            </w:r>
            <w:r>
              <w:rPr>
                <w:rFonts w:ascii="Times New Roman" w:hAnsi="Times New Roman"/>
                <w:color w:val="000000"/>
              </w:rPr>
              <w:t>/(</w:t>
            </w:r>
            <w:r>
              <w:rPr>
                <w:rFonts w:ascii="Times New Roman" w:hAnsi="Times New Roman"/>
                <w:i/>
                <w:iCs/>
                <w:color w:val="000000"/>
              </w:rPr>
              <w:t>nirS+nirK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45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C3B47A5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0.072</w:t>
            </w:r>
          </w:p>
        </w:tc>
        <w:tc>
          <w:tcPr>
            <w:tcW w:w="1135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9384BBF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0.210</w:t>
            </w:r>
          </w:p>
        </w:tc>
        <w:tc>
          <w:tcPr>
            <w:tcW w:w="1025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FBED12D">
            <w:pPr>
              <w:pStyle w:val="7"/>
              <w:widowControl/>
              <w:jc w:val="center"/>
            </w:pPr>
            <w:r>
              <w:rPr>
                <w:rFonts w:ascii="Times New Roman" w:hAnsi="Times New Roman"/>
                <w:color w:val="000000"/>
              </w:rPr>
              <w:t>0.200</w:t>
            </w:r>
          </w:p>
        </w:tc>
        <w:tc>
          <w:tcPr>
            <w:tcW w:w="1058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66B8FAD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0.270</w:t>
            </w:r>
          </w:p>
        </w:tc>
        <w:tc>
          <w:tcPr>
            <w:tcW w:w="1386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773C201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0.100</w:t>
            </w:r>
          </w:p>
        </w:tc>
        <w:tc>
          <w:tcPr>
            <w:tcW w:w="1265" w:type="dxa"/>
            <w:tcBorders>
              <w:top w:val="nil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E67842">
            <w:pPr>
              <w:pStyle w:val="7"/>
              <w:widowControl/>
              <w:jc w:val="center"/>
            </w:pPr>
            <w:r>
              <w:rPr>
                <w:rFonts w:ascii="Times New Roman" w:hAnsi="Times New Roman" w:eastAsia="宋体"/>
              </w:rPr>
              <w:t>−</w:t>
            </w:r>
            <w:r>
              <w:rPr>
                <w:rFonts w:ascii="Times New Roman" w:hAnsi="Times New Roman"/>
                <w:color w:val="000000"/>
              </w:rPr>
              <w:t>0.170</w:t>
            </w:r>
          </w:p>
        </w:tc>
      </w:tr>
    </w:tbl>
    <w:p w14:paraId="2EA8228C">
      <w:r>
        <w:rPr>
          <w:rFonts w:hint="eastAsia" w:ascii="Times New Roman" w:hAnsi="Times New Roman" w:cs="Segoe UI"/>
          <w:sz w:val="24"/>
          <w:shd w:val="clear" w:color="auto" w:fill="FFFFFF"/>
        </w:rPr>
        <w:br w:type="page"/>
      </w:r>
    </w:p>
    <w:p w14:paraId="03421959">
      <w:pPr>
        <w:spacing w:line="360" w:lineRule="auto"/>
      </w:pPr>
      <w:r>
        <w:drawing>
          <wp:inline distT="0" distB="0" distL="114300" distR="114300">
            <wp:extent cx="5269230" cy="2838450"/>
            <wp:effectExtent l="0" t="0" r="7620" b="0"/>
            <wp:docPr id="19" name="图片 19" descr="随机森林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随机森林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31F8F">
      <w:pPr>
        <w:spacing w:line="360" w:lineRule="auto"/>
        <w:rPr>
          <w:rFonts w:ascii="Times New Roman" w:hAnsi="Times New Roman" w:cs="Segoe UI"/>
          <w:sz w:val="24"/>
          <w:shd w:val="clear" w:color="auto" w:fill="FFFFFF"/>
        </w:rPr>
      </w:pPr>
      <w:r>
        <w:rPr>
          <w:rFonts w:ascii="Times New Roman" w:hAnsi="Times New Roman" w:eastAsia="宋体" w:cs="Times New Roman"/>
          <w:b/>
          <w:bCs/>
          <w:sz w:val="24"/>
        </w:rPr>
        <w:t>Fig. S1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cs="Segoe UI"/>
          <w:sz w:val="24"/>
          <w:shd w:val="clear" w:color="auto" w:fill="FFFFFF"/>
        </w:rPr>
        <w:t>Random forest variable importance models were used to predict the effects of denitrification gene abundance and nitrification gene abundance on cumulative N</w:t>
      </w:r>
      <w:r>
        <w:rPr>
          <w:rFonts w:hint="eastAsia" w:ascii="Times New Roman" w:hAnsi="Times New Roman" w:cs="Segoe UI"/>
          <w:sz w:val="24"/>
          <w:shd w:val="clear" w:color="auto" w:fill="FFFFFF"/>
          <w:vertAlign w:val="subscript"/>
        </w:rPr>
        <w:t>2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O emissions under low-N fertilizer </w:t>
      </w: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(a)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and high-N fertilizer </w:t>
      </w: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(b)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conditions (* </w:t>
      </w:r>
      <w:r>
        <w:rPr>
          <w:rFonts w:hint="eastAsia" w:ascii="Times New Roman" w:hAnsi="Times New Roman" w:cs="Segoe UI"/>
          <w:i/>
          <w:iCs/>
          <w:sz w:val="24"/>
          <w:shd w:val="clear" w:color="auto" w:fill="FFFFFF"/>
        </w:rPr>
        <w:t>p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&lt; 0.05, ** </w:t>
      </w:r>
      <w:r>
        <w:rPr>
          <w:rFonts w:hint="eastAsia" w:ascii="Times New Roman" w:hAnsi="Times New Roman" w:cs="Segoe UI"/>
          <w:i/>
          <w:iCs/>
          <w:sz w:val="24"/>
          <w:shd w:val="clear" w:color="auto" w:fill="FFFFFF"/>
        </w:rPr>
        <w:t>p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&lt; 0.01, ns indicates no significant difference).</w:t>
      </w:r>
    </w:p>
    <w:p w14:paraId="536E7B94">
      <w:r>
        <w:rPr>
          <w:rFonts w:hint="eastAsia" w:ascii="Times New Roman" w:hAnsi="Times New Roman" w:cs="Segoe UI"/>
          <w:sz w:val="24"/>
          <w:shd w:val="clear" w:color="auto" w:fill="FFFFFF"/>
        </w:rPr>
        <w:br w:type="page"/>
      </w:r>
    </w:p>
    <w:p w14:paraId="5087CA4F">
      <w:pPr>
        <w:spacing w:line="360" w:lineRule="auto"/>
      </w:pPr>
      <w:r>
        <w:rPr>
          <w:rFonts w:hint="eastAsia"/>
        </w:rPr>
        <w:drawing>
          <wp:inline distT="0" distB="0" distL="114300" distR="114300">
            <wp:extent cx="5269865" cy="2143760"/>
            <wp:effectExtent l="0" t="0" r="6985" b="8890"/>
            <wp:docPr id="21" name="图片 21" descr="群落多样性指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群落多样性指数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927F9">
      <w:pPr>
        <w:spacing w:line="360" w:lineRule="auto"/>
        <w:rPr>
          <w:rFonts w:ascii="Times New Roman" w:hAnsi="Times New Roman" w:cs="Segoe UI"/>
          <w:sz w:val="24"/>
          <w:shd w:val="clear" w:color="auto" w:fill="FFFFFF"/>
        </w:rPr>
      </w:pP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Fig. S2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After the cultivation process was completed, the diversity index was calculated by pyrosequencing the bacterial AOB sequences in the soil under different straw application methods under low- or high-N conditions. Different letters indicated significant differences between treatments (</w:t>
      </w:r>
      <w:r>
        <w:rPr>
          <w:rFonts w:hint="eastAsia" w:ascii="Times New Roman" w:hAnsi="Times New Roman" w:cs="Segoe UI"/>
          <w:i/>
          <w:iCs/>
          <w:sz w:val="24"/>
          <w:shd w:val="clear" w:color="auto" w:fill="FFFFFF"/>
        </w:rPr>
        <w:t>p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&lt; 0.05). The vertical lines represent the standard error of the mean (</w:t>
      </w:r>
      <w:r>
        <w:rPr>
          <w:rFonts w:ascii="Times New Roman" w:hAnsi="Times New Roman" w:cs="Segoe UI"/>
          <w:i/>
          <w:iCs/>
          <w:sz w:val="24"/>
          <w:shd w:val="clear" w:color="auto" w:fill="FFFFFF"/>
        </w:rPr>
        <w:t>n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 = 3).</w:t>
      </w:r>
    </w:p>
    <w:p w14:paraId="512F24D1">
      <w:r>
        <w:rPr>
          <w:rFonts w:hint="eastAsia" w:ascii="Times New Roman" w:hAnsi="Times New Roman" w:cs="Segoe UI"/>
          <w:sz w:val="24"/>
          <w:shd w:val="clear" w:color="auto" w:fill="FFFFFF"/>
        </w:rPr>
        <w:br w:type="page"/>
      </w:r>
    </w:p>
    <w:p w14:paraId="18A449F5">
      <w:pPr>
        <w:spacing w:line="360" w:lineRule="auto"/>
      </w:pPr>
      <w:r>
        <w:rPr>
          <w:rFonts w:hint="eastAsia"/>
        </w:rPr>
        <w:drawing>
          <wp:inline distT="0" distB="0" distL="114300" distR="114300">
            <wp:extent cx="5326380" cy="5363845"/>
            <wp:effectExtent l="0" t="0" r="7620" b="635"/>
            <wp:docPr id="3" name="图片 3" descr="群落heatmap图-0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群落heatmap图-01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536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60249">
      <w:pPr>
        <w:spacing w:line="360" w:lineRule="auto"/>
        <w:rPr>
          <w:rFonts w:ascii="Times New Roman" w:hAnsi="Times New Roman" w:cs="Segoe UI"/>
          <w:sz w:val="24"/>
          <w:shd w:val="clear" w:color="auto" w:fill="FFFFFF"/>
        </w:rPr>
      </w:pP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Fig. S3</w:t>
      </w:r>
      <w:r>
        <w:rPr>
          <w:rFonts w:ascii="Times New Roman" w:hAnsi="Times New Roman" w:cs="Segoe UI"/>
          <w:sz w:val="24"/>
          <w:shd w:val="clear" w:color="auto" w:fill="FFFFFF"/>
        </w:rPr>
        <w:t xml:space="preserve"> Heatmap of AOB </w:t>
      </w:r>
      <w:r>
        <w:rPr>
          <w:rFonts w:hint="eastAsia" w:ascii="Times New Roman" w:hAnsi="Times New Roman" w:cs="Segoe UI"/>
          <w:sz w:val="24"/>
          <w:shd w:val="clear" w:color="auto" w:fill="FFFFFF"/>
        </w:rPr>
        <w:t xml:space="preserve">OTU </w:t>
      </w:r>
      <w:r>
        <w:rPr>
          <w:rFonts w:ascii="Times New Roman" w:hAnsi="Times New Roman" w:cs="Segoe UI"/>
          <w:sz w:val="24"/>
          <w:shd w:val="clear" w:color="auto" w:fill="FFFFFF"/>
        </w:rPr>
        <w:t xml:space="preserve">sequences retrieved from soil under different straw application methods </w:t>
      </w:r>
      <w:r>
        <w:rPr>
          <w:rFonts w:hint="eastAsia" w:ascii="Times New Roman" w:hAnsi="Times New Roman" w:cs="Segoe UI"/>
          <w:sz w:val="24"/>
          <w:shd w:val="clear" w:color="auto" w:fill="FFFFFF"/>
        </w:rPr>
        <w:t>on day</w:t>
      </w:r>
      <w:r>
        <w:rPr>
          <w:rFonts w:ascii="Times New Roman" w:hAnsi="Times New Roman" w:cs="Segoe UI"/>
          <w:sz w:val="24"/>
          <w:shd w:val="clear" w:color="auto" w:fill="FFFFFF"/>
        </w:rPr>
        <w:t xml:space="preserve"> 90 under low</w:t>
      </w:r>
      <w:r>
        <w:rPr>
          <w:rFonts w:hint="eastAsia" w:ascii="Times New Roman" w:hAnsi="Times New Roman" w:cs="Segoe UI"/>
          <w:sz w:val="24"/>
          <w:shd w:val="clear" w:color="auto" w:fill="FFFFFF"/>
        </w:rPr>
        <w:t>-</w:t>
      </w:r>
      <w:r>
        <w:rPr>
          <w:rFonts w:ascii="Times New Roman" w:hAnsi="Times New Roman" w:cs="Segoe UI"/>
          <w:sz w:val="24"/>
          <w:shd w:val="clear" w:color="auto" w:fill="FFFFFF"/>
        </w:rPr>
        <w:t xml:space="preserve"> or high</w:t>
      </w:r>
      <w:r>
        <w:rPr>
          <w:rFonts w:hint="eastAsia" w:ascii="Times New Roman" w:hAnsi="Times New Roman" w:cs="Segoe UI"/>
          <w:sz w:val="24"/>
          <w:shd w:val="clear" w:color="auto" w:fill="FFFFFF"/>
        </w:rPr>
        <w:t>-N</w:t>
      </w:r>
      <w:r>
        <w:rPr>
          <w:rFonts w:ascii="Times New Roman" w:hAnsi="Times New Roman" w:cs="Segoe UI"/>
          <w:sz w:val="24"/>
          <w:shd w:val="clear" w:color="auto" w:fill="FFFFFF"/>
        </w:rPr>
        <w:t xml:space="preserve"> conditions. The heatmap shows the 10 most abundant </w:t>
      </w:r>
      <w:r>
        <w:rPr>
          <w:rFonts w:hint="eastAsia" w:ascii="Times New Roman" w:hAnsi="Times New Roman" w:cs="Segoe UI"/>
          <w:sz w:val="24"/>
          <w:shd w:val="clear" w:color="auto" w:fill="FFFFFF"/>
        </w:rPr>
        <w:t>OTU</w:t>
      </w:r>
      <w:r>
        <w:rPr>
          <w:rFonts w:ascii="Times New Roman" w:hAnsi="Times New Roman" w:cs="Segoe UI"/>
          <w:sz w:val="24"/>
          <w:shd w:val="clear" w:color="auto" w:fill="FFFFFF"/>
        </w:rPr>
        <w:t>s; the greater the relative abundance of the O</w:t>
      </w:r>
      <w:r>
        <w:rPr>
          <w:rFonts w:hint="eastAsia" w:ascii="Times New Roman" w:hAnsi="Times New Roman" w:cs="Segoe UI"/>
          <w:sz w:val="24"/>
          <w:shd w:val="clear" w:color="auto" w:fill="FFFFFF"/>
        </w:rPr>
        <w:t>TU</w:t>
      </w:r>
      <w:r>
        <w:rPr>
          <w:rFonts w:ascii="Times New Roman" w:hAnsi="Times New Roman" w:cs="Segoe UI"/>
          <w:sz w:val="24"/>
          <w:shd w:val="clear" w:color="auto" w:fill="FFFFFF"/>
        </w:rPr>
        <w:t>, the darker the color.</w:t>
      </w:r>
    </w:p>
    <w:p w14:paraId="6E8292E4">
      <w:r>
        <w:rPr>
          <w:rFonts w:ascii="Times New Roman" w:hAnsi="Times New Roman" w:cs="Segoe UI"/>
          <w:sz w:val="24"/>
          <w:shd w:val="clear" w:color="auto" w:fill="FFFFFF"/>
        </w:rPr>
        <w:br w:type="page"/>
      </w:r>
    </w:p>
    <w:p w14:paraId="224A3615">
      <w:pPr>
        <w:spacing w:line="360" w:lineRule="auto"/>
      </w:pPr>
      <w:r>
        <w:drawing>
          <wp:inline distT="0" distB="0" distL="114300" distR="114300">
            <wp:extent cx="5260340" cy="2281555"/>
            <wp:effectExtent l="0" t="0" r="16510" b="4445"/>
            <wp:docPr id="20" name="图片 20" descr="群落组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群落组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983D8">
      <w:pPr>
        <w:spacing w:line="360" w:lineRule="auto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t xml:space="preserve">Fig. </w:t>
      </w:r>
      <w:r>
        <w:rPr>
          <w:rFonts w:ascii="Times New Roman" w:hAnsi="Times New Roman" w:cs="Segoe UI"/>
          <w:b/>
          <w:bCs/>
          <w:sz w:val="24"/>
          <w:shd w:val="clear" w:color="auto" w:fill="FFFFFF"/>
        </w:rPr>
        <w:t>S4</w:t>
      </w:r>
      <w:r>
        <w:rPr>
          <w:rFonts w:hint="eastAsia" w:ascii="Times New Roman" w:hAnsi="Times New Roman"/>
          <w:sz w:val="24"/>
          <w:szCs w:val="32"/>
        </w:rPr>
        <w:t xml:space="preserve"> Relative abundance of bacterial communities as defined by AOB in the soil under five different straw application methods under low- or high-N conditions.</w:t>
      </w:r>
    </w:p>
    <w:p w14:paraId="4C13C27F">
      <w:pPr>
        <w:rPr>
          <w:rFonts w:ascii="Times New Roman" w:hAnsi="Times New Roman"/>
          <w:sz w:val="24"/>
          <w:szCs w:val="32"/>
        </w:rPr>
      </w:pPr>
      <w:r>
        <w:rPr>
          <w:rFonts w:hint="eastAsia" w:ascii="Times New Roman" w:hAnsi="Times New Roman"/>
          <w:sz w:val="24"/>
          <w:szCs w:val="32"/>
        </w:rPr>
        <w:br w:type="page"/>
      </w:r>
    </w:p>
    <w:p w14:paraId="2D19517D">
      <w:pPr>
        <w:spacing w:line="480" w:lineRule="auto"/>
        <w:rPr>
          <w:rFonts w:ascii="Times New Roman" w:hAnsi="Times New Roman" w:eastAsia="宋体" w:cs="Times New Roman"/>
          <w:b/>
          <w:bCs/>
          <w:kern w:val="0"/>
          <w:sz w:val="24"/>
        </w:rPr>
      </w:pPr>
      <w:commentRangeStart w:id="0"/>
      <w:commentRangeStart w:id="1"/>
      <w:r>
        <w:rPr>
          <w:rFonts w:ascii="Times New Roman" w:hAnsi="Times New Roman" w:eastAsia="宋体" w:cs="Times New Roman"/>
          <w:b/>
          <w:bCs/>
          <w:kern w:val="0"/>
          <w:sz w:val="24"/>
        </w:rPr>
        <w:t>References</w:t>
      </w:r>
      <w:commentRangeEnd w:id="0"/>
      <w:r>
        <w:rPr>
          <w:rStyle w:val="13"/>
          <w:rFonts w:ascii="Times New Roman" w:hAnsi="Times New Roman" w:eastAsia="宋体" w:cs="Times New Roman"/>
          <w:b/>
          <w:bCs/>
          <w:kern w:val="0"/>
          <w:sz w:val="24"/>
          <w:szCs w:val="24"/>
        </w:rPr>
        <w:commentReference w:id="0"/>
      </w:r>
      <w:commentRangeEnd w:id="1"/>
      <w:r>
        <w:rPr>
          <w:rStyle w:val="13"/>
          <w:rFonts w:ascii="Times New Roman" w:hAnsi="Times New Roman" w:eastAsia="宋体" w:cs="Times New Roman"/>
          <w:b/>
          <w:bCs/>
          <w:kern w:val="0"/>
          <w:sz w:val="24"/>
          <w:szCs w:val="24"/>
        </w:rPr>
        <w:commentReference w:id="1"/>
      </w:r>
    </w:p>
    <w:p w14:paraId="3F57E999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>Cong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P</w:t>
      </w:r>
      <w:r>
        <w:rPr>
          <w:rFonts w:ascii="Times New Roman" w:hAnsi="Times New Roman" w:eastAsia="宋体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szCs w:val="28"/>
        </w:rPr>
        <w:t>Wang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J</w:t>
      </w:r>
      <w:r>
        <w:rPr>
          <w:rFonts w:ascii="Times New Roman" w:hAnsi="Times New Roman" w:eastAsia="宋体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szCs w:val="28"/>
        </w:rPr>
        <w:t>Li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YY, Liu, N, Dong JX, et al. 2020</w:t>
      </w:r>
      <w:r>
        <w:rPr>
          <w:rFonts w:ascii="Times New Roman" w:hAnsi="Times New Roman" w:eastAsia="宋体" w:cs="Times New Roman"/>
          <w:sz w:val="22"/>
          <w:szCs w:val="28"/>
        </w:rPr>
        <w:t>.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Changes in soil organic carbon and microbial community under varying straw incorporation strategies. </w:t>
      </w:r>
      <w:r>
        <w:fldChar w:fldCharType="begin"/>
      </w:r>
      <w:r>
        <w:instrText xml:space="preserve"> HYPERLINK "https://www.sciencedirect.com/journal/soil-and-tillage-research" \o "Go to Soil and Tillage Research on ScienceDirect" </w:instrText>
      </w:r>
      <w:r>
        <w:fldChar w:fldCharType="separate"/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Soil and Tillage Research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fldChar w:fldCharType="end"/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204:104735 </w:t>
      </w:r>
      <w:r>
        <w:fldChar w:fldCharType="begin"/>
      </w:r>
      <w:r>
        <w:instrText xml:space="preserve"> HYPERLINK "https://doi.org/10.1007/s43538-025-00545-5." </w:instrText>
      </w:r>
      <w:r>
        <w:fldChar w:fldCharType="separate"/>
      </w:r>
      <w:r>
        <w:rPr>
          <w:rFonts w:ascii="Times New Roman" w:hAnsi="Times New Roman" w:eastAsia="宋体" w:cs="Times New Roman"/>
          <w:sz w:val="22"/>
          <w:szCs w:val="28"/>
        </w:rPr>
        <w:t>doi</w:t>
      </w:r>
      <w:r>
        <w:rPr>
          <w:rFonts w:hint="eastAsia" w:ascii="Times New Roman" w:hAnsi="Times New Roman" w:eastAsia="宋体" w:cs="Times New Roman"/>
          <w:sz w:val="22"/>
          <w:szCs w:val="28"/>
        </w:rPr>
        <w:t>:</w:t>
      </w:r>
      <w:r>
        <w:fldChar w:fldCharType="begin"/>
      </w:r>
      <w:r>
        <w:instrText xml:space="preserve"> HYPERLINK "https://doi.org/10.1016/j.still.2020.104735" \t "https://www.sciencedirect.com/science/article/abs/pii/_blank" </w:instrText>
      </w:r>
      <w:r>
        <w:fldChar w:fldCharType="separate"/>
      </w:r>
      <w:r>
        <w:rPr>
          <w:rFonts w:hint="eastAsia" w:ascii="Times New Roman" w:hAnsi="Times New Roman" w:eastAsia="宋体" w:cs="Times New Roman"/>
          <w:sz w:val="22"/>
          <w:szCs w:val="28"/>
        </w:rPr>
        <w:t>10.1016/j.still.2020.104735</w:t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</w:p>
    <w:p w14:paraId="2AA96D79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>Ai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P</w:t>
      </w:r>
      <w:r>
        <w:rPr>
          <w:rFonts w:ascii="Times New Roman" w:hAnsi="Times New Roman" w:eastAsia="宋体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szCs w:val="28"/>
        </w:rPr>
        <w:t>Zhang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XZ</w:t>
      </w:r>
      <w:r>
        <w:rPr>
          <w:rFonts w:ascii="Times New Roman" w:hAnsi="Times New Roman" w:eastAsia="宋体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szCs w:val="28"/>
        </w:rPr>
        <w:t>Ran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Y, Meng L, Elsayed M, et al. 2019</w:t>
      </w:r>
      <w:r>
        <w:rPr>
          <w:rFonts w:ascii="Times New Roman" w:hAnsi="Times New Roman" w:eastAsia="宋体" w:cs="Times New Roman"/>
          <w:sz w:val="22"/>
          <w:szCs w:val="28"/>
        </w:rPr>
        <w:t>.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Biomass briquetting reduces the energy loss during long-term ensiling and enhances anaerobic digestion: A case study on rice straw. </w:t>
      </w:r>
      <w:r>
        <w:fldChar w:fldCharType="begin"/>
      </w:r>
      <w:r>
        <w:instrText xml:space="preserve"> HYPERLINK "https://www.sciencedirect.com/journal/bioresource-technology" \o "Go to Bioresource Technology on ScienceDirect" </w:instrText>
      </w:r>
      <w:r>
        <w:fldChar w:fldCharType="separate"/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Bioresource Technology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fldChar w:fldCharType="end"/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292:121912 </w:t>
      </w:r>
      <w:r>
        <w:fldChar w:fldCharType="begin"/>
      </w:r>
      <w:r>
        <w:instrText xml:space="preserve"> HYPERLINK "https://doi.org/10.1007/s43538-025-00545-5." </w:instrText>
      </w:r>
      <w:r>
        <w:fldChar w:fldCharType="separate"/>
      </w:r>
      <w:r>
        <w:rPr>
          <w:rFonts w:ascii="Times New Roman" w:hAnsi="Times New Roman" w:eastAsia="宋体" w:cs="Times New Roman"/>
          <w:sz w:val="22"/>
          <w:szCs w:val="28"/>
        </w:rPr>
        <w:t>doi</w:t>
      </w:r>
      <w:r>
        <w:rPr>
          <w:rFonts w:hint="eastAsia" w:ascii="Times New Roman" w:hAnsi="Times New Roman" w:eastAsia="宋体" w:cs="Times New Roman"/>
          <w:sz w:val="22"/>
          <w:szCs w:val="28"/>
        </w:rPr>
        <w:t>:</w:t>
      </w:r>
      <w:r>
        <w:fldChar w:fldCharType="begin"/>
      </w:r>
      <w:r>
        <w:instrText xml:space="preserve"> HYPERLINK "https://doi.org/10.1016/j.still.2020.104735" \t "https://www.sciencedirect.com/science/article/abs/pii/_blank" </w:instrText>
      </w:r>
      <w:r>
        <w:fldChar w:fldCharType="separate"/>
      </w:r>
      <w:r>
        <w:rPr>
          <w:rFonts w:hint="eastAsia" w:ascii="Times New Roman" w:hAnsi="Times New Roman" w:eastAsia="宋体" w:cs="Times New Roman"/>
          <w:sz w:val="22"/>
          <w:szCs w:val="28"/>
        </w:rPr>
        <w:t>1</w:t>
      </w:r>
      <w:r>
        <w:fldChar w:fldCharType="begin"/>
      </w:r>
      <w:r>
        <w:instrText xml:space="preserve"> HYPERLINK "https://doi.org/10.1016/j.biortech.2019.121912" \t "https://www.sciencedirect.com/science/article/abs/pii/_blank" </w:instrText>
      </w:r>
      <w:r>
        <w:fldChar w:fldCharType="separate"/>
      </w:r>
      <w:r>
        <w:rPr>
          <w:rFonts w:hint="eastAsia" w:ascii="Times New Roman" w:hAnsi="Times New Roman" w:eastAsia="宋体" w:cs="Times New Roman"/>
          <w:sz w:val="22"/>
          <w:szCs w:val="28"/>
        </w:rPr>
        <w:t>10.1016/j.biortech.2019.121912</w:t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</w:p>
    <w:p w14:paraId="40D97B19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>Liang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YC</w:t>
      </w:r>
      <w:r>
        <w:rPr>
          <w:rFonts w:ascii="Times New Roman" w:hAnsi="Times New Roman" w:eastAsia="宋体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szCs w:val="28"/>
        </w:rPr>
        <w:t>Si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J</w:t>
      </w:r>
      <w:r>
        <w:rPr>
          <w:rFonts w:ascii="Times New Roman" w:hAnsi="Times New Roman" w:eastAsia="宋体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szCs w:val="28"/>
        </w:rPr>
        <w:t>Nikolic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M, Peng Y, Chen W, et al. 2005</w:t>
      </w:r>
      <w:r>
        <w:rPr>
          <w:rFonts w:ascii="Times New Roman" w:hAnsi="Times New Roman" w:eastAsia="宋体" w:cs="Times New Roman"/>
          <w:sz w:val="22"/>
          <w:szCs w:val="28"/>
        </w:rPr>
        <w:t>.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Organic manure stimulates biological activity and barley growth in soil subject to secondary salinization. </w:t>
      </w:r>
      <w:r>
        <w:fldChar w:fldCharType="begin"/>
      </w:r>
      <w:r>
        <w:instrText xml:space="preserve"> HYPERLINK "https://www.sciencedirect.com/journal/soil-biology-and-biochemistry" \o "Go to Soil Biology and Biochemistry on ScienceDirect" </w:instrText>
      </w:r>
      <w:r>
        <w:fldChar w:fldCharType="separate"/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Soil Biology and Biochemistry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fldChar w:fldCharType="end"/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37 (6):1185-1195 </w:t>
      </w:r>
      <w:r>
        <w:fldChar w:fldCharType="begin"/>
      </w:r>
      <w:r>
        <w:instrText xml:space="preserve"> HYPERLINK "https://doi.org/10.1007/s43538-025-00545-5." </w:instrText>
      </w:r>
      <w:r>
        <w:fldChar w:fldCharType="separate"/>
      </w:r>
      <w:r>
        <w:rPr>
          <w:rFonts w:ascii="Times New Roman" w:hAnsi="Times New Roman" w:eastAsia="宋体" w:cs="Times New Roman"/>
          <w:sz w:val="22"/>
          <w:szCs w:val="28"/>
        </w:rPr>
        <w:t>doi</w:t>
      </w:r>
      <w:r>
        <w:rPr>
          <w:rFonts w:hint="eastAsia" w:ascii="Times New Roman" w:hAnsi="Times New Roman" w:eastAsia="宋体" w:cs="Times New Roman"/>
          <w:sz w:val="22"/>
          <w:szCs w:val="28"/>
        </w:rPr>
        <w:t>:</w:t>
      </w:r>
      <w:r>
        <w:fldChar w:fldCharType="begin"/>
      </w:r>
      <w:r>
        <w:instrText xml:space="preserve"> HYPERLINK "https://doi.org/10.1016/j.still.2020.104735" \t "https://www.sciencedirect.com/science/article/abs/pii/_blank" </w:instrText>
      </w:r>
      <w:r>
        <w:fldChar w:fldCharType="separate"/>
      </w:r>
      <w:r>
        <w:fldChar w:fldCharType="begin"/>
      </w:r>
      <w:r>
        <w:instrText xml:space="preserve"> HYPERLINK "https://doi.org/10.1016/j.soilbio.2004.11.017" \t "https://www.sciencedirect.com/science/article/abs/pii/_blank" \o "Persistent link using digital object identifier" </w:instrText>
      </w:r>
      <w:r>
        <w:fldChar w:fldCharType="separate"/>
      </w:r>
      <w:r>
        <w:rPr>
          <w:rFonts w:hint="eastAsia" w:ascii="Times New Roman" w:hAnsi="Times New Roman" w:eastAsia="宋体" w:cs="Times New Roman"/>
          <w:sz w:val="22"/>
          <w:szCs w:val="28"/>
        </w:rPr>
        <w:t>10.1016/j.soilbio.2004.11.017</w:t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  <w:r>
        <w:fldChar w:fldCharType="end"/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</w:p>
    <w:p w14:paraId="72543423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>Chandra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S</w:t>
      </w:r>
      <w:r>
        <w:rPr>
          <w:rFonts w:ascii="Times New Roman" w:hAnsi="Times New Roman" w:eastAsia="宋体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szCs w:val="28"/>
        </w:rPr>
        <w:t>Bhattacharya</w:t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J. 2019</w:t>
      </w:r>
      <w:r>
        <w:rPr>
          <w:rFonts w:ascii="Times New Roman" w:hAnsi="Times New Roman" w:eastAsia="宋体" w:cs="Times New Roman"/>
          <w:sz w:val="22"/>
          <w:szCs w:val="28"/>
        </w:rPr>
        <w:t>.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Influence of temperature and duration of pyrolysis on the property heterogeneity of rice straw biochar and optimization of pyrolysis conditions for its application in soils. </w:t>
      </w:r>
      <w:r>
        <w:fldChar w:fldCharType="begin"/>
      </w:r>
      <w:r>
        <w:instrText xml:space="preserve"> HYPERLINK "https://www.sciencedirect.com/journal/journal-of-cleaner-production" \o "Go to Journal of Cleaner Production on ScienceDirect" </w:instrText>
      </w:r>
      <w:r>
        <w:fldChar w:fldCharType="separate"/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Journal of Cleaner Production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fldChar w:fldCharType="end"/>
      </w:r>
      <w:r>
        <w:rPr>
          <w:rFonts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215:1123-1139 </w:t>
      </w:r>
      <w:r>
        <w:fldChar w:fldCharType="begin"/>
      </w:r>
      <w:r>
        <w:instrText xml:space="preserve"> HYPERLINK "https://doi.org/10.1007/s43538-025-00545-5." </w:instrText>
      </w:r>
      <w:r>
        <w:fldChar w:fldCharType="separate"/>
      </w:r>
      <w:r>
        <w:rPr>
          <w:rFonts w:ascii="Times New Roman" w:hAnsi="Times New Roman" w:eastAsia="宋体" w:cs="Times New Roman"/>
          <w:sz w:val="22"/>
          <w:szCs w:val="28"/>
        </w:rPr>
        <w:t>doi</w:t>
      </w:r>
      <w:r>
        <w:rPr>
          <w:rFonts w:hint="eastAsia" w:ascii="Times New Roman" w:hAnsi="Times New Roman" w:eastAsia="宋体" w:cs="Times New Roman"/>
          <w:sz w:val="22"/>
          <w:szCs w:val="28"/>
        </w:rPr>
        <w:t>:</w:t>
      </w:r>
      <w:r>
        <w:fldChar w:fldCharType="begin"/>
      </w:r>
      <w:r>
        <w:instrText xml:space="preserve"> HYPERLINK "https://doi.org/10.1016/j.still.2020.104735" \t "https://www.sciencedirect.com/science/article/abs/pii/_blank" </w:instrText>
      </w:r>
      <w:r>
        <w:fldChar w:fldCharType="separate"/>
      </w:r>
      <w:r>
        <w:rPr>
          <w:rFonts w:hint="eastAsia" w:ascii="Times New Roman" w:hAnsi="Times New Roman" w:eastAsia="宋体" w:cs="Times New Roman"/>
          <w:sz w:val="22"/>
          <w:szCs w:val="28"/>
        </w:rPr>
        <w:t>1</w:t>
      </w:r>
      <w:r>
        <w:fldChar w:fldCharType="begin"/>
      </w:r>
      <w:r>
        <w:instrText xml:space="preserve"> HYPERLINK "https://doi.org/10.1016/j.biortech.2019.121912" \t "https://www.sciencedirect.com/science/article/abs/pii/_blank" </w:instrText>
      </w:r>
      <w:r>
        <w:fldChar w:fldCharType="separate"/>
      </w:r>
      <w:r>
        <w:rPr>
          <w:rFonts w:hint="eastAsia" w:ascii="Times New Roman" w:hAnsi="Times New Roman" w:eastAsia="宋体" w:cs="Times New Roman"/>
          <w:sz w:val="22"/>
          <w:szCs w:val="28"/>
        </w:rPr>
        <w:t>10.1016/j.biortech.2019.121912</w:t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  <w:r>
        <w:rPr>
          <w:rFonts w:hint="eastAsia" w:ascii="Times New Roman" w:hAnsi="Times New Roman" w:eastAsia="宋体" w:cs="Times New Roman"/>
          <w:sz w:val="22"/>
          <w:szCs w:val="28"/>
        </w:rPr>
        <w:fldChar w:fldCharType="end"/>
      </w:r>
    </w:p>
    <w:p w14:paraId="18CA0556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>Throb</w:t>
      </w:r>
      <w:r>
        <w:rPr>
          <w:rFonts w:hint="default" w:ascii="Times New Roman" w:hAnsi="Times New Roman" w:eastAsia="宋体" w:cs="Times New Roman"/>
          <w:sz w:val="22"/>
          <w:szCs w:val="28"/>
        </w:rPr>
        <w:t>ä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ck IN. Enwall-K, Jarvia </w:t>
      </w:r>
      <w:r>
        <w:rPr>
          <w:rFonts w:hint="default" w:ascii="Times New Roman" w:hAnsi="Times New Roman" w:eastAsia="宋体" w:cs="Times New Roman"/>
          <w:sz w:val="22"/>
          <w:szCs w:val="28"/>
        </w:rPr>
        <w:t>Å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, Hallin S. 2004 Reassessing PCR primers targeting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ninS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nirK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and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nosZ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genes for community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surveys of denitrifying bacteria with DGGE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Fems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Microbiology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</w:rPr>
        <w:t>Ecology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8"/>
        </w:rPr>
        <w:t>49(3):40-417</w:t>
      </w:r>
    </w:p>
    <w:p w14:paraId="2A474244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>Ch</w:t>
      </w:r>
      <w:r>
        <w:rPr>
          <w:rFonts w:hint="default" w:ascii="Times New Roman" w:hAnsi="Times New Roman" w:eastAsia="宋体" w:cs="Times New Roman"/>
          <w:sz w:val="22"/>
          <w:szCs w:val="28"/>
        </w:rPr>
        <w:t>è</w:t>
      </w:r>
      <w:r>
        <w:rPr>
          <w:rFonts w:hint="eastAsia" w:ascii="Times New Roman" w:hAnsi="Times New Roman" w:eastAsia="宋体" w:cs="Times New Roman"/>
          <w:sz w:val="22"/>
          <w:szCs w:val="28"/>
        </w:rPr>
        <w:t>neby D. Hartmann A, H</w:t>
      </w:r>
      <w:r>
        <w:rPr>
          <w:rFonts w:hint="default" w:ascii="Times New Roman" w:hAnsi="Times New Roman" w:eastAsia="宋体" w:cs="Times New Roman"/>
          <w:sz w:val="22"/>
          <w:szCs w:val="28"/>
        </w:rPr>
        <w:t>é</w:t>
      </w:r>
      <w:r>
        <w:rPr>
          <w:rFonts w:hint="eastAsia" w:ascii="Times New Roman" w:hAnsi="Times New Roman" w:eastAsia="宋体" w:cs="Times New Roman"/>
          <w:sz w:val="22"/>
          <w:szCs w:val="28"/>
        </w:rPr>
        <w:t>nault C. Topp E. et al. 1998. Diversity of denitrifying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 microflora and ability to reduce N</w:t>
      </w:r>
      <w:r>
        <w:rPr>
          <w:rFonts w:hint="eastAsia" w:ascii="Times New Roman" w:hAnsi="Times New Roman" w:eastAsia="宋体" w:cs="Times New Roman"/>
          <w:sz w:val="22"/>
          <w:szCs w:val="28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O in twosoils.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  <w:lang w:val="en-US" w:eastAsia="zh-CN"/>
        </w:rPr>
        <w:t>Biology and Fertilit of Soils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 28:19-26</w:t>
      </w:r>
    </w:p>
    <w:p w14:paraId="129F16FA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>Ward BB. 2005. Molecular approaches to maring microbial ecology and the maring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 nitrogen cycle. Anmual Review of Earth and Planetary Sciences 33:30-33</w:t>
      </w:r>
    </w:p>
    <w:p w14:paraId="4F8A9A2E">
      <w:pPr>
        <w:numPr>
          <w:ilvl w:val="0"/>
          <w:numId w:val="1"/>
        </w:numPr>
        <w:spacing w:line="480" w:lineRule="auto"/>
        <w:ind w:left="440" w:hanging="440" w:hangingChars="200"/>
        <w:rPr>
          <w:rFonts w:ascii="Times New Roman" w:hAnsi="Times New Roman" w:eastAsia="宋体" w:cs="Times New Roman"/>
          <w:sz w:val="22"/>
          <w:szCs w:val="28"/>
        </w:rPr>
      </w:pPr>
      <w:r>
        <w:rPr>
          <w:rFonts w:hint="eastAsia" w:ascii="Times New Roman" w:hAnsi="Times New Roman" w:eastAsia="宋体" w:cs="Times New Roman"/>
          <w:sz w:val="22"/>
          <w:szCs w:val="28"/>
        </w:rPr>
        <w:t xml:space="preserve">Wattenburger CJ, Gutknecht J, Zhang 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Q, </w:t>
      </w:r>
      <w:r>
        <w:rPr>
          <w:rFonts w:hint="eastAsia" w:ascii="Times New Roman" w:hAnsi="Times New Roman" w:eastAsia="宋体" w:cs="Times New Roman"/>
          <w:sz w:val="22"/>
          <w:szCs w:val="28"/>
        </w:rPr>
        <w:t>Brutnell T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sz w:val="22"/>
          <w:szCs w:val="28"/>
        </w:rPr>
        <w:t xml:space="preserve"> et al. 2020. The rhizosphere and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 cropping system, but not arb</w:t>
      </w:r>
      <w:bookmarkStart w:id="6" w:name="_GoBack"/>
      <w:bookmarkEnd w:id="6"/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uscular mycorrhizae, affect ammonia oxidizing archaea and bacteria abundances in two agricultural soils. </w:t>
      </w:r>
      <w:r>
        <w:rPr>
          <w:rFonts w:hint="eastAsia" w:ascii="Times New Roman" w:hAnsi="Times New Roman" w:eastAsia="宋体" w:cs="Times New Roman"/>
          <w:i/>
          <w:iCs/>
          <w:sz w:val="22"/>
          <w:szCs w:val="28"/>
          <w:lang w:val="en-US" w:eastAsia="zh-CN"/>
        </w:rPr>
        <w:t>Applied Soil Ecology</w:t>
      </w:r>
      <w:r>
        <w:rPr>
          <w:rFonts w:hint="eastAsia" w:ascii="Times New Roman" w:hAnsi="Times New Roman" w:eastAsia="宋体" w:cs="Times New Roman"/>
          <w:sz w:val="22"/>
          <w:szCs w:val="28"/>
          <w:lang w:val="en-US" w:eastAsia="zh-CN"/>
        </w:rPr>
        <w:t xml:space="preserve"> 151:103540</w:t>
      </w: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紫薇 邓" w:date="2026-09-03T16:56:00Z" w:initials="紫邓">
    <w:p w14:paraId="6AF27F08">
      <w:pPr>
        <w:pStyle w:val="4"/>
      </w:pPr>
      <w:r>
        <w:rPr>
          <w:rFonts w:hint="eastAsia"/>
        </w:rPr>
        <w:t>请修改，需要和正文的参考文献格式一致</w:t>
      </w:r>
    </w:p>
  </w:comment>
  <w:comment w:id="1" w:author="勿忘" w:date="2026-09-06T18:30:00Z" w:initials="">
    <w:p w14:paraId="3EFD9208">
      <w:pPr>
        <w:pStyle w:val="4"/>
      </w:pPr>
      <w:r>
        <w:rPr>
          <w:rFonts w:hint="eastAsia"/>
        </w:rPr>
        <w:t>已修正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AF27F08" w15:done="0"/>
  <w15:commentEx w15:paraId="3EFD9208" w15:done="0" w15:paraIdParent="6AF27F08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yria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E09BC7"/>
    <w:multiLevelType w:val="singleLevel"/>
    <w:tmpl w:val="43E09BC7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紫薇 邓">
    <w15:presenceInfo w15:providerId="Windows Live" w15:userId="9e5eb211b8de7f10"/>
  </w15:person>
  <w15:person w15:author="勿忘">
    <w15:presenceInfo w15:providerId="None" w15:userId="勿忘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29E"/>
    <w:rsid w:val="000E79B7"/>
    <w:rsid w:val="0011229E"/>
    <w:rsid w:val="004B5F01"/>
    <w:rsid w:val="00676CD5"/>
    <w:rsid w:val="006E01E5"/>
    <w:rsid w:val="007F6AC0"/>
    <w:rsid w:val="00A840B9"/>
    <w:rsid w:val="00C03D12"/>
    <w:rsid w:val="00C43BA0"/>
    <w:rsid w:val="00DA3A5A"/>
    <w:rsid w:val="00E81DAA"/>
    <w:rsid w:val="00ED2E67"/>
    <w:rsid w:val="00FD6627"/>
    <w:rsid w:val="00FF0CFD"/>
    <w:rsid w:val="01D4634C"/>
    <w:rsid w:val="03333100"/>
    <w:rsid w:val="042B5143"/>
    <w:rsid w:val="04635CCB"/>
    <w:rsid w:val="0591547A"/>
    <w:rsid w:val="059904C7"/>
    <w:rsid w:val="060B2565"/>
    <w:rsid w:val="064D128E"/>
    <w:rsid w:val="067E4BBE"/>
    <w:rsid w:val="068C5C42"/>
    <w:rsid w:val="07E34136"/>
    <w:rsid w:val="0901567A"/>
    <w:rsid w:val="094A2551"/>
    <w:rsid w:val="09B04F53"/>
    <w:rsid w:val="0C550884"/>
    <w:rsid w:val="0D584ACF"/>
    <w:rsid w:val="0D9A50E8"/>
    <w:rsid w:val="0E4E33A5"/>
    <w:rsid w:val="0E567261"/>
    <w:rsid w:val="0F4075C9"/>
    <w:rsid w:val="0FE34A2D"/>
    <w:rsid w:val="104B6F75"/>
    <w:rsid w:val="117143B2"/>
    <w:rsid w:val="14276FAA"/>
    <w:rsid w:val="153E0A4F"/>
    <w:rsid w:val="15D64DE0"/>
    <w:rsid w:val="18BF61B4"/>
    <w:rsid w:val="19CC487B"/>
    <w:rsid w:val="19D35C0A"/>
    <w:rsid w:val="1A0921AB"/>
    <w:rsid w:val="1D291034"/>
    <w:rsid w:val="1D886D0B"/>
    <w:rsid w:val="1E650DFA"/>
    <w:rsid w:val="1F1007D2"/>
    <w:rsid w:val="1F4330EE"/>
    <w:rsid w:val="2013071E"/>
    <w:rsid w:val="20647242"/>
    <w:rsid w:val="2086370D"/>
    <w:rsid w:val="209B4FA7"/>
    <w:rsid w:val="215238B8"/>
    <w:rsid w:val="23A91789"/>
    <w:rsid w:val="23E74349"/>
    <w:rsid w:val="24311EAA"/>
    <w:rsid w:val="251B66B7"/>
    <w:rsid w:val="257162D7"/>
    <w:rsid w:val="258E7395"/>
    <w:rsid w:val="26775061"/>
    <w:rsid w:val="26A61FB0"/>
    <w:rsid w:val="271F05EE"/>
    <w:rsid w:val="287A0F49"/>
    <w:rsid w:val="288F53F1"/>
    <w:rsid w:val="28A54C15"/>
    <w:rsid w:val="2AF055F6"/>
    <w:rsid w:val="2AFA0B1C"/>
    <w:rsid w:val="2B1B76A5"/>
    <w:rsid w:val="2C106849"/>
    <w:rsid w:val="2F7D7D2F"/>
    <w:rsid w:val="2FED06A9"/>
    <w:rsid w:val="30662EDC"/>
    <w:rsid w:val="308441F8"/>
    <w:rsid w:val="311022EB"/>
    <w:rsid w:val="31750EFD"/>
    <w:rsid w:val="317637FE"/>
    <w:rsid w:val="321C44EF"/>
    <w:rsid w:val="32EA443C"/>
    <w:rsid w:val="33A66016"/>
    <w:rsid w:val="340B131D"/>
    <w:rsid w:val="34EC07F0"/>
    <w:rsid w:val="352549E8"/>
    <w:rsid w:val="363D159F"/>
    <w:rsid w:val="3735626A"/>
    <w:rsid w:val="385D2DB5"/>
    <w:rsid w:val="38EC4C40"/>
    <w:rsid w:val="3A322081"/>
    <w:rsid w:val="3B787F67"/>
    <w:rsid w:val="3E575D94"/>
    <w:rsid w:val="3ECD05CA"/>
    <w:rsid w:val="3F03223E"/>
    <w:rsid w:val="3F35026B"/>
    <w:rsid w:val="41C87232"/>
    <w:rsid w:val="42273CD0"/>
    <w:rsid w:val="42517EEB"/>
    <w:rsid w:val="434C41B3"/>
    <w:rsid w:val="43D441A9"/>
    <w:rsid w:val="444C23FD"/>
    <w:rsid w:val="44DC71E3"/>
    <w:rsid w:val="44FB1CB6"/>
    <w:rsid w:val="45D44120"/>
    <w:rsid w:val="465B470D"/>
    <w:rsid w:val="46E75FA1"/>
    <w:rsid w:val="470B1A6B"/>
    <w:rsid w:val="470D5A07"/>
    <w:rsid w:val="478D6B48"/>
    <w:rsid w:val="47A45C40"/>
    <w:rsid w:val="493F506E"/>
    <w:rsid w:val="4941408E"/>
    <w:rsid w:val="49940662"/>
    <w:rsid w:val="49B7101E"/>
    <w:rsid w:val="49CD6061"/>
    <w:rsid w:val="49DC3DB7"/>
    <w:rsid w:val="4A5D6603"/>
    <w:rsid w:val="4A8C758B"/>
    <w:rsid w:val="4BD016F9"/>
    <w:rsid w:val="4BDB662F"/>
    <w:rsid w:val="4D331F40"/>
    <w:rsid w:val="4D7607AF"/>
    <w:rsid w:val="4D896004"/>
    <w:rsid w:val="4E726A98"/>
    <w:rsid w:val="50805771"/>
    <w:rsid w:val="52C90678"/>
    <w:rsid w:val="52F97788"/>
    <w:rsid w:val="53BA7850"/>
    <w:rsid w:val="53CF04A3"/>
    <w:rsid w:val="54161C73"/>
    <w:rsid w:val="57F47CC0"/>
    <w:rsid w:val="582B3694"/>
    <w:rsid w:val="5888476E"/>
    <w:rsid w:val="59AA0741"/>
    <w:rsid w:val="59C6630F"/>
    <w:rsid w:val="5ADB7A9F"/>
    <w:rsid w:val="5BAE4A90"/>
    <w:rsid w:val="5BBB382C"/>
    <w:rsid w:val="5D50269A"/>
    <w:rsid w:val="5D69550A"/>
    <w:rsid w:val="5DE27796"/>
    <w:rsid w:val="5E282CCF"/>
    <w:rsid w:val="60C5514D"/>
    <w:rsid w:val="60E613EE"/>
    <w:rsid w:val="61605860"/>
    <w:rsid w:val="61E810F3"/>
    <w:rsid w:val="62D1375D"/>
    <w:rsid w:val="63274C05"/>
    <w:rsid w:val="635A7DCF"/>
    <w:rsid w:val="63D96028"/>
    <w:rsid w:val="65FA13F5"/>
    <w:rsid w:val="690F3409"/>
    <w:rsid w:val="6954706E"/>
    <w:rsid w:val="69D30284"/>
    <w:rsid w:val="69FE2282"/>
    <w:rsid w:val="6F344955"/>
    <w:rsid w:val="6FC540B9"/>
    <w:rsid w:val="70A17A56"/>
    <w:rsid w:val="71556799"/>
    <w:rsid w:val="74470F65"/>
    <w:rsid w:val="74542618"/>
    <w:rsid w:val="74582108"/>
    <w:rsid w:val="74B86703"/>
    <w:rsid w:val="76FF2D0F"/>
    <w:rsid w:val="779149D8"/>
    <w:rsid w:val="793A0154"/>
    <w:rsid w:val="797B484A"/>
    <w:rsid w:val="7A1545F8"/>
    <w:rsid w:val="7A410F49"/>
    <w:rsid w:val="7BB437D2"/>
    <w:rsid w:val="7BC843E7"/>
    <w:rsid w:val="7C2154D6"/>
    <w:rsid w:val="7FE8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4"/>
    <w:next w:val="4"/>
    <w:link w:val="18"/>
    <w:qFormat/>
    <w:uiPriority w:val="0"/>
    <w:rPr>
      <w:b/>
      <w:bCs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批注文字 字符"/>
    <w:basedOn w:val="11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9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324</Words>
  <Characters>1666</Characters>
  <Lines>56</Lines>
  <Paragraphs>15</Paragraphs>
  <TotalTime>16</TotalTime>
  <ScaleCrop>false</ScaleCrop>
  <LinksUpToDate>false</LinksUpToDate>
  <CharactersWithSpaces>1916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2025-09-30T09:23:00Z</dcterms:created>
  <dc:creator>Lenovo</dc:creator>
  <cp:lastModifiedBy>香榭丽舍逆行者</cp:lastModifiedBy>
  <dcterms:modified xsi:type="dcterms:W3CDTF">2026-09-20T00:42:33Z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eyJoZGlkIjoiODZiOWNkN2M4NWU3N2I3MzJjZDMzYmViNjRlNGMwMGYiLCJ1c2VySWQiOiIyMDcyMzU0MDYifQ==</vt:lpwstr>
  </property>
  <property fmtid="{D5CDD505-2E9C-101B-9397-08002B2CF9AE}" pid="4" name="ICV">
    <vt:lpwstr>7808967ED13A41E3AE69E3CB6AB25CA9_13</vt:lpwstr>
  </property>
</Properties>
</file>