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C5FB2" w14:textId="77777777" w:rsidR="002F31E3" w:rsidRPr="002B538E" w:rsidRDefault="00203CA9">
      <w:pPr>
        <w:widowControl/>
        <w:spacing w:line="480" w:lineRule="auto"/>
        <w:jc w:val="center"/>
        <w:rPr>
          <w:rFonts w:ascii="Times New Roman" w:eastAsia="宋体" w:hAnsi="Times New Roman" w:cs="Times New Roman"/>
          <w:b/>
          <w:sz w:val="24"/>
          <w:szCs w:val="24"/>
        </w:rPr>
      </w:pPr>
      <w:bookmarkStart w:id="0" w:name="_Hlk205207080"/>
      <w:bookmarkStart w:id="1" w:name="OLE_LINK24"/>
      <w:bookmarkStart w:id="2" w:name="OLE_LINK25"/>
      <w:bookmarkStart w:id="3" w:name="_Hlk208679738"/>
      <w:r w:rsidRPr="002B538E">
        <w:rPr>
          <w:rFonts w:ascii="Times New Roman" w:hAnsi="Times New Roman" w:cs="Times New Roman"/>
          <w:b/>
          <w:sz w:val="24"/>
          <w:szCs w:val="24"/>
        </w:rPr>
        <w:t>Comparative study of microbial communities and denitrification gas emissions in typical Chinese farmland soils under varying C/N conditions</w:t>
      </w:r>
    </w:p>
    <w:bookmarkEnd w:id="0"/>
    <w:p w14:paraId="094FECBC" w14:textId="77777777" w:rsidR="002F31E3" w:rsidRPr="002B538E" w:rsidRDefault="00203CA9">
      <w:pPr>
        <w:spacing w:line="480" w:lineRule="auto"/>
        <w:jc w:val="center"/>
        <w:rPr>
          <w:rFonts w:ascii="Times New Roman" w:hAnsi="Times New Roman" w:cs="Times New Roman"/>
          <w:sz w:val="24"/>
          <w:szCs w:val="24"/>
        </w:rPr>
      </w:pPr>
      <w:proofErr w:type="spellStart"/>
      <w:r w:rsidRPr="002B538E">
        <w:rPr>
          <w:rFonts w:ascii="Times New Roman" w:hAnsi="Times New Roman" w:cs="Times New Roman"/>
          <w:sz w:val="24"/>
          <w:szCs w:val="24"/>
        </w:rPr>
        <w:t>Qiaoyu</w:t>
      </w:r>
      <w:proofErr w:type="spellEnd"/>
      <w:r w:rsidRPr="002B538E">
        <w:rPr>
          <w:rFonts w:ascii="Times New Roman" w:hAnsi="Times New Roman" w:cs="Times New Roman"/>
          <w:sz w:val="24"/>
          <w:szCs w:val="24"/>
        </w:rPr>
        <w:t xml:space="preserve"> Wu, Siyu Y</w:t>
      </w:r>
      <w:r w:rsidRPr="002B538E">
        <w:rPr>
          <w:rFonts w:ascii="Times New Roman" w:hAnsi="Times New Roman" w:cs="Times New Roman" w:hint="eastAsia"/>
          <w:sz w:val="24"/>
          <w:szCs w:val="24"/>
        </w:rPr>
        <w:t>u</w:t>
      </w:r>
      <w:r w:rsidRPr="002B538E">
        <w:rPr>
          <w:rFonts w:ascii="Times New Roman" w:hAnsi="Times New Roman" w:cs="Times New Roman"/>
          <w:sz w:val="24"/>
          <w:szCs w:val="24"/>
        </w:rPr>
        <w:t>, Zhen X</w:t>
      </w:r>
      <w:r w:rsidRPr="002B538E">
        <w:rPr>
          <w:rFonts w:ascii="Times New Roman" w:hAnsi="Times New Roman" w:cs="Times New Roman" w:hint="eastAsia"/>
          <w:sz w:val="24"/>
          <w:szCs w:val="24"/>
        </w:rPr>
        <w:t>ie</w:t>
      </w:r>
      <w:r w:rsidRPr="002B538E">
        <w:rPr>
          <w:rFonts w:ascii="Times New Roman" w:hAnsi="Times New Roman" w:cs="Times New Roman"/>
          <w:sz w:val="24"/>
          <w:szCs w:val="24"/>
        </w:rPr>
        <w:t xml:space="preserve">, </w:t>
      </w:r>
      <w:proofErr w:type="spellStart"/>
      <w:r w:rsidRPr="002B538E">
        <w:rPr>
          <w:rFonts w:ascii="Times New Roman" w:hAnsi="Times New Roman" w:cs="Times New Roman"/>
          <w:sz w:val="24"/>
          <w:szCs w:val="24"/>
        </w:rPr>
        <w:t>X</w:t>
      </w:r>
      <w:r w:rsidRPr="002B538E">
        <w:rPr>
          <w:rFonts w:ascii="Times New Roman" w:hAnsi="Times New Roman" w:cs="Times New Roman" w:hint="eastAsia"/>
          <w:sz w:val="24"/>
          <w:szCs w:val="24"/>
        </w:rPr>
        <w:t>ia</w:t>
      </w:r>
      <w:r w:rsidRPr="002B538E">
        <w:rPr>
          <w:rFonts w:ascii="Times New Roman" w:hAnsi="Times New Roman" w:cs="Times New Roman"/>
          <w:sz w:val="24"/>
          <w:szCs w:val="24"/>
        </w:rPr>
        <w:t>nchao</w:t>
      </w:r>
      <w:proofErr w:type="spellEnd"/>
      <w:r w:rsidRPr="002B538E">
        <w:rPr>
          <w:rFonts w:ascii="Times New Roman" w:hAnsi="Times New Roman" w:cs="Times New Roman"/>
          <w:sz w:val="24"/>
          <w:szCs w:val="24"/>
        </w:rPr>
        <w:t xml:space="preserve"> Q</w:t>
      </w:r>
      <w:r w:rsidRPr="002B538E">
        <w:rPr>
          <w:rFonts w:ascii="Times New Roman" w:hAnsi="Times New Roman" w:cs="Times New Roman" w:hint="eastAsia"/>
          <w:sz w:val="24"/>
          <w:szCs w:val="24"/>
        </w:rPr>
        <w:t>in</w:t>
      </w:r>
      <w:r w:rsidRPr="002B538E">
        <w:rPr>
          <w:rFonts w:ascii="Times New Roman" w:hAnsi="Times New Roman" w:cs="Times New Roman"/>
          <w:sz w:val="24"/>
          <w:szCs w:val="24"/>
        </w:rPr>
        <w:t>, Ji Li</w:t>
      </w:r>
      <w:r w:rsidRPr="002B538E">
        <w:rPr>
          <w:rFonts w:ascii="Times New Roman" w:hAnsi="Times New Roman" w:cs="Times New Roman" w:hint="eastAsia"/>
          <w:sz w:val="24"/>
          <w:szCs w:val="24"/>
        </w:rPr>
        <w:t>,</w:t>
      </w:r>
      <w:r w:rsidRPr="002B538E">
        <w:rPr>
          <w:rFonts w:ascii="Times New Roman" w:hAnsi="Times New Roman" w:cs="Times New Roman"/>
          <w:sz w:val="24"/>
          <w:szCs w:val="24"/>
        </w:rPr>
        <w:t xml:space="preserve"> Xiaojun Zhang*</w:t>
      </w:r>
    </w:p>
    <w:bookmarkEnd w:id="1"/>
    <w:p w14:paraId="5A399D32" w14:textId="77777777" w:rsidR="002F31E3" w:rsidRPr="002B538E" w:rsidRDefault="00203CA9">
      <w:pPr>
        <w:spacing w:line="480" w:lineRule="auto"/>
        <w:jc w:val="center"/>
        <w:rPr>
          <w:rFonts w:ascii="Times New Roman" w:hAnsi="Times New Roman" w:cs="Times New Roman"/>
          <w:color w:val="000000" w:themeColor="text1"/>
          <w:sz w:val="24"/>
          <w:szCs w:val="24"/>
        </w:rPr>
      </w:pPr>
      <w:r w:rsidRPr="002B538E">
        <w:rPr>
          <w:rFonts w:ascii="Times New Roman" w:hAnsi="Times New Roman" w:cs="Times New Roman"/>
          <w:sz w:val="24"/>
          <w:szCs w:val="24"/>
        </w:rPr>
        <w:t>State Key Laboratory of Microbial Metabolism, and Joint International Research Laboratory of Metabolic &amp; Developmental Sciences, and School of Life Sciences &amp; Biotechnology, Shanghai Jiao Tong University, Shanghai, 200240, China</w:t>
      </w:r>
      <w:bookmarkEnd w:id="2"/>
      <w:bookmarkEnd w:id="3"/>
    </w:p>
    <w:p w14:paraId="6F506A24" w14:textId="77777777" w:rsidR="002F31E3" w:rsidRPr="002B538E" w:rsidRDefault="00203CA9">
      <w:pPr>
        <w:tabs>
          <w:tab w:val="left" w:pos="7514"/>
        </w:tabs>
        <w:spacing w:line="480" w:lineRule="auto"/>
        <w:ind w:firstLineChars="150" w:firstLine="360"/>
        <w:rPr>
          <w:rFonts w:ascii="Times New Roman" w:hAnsi="Times New Roman" w:cs="Times New Roman"/>
          <w:color w:val="000000" w:themeColor="text1"/>
          <w:sz w:val="24"/>
          <w:szCs w:val="24"/>
        </w:rPr>
      </w:pPr>
      <w:r w:rsidRPr="002B538E">
        <w:rPr>
          <w:rFonts w:ascii="Times New Roman" w:hAnsi="Times New Roman" w:cs="Times New Roman"/>
          <w:color w:val="000000" w:themeColor="text1"/>
          <w:sz w:val="24"/>
          <w:szCs w:val="24"/>
        </w:rPr>
        <w:tab/>
      </w:r>
    </w:p>
    <w:p w14:paraId="7B04E541" w14:textId="77777777" w:rsidR="002F31E3" w:rsidRPr="002B538E" w:rsidRDefault="002F31E3">
      <w:pPr>
        <w:spacing w:line="480" w:lineRule="auto"/>
        <w:ind w:firstLineChars="150" w:firstLine="360"/>
        <w:rPr>
          <w:rFonts w:ascii="Times New Roman" w:hAnsi="Times New Roman" w:cs="Times New Roman"/>
          <w:color w:val="000000" w:themeColor="text1"/>
          <w:sz w:val="24"/>
          <w:szCs w:val="24"/>
        </w:rPr>
      </w:pPr>
    </w:p>
    <w:p w14:paraId="05DBEA53" w14:textId="77777777" w:rsidR="002F31E3" w:rsidRPr="002B538E" w:rsidRDefault="002F31E3">
      <w:pPr>
        <w:spacing w:line="480" w:lineRule="auto"/>
        <w:ind w:firstLineChars="150" w:firstLine="360"/>
        <w:rPr>
          <w:rFonts w:ascii="Times New Roman" w:hAnsi="Times New Roman" w:cs="Times New Roman"/>
          <w:color w:val="000000" w:themeColor="text1"/>
          <w:sz w:val="24"/>
          <w:szCs w:val="24"/>
        </w:rPr>
      </w:pPr>
    </w:p>
    <w:p w14:paraId="60B9216E" w14:textId="77777777" w:rsidR="002F31E3" w:rsidRPr="002B538E" w:rsidRDefault="002F31E3">
      <w:pPr>
        <w:spacing w:line="480" w:lineRule="auto"/>
        <w:ind w:firstLineChars="150" w:firstLine="360"/>
        <w:rPr>
          <w:rFonts w:ascii="Times New Roman" w:hAnsi="Times New Roman" w:cs="Times New Roman"/>
          <w:color w:val="000000" w:themeColor="text1"/>
          <w:sz w:val="24"/>
          <w:szCs w:val="24"/>
        </w:rPr>
      </w:pPr>
    </w:p>
    <w:p w14:paraId="39446A67" w14:textId="77777777" w:rsidR="002F31E3" w:rsidRPr="002B538E" w:rsidRDefault="00203CA9">
      <w:pPr>
        <w:spacing w:line="480" w:lineRule="auto"/>
        <w:jc w:val="left"/>
        <w:rPr>
          <w:rFonts w:ascii="Times New Roman" w:hAnsi="Times New Roman" w:cs="Times New Roman"/>
          <w:color w:val="000000" w:themeColor="text1"/>
          <w:sz w:val="24"/>
          <w:szCs w:val="24"/>
        </w:rPr>
      </w:pPr>
      <w:r w:rsidRPr="002B538E">
        <w:rPr>
          <w:rFonts w:ascii="Times New Roman" w:hAnsi="Times New Roman" w:cs="Times New Roman"/>
          <w:color w:val="000000" w:themeColor="text1"/>
          <w:sz w:val="24"/>
          <w:szCs w:val="24"/>
        </w:rPr>
        <w:t>*Corresponding author: Dr. Xiaojun Zhang</w:t>
      </w:r>
    </w:p>
    <w:p w14:paraId="10B2CB69" w14:textId="77777777" w:rsidR="002F31E3" w:rsidRPr="002B538E" w:rsidRDefault="00203CA9">
      <w:pPr>
        <w:spacing w:line="480" w:lineRule="auto"/>
        <w:jc w:val="left"/>
        <w:rPr>
          <w:rFonts w:ascii="Times New Roman" w:hAnsi="Times New Roman" w:cs="Times New Roman"/>
          <w:color w:val="000000" w:themeColor="text1"/>
          <w:sz w:val="24"/>
          <w:szCs w:val="24"/>
        </w:rPr>
      </w:pPr>
      <w:r w:rsidRPr="002B538E">
        <w:rPr>
          <w:rFonts w:ascii="Times New Roman" w:hAnsi="Times New Roman" w:cs="Times New Roman"/>
          <w:color w:val="000000" w:themeColor="text1"/>
          <w:sz w:val="24"/>
          <w:szCs w:val="24"/>
        </w:rPr>
        <w:t xml:space="preserve">State Key Laboratory of Microbial Metabolism, School of Life Sciences &amp; Biotechnology, Shanghai Jiao Tong University, Shanghai 20040, PR China. </w:t>
      </w:r>
    </w:p>
    <w:p w14:paraId="36323464" w14:textId="77777777" w:rsidR="002F31E3" w:rsidRPr="002B538E" w:rsidRDefault="00203CA9">
      <w:pPr>
        <w:spacing w:line="480" w:lineRule="auto"/>
        <w:rPr>
          <w:rFonts w:ascii="Times New Roman" w:hAnsi="Times New Roman" w:cs="Times New Roman"/>
          <w:color w:val="000000" w:themeColor="text1"/>
          <w:sz w:val="24"/>
          <w:szCs w:val="24"/>
        </w:rPr>
      </w:pPr>
      <w:r w:rsidRPr="002B538E">
        <w:rPr>
          <w:rFonts w:ascii="Times New Roman" w:hAnsi="Times New Roman" w:cs="Times New Roman"/>
          <w:color w:val="000000" w:themeColor="text1"/>
          <w:sz w:val="24"/>
          <w:szCs w:val="24"/>
        </w:rPr>
        <w:t xml:space="preserve">Tel: +86 21-34204878; Fax: +86 21-34204878; </w:t>
      </w:r>
    </w:p>
    <w:p w14:paraId="3F10B17A" w14:textId="77777777" w:rsidR="002F31E3" w:rsidRPr="002B538E" w:rsidRDefault="00203CA9">
      <w:pPr>
        <w:numPr>
          <w:ilvl w:val="0"/>
          <w:numId w:val="1"/>
        </w:numPr>
        <w:spacing w:line="480" w:lineRule="auto"/>
        <w:jc w:val="left"/>
        <w:rPr>
          <w:rStyle w:val="af3"/>
          <w:rFonts w:ascii="Times New Roman" w:hAnsi="Times New Roman" w:cs="Times New Roman"/>
          <w:color w:val="000000" w:themeColor="text1"/>
          <w:sz w:val="24"/>
          <w:szCs w:val="24"/>
        </w:rPr>
      </w:pPr>
      <w:r w:rsidRPr="002B538E">
        <w:rPr>
          <w:rFonts w:ascii="Times New Roman" w:hAnsi="Times New Roman" w:cs="Times New Roman"/>
          <w:color w:val="000000" w:themeColor="text1"/>
          <w:sz w:val="24"/>
          <w:szCs w:val="24"/>
        </w:rPr>
        <w:t xml:space="preserve">mail: </w:t>
      </w:r>
      <w:hyperlink r:id="rId8" w:history="1">
        <w:r w:rsidRPr="002B538E">
          <w:rPr>
            <w:rFonts w:ascii="Times New Roman" w:hAnsi="Times New Roman" w:cs="Times New Roman"/>
            <w:color w:val="000000" w:themeColor="text1"/>
            <w:sz w:val="24"/>
            <w:szCs w:val="24"/>
          </w:rPr>
          <w:t>xjzhang68@sjtu.edu.cn</w:t>
        </w:r>
      </w:hyperlink>
    </w:p>
    <w:p w14:paraId="7E75644B" w14:textId="77777777" w:rsidR="002F31E3" w:rsidRPr="002B538E" w:rsidRDefault="002F31E3">
      <w:pPr>
        <w:spacing w:line="480" w:lineRule="auto"/>
        <w:rPr>
          <w:rFonts w:ascii="Times New Roman" w:hAnsi="Times New Roman"/>
          <w:b/>
          <w:bCs/>
          <w:color w:val="000000"/>
          <w:sz w:val="24"/>
          <w:szCs w:val="24"/>
        </w:rPr>
        <w:sectPr w:rsidR="002F31E3" w:rsidRPr="002B538E">
          <w:pgSz w:w="11906" w:h="16838"/>
          <w:pgMar w:top="1440" w:right="1800" w:bottom="1440" w:left="1800" w:header="851" w:footer="992" w:gutter="0"/>
          <w:cols w:space="425"/>
          <w:docGrid w:type="lines" w:linePitch="312"/>
        </w:sectPr>
      </w:pPr>
    </w:p>
    <w:p w14:paraId="78957C51" w14:textId="77777777" w:rsidR="002F31E3" w:rsidRPr="002B538E" w:rsidRDefault="00203CA9">
      <w:pPr>
        <w:spacing w:line="480" w:lineRule="auto"/>
        <w:rPr>
          <w:rFonts w:ascii="Times New Roman" w:hAnsi="Times New Roman"/>
          <w:b/>
          <w:bCs/>
          <w:color w:val="000000"/>
          <w:sz w:val="24"/>
          <w:szCs w:val="24"/>
        </w:rPr>
      </w:pPr>
      <w:r w:rsidRPr="002B538E">
        <w:rPr>
          <w:rFonts w:ascii="Times New Roman" w:hAnsi="Times New Roman"/>
          <w:b/>
          <w:bCs/>
          <w:color w:val="000000"/>
          <w:sz w:val="24"/>
          <w:szCs w:val="24"/>
        </w:rPr>
        <w:lastRenderedPageBreak/>
        <w:t xml:space="preserve">Supplementary </w:t>
      </w:r>
      <w:r w:rsidRPr="002B538E">
        <w:rPr>
          <w:rFonts w:ascii="Times New Roman" w:hAnsi="Times New Roman" w:hint="eastAsia"/>
          <w:b/>
          <w:bCs/>
          <w:color w:val="000000"/>
          <w:sz w:val="24"/>
          <w:szCs w:val="24"/>
        </w:rPr>
        <w:t>Information</w:t>
      </w:r>
    </w:p>
    <w:p w14:paraId="19CF1EFF" w14:textId="77777777" w:rsidR="002F31E3" w:rsidRPr="002B538E" w:rsidRDefault="00203CA9">
      <w:pPr>
        <w:spacing w:line="480" w:lineRule="auto"/>
        <w:jc w:val="center"/>
        <w:rPr>
          <w:rFonts w:ascii="Times New Roman" w:hAnsi="Times New Roman"/>
          <w:sz w:val="24"/>
          <w:szCs w:val="24"/>
        </w:rPr>
      </w:pPr>
      <w:r w:rsidRPr="002B538E">
        <w:rPr>
          <w:rFonts w:ascii="Times New Roman" w:hAnsi="Times New Roman"/>
          <w:b/>
          <w:sz w:val="24"/>
          <w:szCs w:val="24"/>
        </w:rPr>
        <w:t>Table S1</w:t>
      </w:r>
      <w:r w:rsidRPr="002B538E">
        <w:rPr>
          <w:rFonts w:ascii="Times New Roman" w:hAnsi="Times New Roman"/>
          <w:sz w:val="24"/>
          <w:szCs w:val="24"/>
        </w:rPr>
        <w:t xml:space="preserve"> Physicochemical properties of five in situ farmland soils with low</w:t>
      </w:r>
      <w:r w:rsidRPr="002B538E">
        <w:rPr>
          <w:rFonts w:ascii="Times New Roman" w:hAnsi="Times New Roman" w:hint="eastAsia"/>
          <w:sz w:val="24"/>
          <w:szCs w:val="24"/>
        </w:rPr>
        <w:t>-</w:t>
      </w:r>
      <w:r w:rsidRPr="002B538E">
        <w:rPr>
          <w:rFonts w:ascii="Times New Roman" w:hAnsi="Times New Roman"/>
          <w:sz w:val="24"/>
          <w:szCs w:val="24"/>
        </w:rPr>
        <w:t xml:space="preserve"> and high</w:t>
      </w:r>
      <w:r w:rsidRPr="002B538E">
        <w:rPr>
          <w:rFonts w:ascii="Times New Roman" w:hAnsi="Times New Roman" w:hint="eastAsia"/>
          <w:sz w:val="24"/>
          <w:szCs w:val="24"/>
        </w:rPr>
        <w:t>-</w:t>
      </w:r>
      <w:r w:rsidRPr="002B538E">
        <w:rPr>
          <w:rFonts w:ascii="Times New Roman" w:hAnsi="Times New Roman"/>
          <w:sz w:val="24"/>
          <w:szCs w:val="24"/>
        </w:rPr>
        <w:t xml:space="preserve"> fertilization histories.</w:t>
      </w:r>
      <w:r w:rsidRPr="002B538E">
        <w:rPr>
          <w:rFonts w:ascii="Times New Roman" w:hAnsi="Times New Roman" w:hint="eastAsia"/>
          <w:sz w:val="24"/>
          <w:szCs w:val="24"/>
        </w:rPr>
        <w:t xml:space="preserve"> </w:t>
      </w:r>
    </w:p>
    <w:tbl>
      <w:tblPr>
        <w:tblStyle w:val="ae"/>
        <w:tblW w:w="15173" w:type="dxa"/>
        <w:tblInd w:w="-514" w:type="dxa"/>
        <w:tblBorders>
          <w:left w:val="none" w:sz="0" w:space="0" w:color="auto"/>
          <w:right w:val="none" w:sz="0" w:space="0" w:color="auto"/>
        </w:tblBorders>
        <w:tblLook w:val="04A0" w:firstRow="1" w:lastRow="0" w:firstColumn="1" w:lastColumn="0" w:noHBand="0" w:noVBand="1"/>
      </w:tblPr>
      <w:tblGrid>
        <w:gridCol w:w="1961"/>
        <w:gridCol w:w="1222"/>
        <w:gridCol w:w="1319"/>
        <w:gridCol w:w="1319"/>
        <w:gridCol w:w="1438"/>
        <w:gridCol w:w="1319"/>
        <w:gridCol w:w="1319"/>
        <w:gridCol w:w="1319"/>
        <w:gridCol w:w="1319"/>
        <w:gridCol w:w="1319"/>
        <w:gridCol w:w="1319"/>
      </w:tblGrid>
      <w:tr w:rsidR="002F31E3" w:rsidRPr="002B538E" w14:paraId="2424580E" w14:textId="77777777">
        <w:trPr>
          <w:trHeight w:val="430"/>
        </w:trPr>
        <w:tc>
          <w:tcPr>
            <w:tcW w:w="1961" w:type="dxa"/>
            <w:tcBorders>
              <w:top w:val="single" w:sz="4" w:space="0" w:color="auto"/>
              <w:left w:val="nil"/>
              <w:bottom w:val="single" w:sz="4" w:space="0" w:color="auto"/>
              <w:right w:val="nil"/>
            </w:tcBorders>
            <w:vAlign w:val="center"/>
          </w:tcPr>
          <w:p w14:paraId="39E4E1F2" w14:textId="77777777" w:rsidR="002F31E3" w:rsidRPr="002B538E" w:rsidRDefault="002F31E3">
            <w:pPr>
              <w:jc w:val="center"/>
              <w:rPr>
                <w:rFonts w:ascii="Times New Roman" w:eastAsia="宋体" w:hAnsi="Times New Roman" w:cs="Times New Roman"/>
                <w:b/>
                <w:kern w:val="0"/>
                <w:sz w:val="18"/>
                <w:szCs w:val="18"/>
              </w:rPr>
            </w:pPr>
          </w:p>
        </w:tc>
        <w:tc>
          <w:tcPr>
            <w:tcW w:w="1222" w:type="dxa"/>
            <w:tcBorders>
              <w:top w:val="single" w:sz="4" w:space="0" w:color="auto"/>
              <w:left w:val="nil"/>
              <w:bottom w:val="single" w:sz="4" w:space="0" w:color="auto"/>
              <w:right w:val="nil"/>
            </w:tcBorders>
            <w:vAlign w:val="center"/>
          </w:tcPr>
          <w:p w14:paraId="1CBCDB6E"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BFL</w:t>
            </w:r>
          </w:p>
        </w:tc>
        <w:tc>
          <w:tcPr>
            <w:tcW w:w="1319" w:type="dxa"/>
            <w:tcBorders>
              <w:top w:val="single" w:sz="4" w:space="0" w:color="auto"/>
              <w:left w:val="nil"/>
              <w:bottom w:val="single" w:sz="4" w:space="0" w:color="auto"/>
              <w:right w:val="nil"/>
            </w:tcBorders>
            <w:vAlign w:val="center"/>
          </w:tcPr>
          <w:p w14:paraId="143ACEA0"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BFH</w:t>
            </w:r>
          </w:p>
        </w:tc>
        <w:tc>
          <w:tcPr>
            <w:tcW w:w="1319" w:type="dxa"/>
            <w:tcBorders>
              <w:top w:val="single" w:sz="4" w:space="0" w:color="auto"/>
              <w:left w:val="nil"/>
              <w:bottom w:val="single" w:sz="4" w:space="0" w:color="auto"/>
              <w:right w:val="nil"/>
            </w:tcBorders>
            <w:vAlign w:val="center"/>
          </w:tcPr>
          <w:p w14:paraId="2F15846D"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LFL</w:t>
            </w:r>
          </w:p>
        </w:tc>
        <w:tc>
          <w:tcPr>
            <w:tcW w:w="1438" w:type="dxa"/>
            <w:tcBorders>
              <w:top w:val="single" w:sz="4" w:space="0" w:color="auto"/>
              <w:left w:val="nil"/>
              <w:bottom w:val="single" w:sz="4" w:space="0" w:color="auto"/>
              <w:right w:val="nil"/>
            </w:tcBorders>
            <w:vAlign w:val="center"/>
          </w:tcPr>
          <w:p w14:paraId="67861B31"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LFH</w:t>
            </w:r>
          </w:p>
        </w:tc>
        <w:tc>
          <w:tcPr>
            <w:tcW w:w="1319" w:type="dxa"/>
            <w:tcBorders>
              <w:top w:val="single" w:sz="4" w:space="0" w:color="auto"/>
              <w:left w:val="nil"/>
              <w:bottom w:val="single" w:sz="4" w:space="0" w:color="auto"/>
              <w:right w:val="nil"/>
            </w:tcBorders>
            <w:vAlign w:val="center"/>
          </w:tcPr>
          <w:p w14:paraId="1ECE1F96"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YFL</w:t>
            </w:r>
          </w:p>
        </w:tc>
        <w:tc>
          <w:tcPr>
            <w:tcW w:w="1319" w:type="dxa"/>
            <w:tcBorders>
              <w:top w:val="single" w:sz="4" w:space="0" w:color="auto"/>
              <w:left w:val="nil"/>
              <w:bottom w:val="single" w:sz="4" w:space="0" w:color="auto"/>
              <w:right w:val="nil"/>
            </w:tcBorders>
            <w:vAlign w:val="center"/>
          </w:tcPr>
          <w:p w14:paraId="649E8FD6"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YFH</w:t>
            </w:r>
          </w:p>
        </w:tc>
        <w:tc>
          <w:tcPr>
            <w:tcW w:w="1319" w:type="dxa"/>
            <w:tcBorders>
              <w:top w:val="single" w:sz="4" w:space="0" w:color="auto"/>
              <w:left w:val="nil"/>
              <w:bottom w:val="single" w:sz="4" w:space="0" w:color="auto"/>
              <w:right w:val="nil"/>
            </w:tcBorders>
            <w:vAlign w:val="center"/>
          </w:tcPr>
          <w:p w14:paraId="3200F67C"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RFL</w:t>
            </w:r>
          </w:p>
        </w:tc>
        <w:tc>
          <w:tcPr>
            <w:tcW w:w="1319" w:type="dxa"/>
            <w:tcBorders>
              <w:top w:val="single" w:sz="4" w:space="0" w:color="auto"/>
              <w:left w:val="nil"/>
              <w:bottom w:val="single" w:sz="4" w:space="0" w:color="auto"/>
              <w:right w:val="nil"/>
            </w:tcBorders>
            <w:vAlign w:val="center"/>
          </w:tcPr>
          <w:p w14:paraId="69FCC28B"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RFH</w:t>
            </w:r>
          </w:p>
        </w:tc>
        <w:tc>
          <w:tcPr>
            <w:tcW w:w="1319" w:type="dxa"/>
            <w:tcBorders>
              <w:top w:val="single" w:sz="4" w:space="0" w:color="auto"/>
              <w:left w:val="nil"/>
              <w:bottom w:val="single" w:sz="4" w:space="0" w:color="auto"/>
              <w:right w:val="nil"/>
            </w:tcBorders>
            <w:vAlign w:val="center"/>
          </w:tcPr>
          <w:p w14:paraId="20C043FC"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FFL</w:t>
            </w:r>
          </w:p>
        </w:tc>
        <w:tc>
          <w:tcPr>
            <w:tcW w:w="1319" w:type="dxa"/>
            <w:tcBorders>
              <w:top w:val="single" w:sz="4" w:space="0" w:color="auto"/>
              <w:left w:val="nil"/>
              <w:bottom w:val="single" w:sz="4" w:space="0" w:color="auto"/>
              <w:right w:val="nil"/>
            </w:tcBorders>
            <w:vAlign w:val="center"/>
          </w:tcPr>
          <w:p w14:paraId="0AFCED32" w14:textId="77777777" w:rsidR="002F31E3" w:rsidRPr="002B538E" w:rsidRDefault="00203CA9">
            <w:pPr>
              <w:jc w:val="center"/>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FFH</w:t>
            </w:r>
          </w:p>
        </w:tc>
      </w:tr>
      <w:tr w:rsidR="002F31E3" w:rsidRPr="002B538E" w14:paraId="56ECF32A" w14:textId="77777777">
        <w:trPr>
          <w:trHeight w:val="453"/>
        </w:trPr>
        <w:tc>
          <w:tcPr>
            <w:tcW w:w="1961" w:type="dxa"/>
            <w:tcBorders>
              <w:top w:val="single" w:sz="4" w:space="0" w:color="auto"/>
              <w:left w:val="nil"/>
              <w:bottom w:val="nil"/>
              <w:right w:val="nil"/>
            </w:tcBorders>
            <w:vAlign w:val="center"/>
          </w:tcPr>
          <w:p w14:paraId="2152D01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pH</w:t>
            </w:r>
          </w:p>
        </w:tc>
        <w:tc>
          <w:tcPr>
            <w:tcW w:w="1222" w:type="dxa"/>
            <w:tcBorders>
              <w:top w:val="single" w:sz="4" w:space="0" w:color="auto"/>
              <w:left w:val="nil"/>
              <w:bottom w:val="nil"/>
              <w:right w:val="nil"/>
            </w:tcBorders>
            <w:vAlign w:val="center"/>
          </w:tcPr>
          <w:p w14:paraId="0106461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7.69±0.15</w:t>
            </w:r>
          </w:p>
        </w:tc>
        <w:tc>
          <w:tcPr>
            <w:tcW w:w="1319" w:type="dxa"/>
            <w:tcBorders>
              <w:top w:val="single" w:sz="4" w:space="0" w:color="auto"/>
              <w:left w:val="nil"/>
              <w:bottom w:val="nil"/>
              <w:right w:val="nil"/>
            </w:tcBorders>
            <w:vAlign w:val="center"/>
          </w:tcPr>
          <w:p w14:paraId="68BAE51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7.67±0.01</w:t>
            </w:r>
          </w:p>
        </w:tc>
        <w:tc>
          <w:tcPr>
            <w:tcW w:w="1319" w:type="dxa"/>
            <w:tcBorders>
              <w:top w:val="single" w:sz="4" w:space="0" w:color="auto"/>
              <w:left w:val="nil"/>
              <w:bottom w:val="nil"/>
              <w:right w:val="nil"/>
            </w:tcBorders>
            <w:vAlign w:val="center"/>
          </w:tcPr>
          <w:p w14:paraId="64F3D1A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8.34±0.07</w:t>
            </w:r>
          </w:p>
        </w:tc>
        <w:tc>
          <w:tcPr>
            <w:tcW w:w="1438" w:type="dxa"/>
            <w:tcBorders>
              <w:top w:val="single" w:sz="4" w:space="0" w:color="auto"/>
              <w:left w:val="nil"/>
              <w:bottom w:val="nil"/>
              <w:right w:val="nil"/>
            </w:tcBorders>
            <w:vAlign w:val="center"/>
          </w:tcPr>
          <w:p w14:paraId="78BE528C"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8.11±0.01</w:t>
            </w:r>
          </w:p>
        </w:tc>
        <w:tc>
          <w:tcPr>
            <w:tcW w:w="1319" w:type="dxa"/>
            <w:tcBorders>
              <w:top w:val="single" w:sz="4" w:space="0" w:color="auto"/>
              <w:left w:val="nil"/>
              <w:bottom w:val="nil"/>
              <w:right w:val="nil"/>
            </w:tcBorders>
            <w:vAlign w:val="center"/>
          </w:tcPr>
          <w:p w14:paraId="3871BA1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7.80±0.18</w:t>
            </w:r>
          </w:p>
        </w:tc>
        <w:tc>
          <w:tcPr>
            <w:tcW w:w="1319" w:type="dxa"/>
            <w:tcBorders>
              <w:top w:val="single" w:sz="4" w:space="0" w:color="auto"/>
              <w:left w:val="nil"/>
              <w:bottom w:val="nil"/>
              <w:right w:val="nil"/>
            </w:tcBorders>
            <w:vAlign w:val="center"/>
          </w:tcPr>
          <w:p w14:paraId="7DFE1B7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7.08±0.03</w:t>
            </w:r>
          </w:p>
        </w:tc>
        <w:tc>
          <w:tcPr>
            <w:tcW w:w="1319" w:type="dxa"/>
            <w:tcBorders>
              <w:top w:val="single" w:sz="4" w:space="0" w:color="auto"/>
              <w:left w:val="nil"/>
              <w:bottom w:val="nil"/>
              <w:right w:val="nil"/>
            </w:tcBorders>
            <w:vAlign w:val="center"/>
          </w:tcPr>
          <w:p w14:paraId="186F9246"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6.52±0.22</w:t>
            </w:r>
          </w:p>
        </w:tc>
        <w:tc>
          <w:tcPr>
            <w:tcW w:w="1319" w:type="dxa"/>
            <w:tcBorders>
              <w:top w:val="single" w:sz="4" w:space="0" w:color="auto"/>
              <w:left w:val="nil"/>
              <w:bottom w:val="nil"/>
              <w:right w:val="nil"/>
            </w:tcBorders>
            <w:vAlign w:val="center"/>
          </w:tcPr>
          <w:p w14:paraId="0B4B4134"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5.42±0.03</w:t>
            </w:r>
          </w:p>
        </w:tc>
        <w:tc>
          <w:tcPr>
            <w:tcW w:w="1319" w:type="dxa"/>
            <w:tcBorders>
              <w:top w:val="single" w:sz="4" w:space="0" w:color="auto"/>
              <w:left w:val="nil"/>
              <w:bottom w:val="nil"/>
              <w:right w:val="nil"/>
            </w:tcBorders>
            <w:vAlign w:val="center"/>
          </w:tcPr>
          <w:p w14:paraId="61111D1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8.02±0.10</w:t>
            </w:r>
          </w:p>
        </w:tc>
        <w:tc>
          <w:tcPr>
            <w:tcW w:w="1319" w:type="dxa"/>
            <w:tcBorders>
              <w:top w:val="single" w:sz="4" w:space="0" w:color="auto"/>
              <w:left w:val="nil"/>
              <w:bottom w:val="nil"/>
              <w:right w:val="nil"/>
            </w:tcBorders>
            <w:vAlign w:val="center"/>
          </w:tcPr>
          <w:p w14:paraId="6895D3D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7.93±0.08</w:t>
            </w:r>
          </w:p>
        </w:tc>
      </w:tr>
      <w:tr w:rsidR="002F31E3" w:rsidRPr="002B538E" w14:paraId="7E6FE0CA" w14:textId="77777777">
        <w:trPr>
          <w:trHeight w:val="453"/>
        </w:trPr>
        <w:tc>
          <w:tcPr>
            <w:tcW w:w="1961" w:type="dxa"/>
            <w:tcBorders>
              <w:top w:val="nil"/>
              <w:left w:val="nil"/>
              <w:bottom w:val="nil"/>
              <w:right w:val="nil"/>
            </w:tcBorders>
            <w:vAlign w:val="center"/>
          </w:tcPr>
          <w:p w14:paraId="5B39691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O</w:t>
            </w:r>
            <w:r w:rsidRPr="002B538E">
              <w:rPr>
                <w:rFonts w:ascii="Times New Roman" w:eastAsia="宋体" w:hAnsi="Times New Roman" w:cs="Times New Roman"/>
                <w:kern w:val="0"/>
                <w:sz w:val="18"/>
                <w:szCs w:val="18"/>
                <w:vertAlign w:val="subscript"/>
              </w:rPr>
              <w:t>3</w:t>
            </w:r>
            <w:r w:rsidRPr="002B538E">
              <w:rPr>
                <w:rFonts w:ascii="Times New Roman" w:eastAsia="宋体" w:hAnsi="Times New Roman" w:cs="Times New Roman"/>
                <w:kern w:val="0"/>
                <w:sz w:val="18"/>
                <w:szCs w:val="18"/>
                <w:vertAlign w:val="superscript"/>
              </w:rPr>
              <w:t>-</w:t>
            </w:r>
            <w:r w:rsidRPr="002B538E">
              <w:rPr>
                <w:rFonts w:ascii="Times New Roman" w:eastAsia="宋体" w:hAnsi="Times New Roman" w:cs="Times New Roman"/>
                <w:kern w:val="0"/>
                <w:sz w:val="18"/>
                <w:szCs w:val="18"/>
              </w:rPr>
              <w:t>-N</w:t>
            </w:r>
            <w:r w:rsidRPr="002B538E">
              <w:rPr>
                <w:rFonts w:ascii="宋体" w:eastAsia="宋体" w:hAnsi="宋体" w:cs="Times New Roman" w:hint="eastAsia"/>
                <w:kern w:val="0"/>
                <w:sz w:val="18"/>
                <w:szCs w:val="18"/>
              </w:rPr>
              <w:t>（</w:t>
            </w:r>
            <w:r w:rsidRPr="002B538E">
              <w:rPr>
                <w:rFonts w:ascii="Times New Roman" w:eastAsia="宋体" w:hAnsi="Times New Roman" w:cs="Times New Roman"/>
                <w:kern w:val="0"/>
                <w:sz w:val="18"/>
                <w:szCs w:val="18"/>
              </w:rPr>
              <w:t>mg/kg)</w:t>
            </w:r>
          </w:p>
        </w:tc>
        <w:tc>
          <w:tcPr>
            <w:tcW w:w="1222" w:type="dxa"/>
            <w:tcBorders>
              <w:top w:val="nil"/>
              <w:left w:val="nil"/>
              <w:bottom w:val="nil"/>
              <w:right w:val="nil"/>
            </w:tcBorders>
            <w:vAlign w:val="center"/>
          </w:tcPr>
          <w:p w14:paraId="4481D1E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14.48±2.97</w:t>
            </w:r>
          </w:p>
        </w:tc>
        <w:tc>
          <w:tcPr>
            <w:tcW w:w="1319" w:type="dxa"/>
            <w:tcBorders>
              <w:top w:val="nil"/>
              <w:left w:val="nil"/>
              <w:bottom w:val="nil"/>
              <w:right w:val="nil"/>
            </w:tcBorders>
            <w:vAlign w:val="center"/>
          </w:tcPr>
          <w:p w14:paraId="435F55E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13.67±0.12</w:t>
            </w:r>
          </w:p>
        </w:tc>
        <w:tc>
          <w:tcPr>
            <w:tcW w:w="1319" w:type="dxa"/>
            <w:tcBorders>
              <w:top w:val="nil"/>
              <w:left w:val="nil"/>
              <w:bottom w:val="nil"/>
              <w:right w:val="nil"/>
            </w:tcBorders>
            <w:vAlign w:val="center"/>
          </w:tcPr>
          <w:p w14:paraId="3B6E57F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12.17±0.72</w:t>
            </w:r>
          </w:p>
        </w:tc>
        <w:tc>
          <w:tcPr>
            <w:tcW w:w="1438" w:type="dxa"/>
            <w:tcBorders>
              <w:top w:val="nil"/>
              <w:left w:val="nil"/>
              <w:bottom w:val="nil"/>
              <w:right w:val="nil"/>
            </w:tcBorders>
            <w:vAlign w:val="center"/>
          </w:tcPr>
          <w:p w14:paraId="1331F75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107.29±1.02</w:t>
            </w:r>
          </w:p>
        </w:tc>
        <w:tc>
          <w:tcPr>
            <w:tcW w:w="1319" w:type="dxa"/>
            <w:tcBorders>
              <w:top w:val="nil"/>
              <w:left w:val="nil"/>
              <w:bottom w:val="nil"/>
              <w:right w:val="nil"/>
            </w:tcBorders>
            <w:vAlign w:val="center"/>
          </w:tcPr>
          <w:p w14:paraId="7EEAEFE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2.51±0.3</w:t>
            </w:r>
          </w:p>
        </w:tc>
        <w:tc>
          <w:tcPr>
            <w:tcW w:w="1319" w:type="dxa"/>
            <w:tcBorders>
              <w:top w:val="nil"/>
              <w:left w:val="nil"/>
              <w:bottom w:val="nil"/>
              <w:right w:val="nil"/>
            </w:tcBorders>
            <w:vAlign w:val="center"/>
          </w:tcPr>
          <w:p w14:paraId="1601E08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240.27±3.6</w:t>
            </w:r>
          </w:p>
        </w:tc>
        <w:tc>
          <w:tcPr>
            <w:tcW w:w="1319" w:type="dxa"/>
            <w:tcBorders>
              <w:top w:val="nil"/>
              <w:left w:val="nil"/>
              <w:bottom w:val="nil"/>
              <w:right w:val="nil"/>
            </w:tcBorders>
            <w:vAlign w:val="center"/>
          </w:tcPr>
          <w:p w14:paraId="610EBD9B"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2.01±0.13</w:t>
            </w:r>
          </w:p>
        </w:tc>
        <w:tc>
          <w:tcPr>
            <w:tcW w:w="1319" w:type="dxa"/>
            <w:tcBorders>
              <w:top w:val="nil"/>
              <w:left w:val="nil"/>
              <w:bottom w:val="nil"/>
              <w:right w:val="nil"/>
            </w:tcBorders>
            <w:vAlign w:val="center"/>
          </w:tcPr>
          <w:p w14:paraId="0D8CD01C"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11.81±0.11</w:t>
            </w:r>
          </w:p>
        </w:tc>
        <w:tc>
          <w:tcPr>
            <w:tcW w:w="1319" w:type="dxa"/>
            <w:tcBorders>
              <w:top w:val="nil"/>
              <w:left w:val="nil"/>
              <w:bottom w:val="nil"/>
              <w:right w:val="nil"/>
            </w:tcBorders>
            <w:vAlign w:val="center"/>
          </w:tcPr>
          <w:p w14:paraId="6E186BC1"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5.96±0.14</w:t>
            </w:r>
          </w:p>
        </w:tc>
        <w:tc>
          <w:tcPr>
            <w:tcW w:w="1319" w:type="dxa"/>
            <w:tcBorders>
              <w:top w:val="nil"/>
              <w:left w:val="nil"/>
              <w:bottom w:val="nil"/>
              <w:right w:val="nil"/>
            </w:tcBorders>
            <w:vAlign w:val="center"/>
          </w:tcPr>
          <w:p w14:paraId="39EAC40C"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26.11±0.47</w:t>
            </w:r>
          </w:p>
        </w:tc>
      </w:tr>
      <w:tr w:rsidR="002F31E3" w:rsidRPr="002B538E" w14:paraId="4D1DCBEC" w14:textId="77777777">
        <w:trPr>
          <w:trHeight w:val="453"/>
        </w:trPr>
        <w:tc>
          <w:tcPr>
            <w:tcW w:w="1961" w:type="dxa"/>
            <w:tcBorders>
              <w:top w:val="nil"/>
              <w:left w:val="nil"/>
              <w:bottom w:val="nil"/>
              <w:right w:val="nil"/>
            </w:tcBorders>
            <w:vAlign w:val="center"/>
          </w:tcPr>
          <w:p w14:paraId="250F9CD2"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O</w:t>
            </w:r>
            <w:r w:rsidRPr="002B538E">
              <w:rPr>
                <w:rFonts w:ascii="Times New Roman" w:eastAsia="宋体" w:hAnsi="Times New Roman" w:cs="Times New Roman"/>
                <w:kern w:val="0"/>
                <w:sz w:val="18"/>
                <w:szCs w:val="18"/>
                <w:vertAlign w:val="subscript"/>
              </w:rPr>
              <w:t>2</w:t>
            </w:r>
            <w:r w:rsidRPr="002B538E">
              <w:rPr>
                <w:rFonts w:ascii="Times New Roman" w:eastAsia="宋体" w:hAnsi="Times New Roman" w:cs="Times New Roman"/>
                <w:kern w:val="0"/>
                <w:sz w:val="18"/>
                <w:szCs w:val="18"/>
                <w:vertAlign w:val="superscript"/>
              </w:rPr>
              <w:t>-</w:t>
            </w:r>
            <w:r w:rsidRPr="002B538E">
              <w:rPr>
                <w:rFonts w:ascii="Times New Roman" w:eastAsia="宋体" w:hAnsi="Times New Roman" w:cs="Times New Roman"/>
                <w:kern w:val="0"/>
                <w:sz w:val="18"/>
                <w:szCs w:val="18"/>
              </w:rPr>
              <w:t>-N</w:t>
            </w:r>
            <w:r w:rsidRPr="002B538E">
              <w:rPr>
                <w:rFonts w:ascii="宋体" w:eastAsia="宋体" w:hAnsi="宋体" w:cs="Times New Roman" w:hint="eastAsia"/>
                <w:kern w:val="0"/>
                <w:sz w:val="18"/>
                <w:szCs w:val="18"/>
              </w:rPr>
              <w:t>（</w:t>
            </w:r>
            <w:r w:rsidRPr="002B538E">
              <w:rPr>
                <w:rFonts w:ascii="Times New Roman" w:eastAsia="宋体" w:hAnsi="Times New Roman" w:cs="Times New Roman"/>
                <w:kern w:val="0"/>
                <w:sz w:val="18"/>
                <w:szCs w:val="18"/>
              </w:rPr>
              <w:t>mg/kg)</w:t>
            </w:r>
          </w:p>
        </w:tc>
        <w:tc>
          <w:tcPr>
            <w:tcW w:w="1222" w:type="dxa"/>
            <w:tcBorders>
              <w:top w:val="nil"/>
              <w:left w:val="nil"/>
              <w:bottom w:val="nil"/>
              <w:right w:val="nil"/>
            </w:tcBorders>
            <w:vAlign w:val="center"/>
          </w:tcPr>
          <w:p w14:paraId="62FFEC71"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0F1EA82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2626D39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438" w:type="dxa"/>
            <w:tcBorders>
              <w:top w:val="nil"/>
              <w:left w:val="nil"/>
              <w:bottom w:val="nil"/>
              <w:right w:val="nil"/>
            </w:tcBorders>
            <w:vAlign w:val="center"/>
          </w:tcPr>
          <w:p w14:paraId="3A900A64"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42EB838E"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6022C7A2"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31518504"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1F68CB4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124A96E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c>
          <w:tcPr>
            <w:tcW w:w="1319" w:type="dxa"/>
            <w:tcBorders>
              <w:top w:val="nil"/>
              <w:left w:val="nil"/>
              <w:bottom w:val="nil"/>
              <w:right w:val="nil"/>
            </w:tcBorders>
            <w:vAlign w:val="center"/>
          </w:tcPr>
          <w:p w14:paraId="528B829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D</w:t>
            </w:r>
          </w:p>
        </w:tc>
      </w:tr>
      <w:tr w:rsidR="002F31E3" w:rsidRPr="002B538E" w14:paraId="55550024" w14:textId="77777777">
        <w:trPr>
          <w:trHeight w:val="453"/>
        </w:trPr>
        <w:tc>
          <w:tcPr>
            <w:tcW w:w="1961" w:type="dxa"/>
            <w:tcBorders>
              <w:top w:val="nil"/>
              <w:left w:val="nil"/>
              <w:bottom w:val="nil"/>
              <w:right w:val="nil"/>
            </w:tcBorders>
            <w:vAlign w:val="center"/>
          </w:tcPr>
          <w:p w14:paraId="0B24FA4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N</w:t>
            </w:r>
            <w:r w:rsidRPr="002B538E">
              <w:rPr>
                <w:rFonts w:ascii="Times New Roman" w:eastAsia="宋体" w:hAnsi="Times New Roman" w:cs="Times New Roman"/>
                <w:kern w:val="0"/>
                <w:sz w:val="18"/>
                <w:szCs w:val="18"/>
              </w:rPr>
              <w:t>H</w:t>
            </w:r>
            <w:r w:rsidRPr="002B538E">
              <w:rPr>
                <w:rFonts w:ascii="Times New Roman" w:eastAsia="宋体" w:hAnsi="Times New Roman" w:cs="Times New Roman"/>
                <w:kern w:val="0"/>
                <w:sz w:val="18"/>
                <w:szCs w:val="18"/>
                <w:vertAlign w:val="subscript"/>
              </w:rPr>
              <w:t>4</w:t>
            </w:r>
            <w:r w:rsidRPr="002B538E">
              <w:rPr>
                <w:rFonts w:ascii="Times New Roman" w:eastAsia="宋体" w:hAnsi="Times New Roman" w:cs="Times New Roman"/>
                <w:kern w:val="0"/>
                <w:sz w:val="18"/>
                <w:szCs w:val="18"/>
                <w:vertAlign w:val="superscript"/>
              </w:rPr>
              <w:t>+</w:t>
            </w:r>
            <w:r w:rsidRPr="002B538E">
              <w:rPr>
                <w:rFonts w:ascii="Times New Roman" w:eastAsia="宋体" w:hAnsi="Times New Roman" w:cs="Times New Roman"/>
                <w:kern w:val="0"/>
                <w:sz w:val="18"/>
                <w:szCs w:val="18"/>
              </w:rPr>
              <w:t>-N</w:t>
            </w:r>
            <w:r w:rsidRPr="002B538E">
              <w:rPr>
                <w:rFonts w:ascii="宋体" w:eastAsia="宋体" w:hAnsi="宋体" w:cs="Times New Roman" w:hint="eastAsia"/>
                <w:kern w:val="0"/>
                <w:sz w:val="18"/>
                <w:szCs w:val="18"/>
              </w:rPr>
              <w:t>（</w:t>
            </w:r>
            <w:r w:rsidRPr="002B538E">
              <w:rPr>
                <w:rFonts w:ascii="Times New Roman" w:eastAsia="宋体" w:hAnsi="Times New Roman" w:cs="Times New Roman"/>
                <w:kern w:val="0"/>
                <w:sz w:val="18"/>
                <w:szCs w:val="18"/>
              </w:rPr>
              <w:t>mg/kg)</w:t>
            </w:r>
          </w:p>
        </w:tc>
        <w:tc>
          <w:tcPr>
            <w:tcW w:w="1222" w:type="dxa"/>
            <w:tcBorders>
              <w:top w:val="nil"/>
              <w:left w:val="nil"/>
              <w:bottom w:val="nil"/>
              <w:right w:val="nil"/>
            </w:tcBorders>
            <w:vAlign w:val="center"/>
          </w:tcPr>
          <w:p w14:paraId="24A110B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7.57±4.16</w:t>
            </w:r>
          </w:p>
        </w:tc>
        <w:tc>
          <w:tcPr>
            <w:tcW w:w="1319" w:type="dxa"/>
            <w:tcBorders>
              <w:top w:val="nil"/>
              <w:left w:val="nil"/>
              <w:bottom w:val="nil"/>
              <w:right w:val="nil"/>
            </w:tcBorders>
            <w:vAlign w:val="center"/>
          </w:tcPr>
          <w:p w14:paraId="520BF1E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4.94±5.73</w:t>
            </w:r>
          </w:p>
        </w:tc>
        <w:tc>
          <w:tcPr>
            <w:tcW w:w="1319" w:type="dxa"/>
            <w:tcBorders>
              <w:top w:val="nil"/>
              <w:left w:val="nil"/>
              <w:bottom w:val="nil"/>
              <w:right w:val="nil"/>
            </w:tcBorders>
            <w:vAlign w:val="center"/>
          </w:tcPr>
          <w:p w14:paraId="2F4D3E6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4.53±4.06</w:t>
            </w:r>
          </w:p>
        </w:tc>
        <w:tc>
          <w:tcPr>
            <w:tcW w:w="1438" w:type="dxa"/>
            <w:tcBorders>
              <w:top w:val="nil"/>
              <w:left w:val="nil"/>
              <w:bottom w:val="nil"/>
              <w:right w:val="nil"/>
            </w:tcBorders>
            <w:vAlign w:val="center"/>
          </w:tcPr>
          <w:p w14:paraId="415FFAC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1.76±0.72</w:t>
            </w:r>
          </w:p>
        </w:tc>
        <w:tc>
          <w:tcPr>
            <w:tcW w:w="1319" w:type="dxa"/>
            <w:tcBorders>
              <w:top w:val="nil"/>
              <w:left w:val="nil"/>
              <w:bottom w:val="nil"/>
              <w:right w:val="nil"/>
            </w:tcBorders>
            <w:vAlign w:val="center"/>
          </w:tcPr>
          <w:p w14:paraId="1A24FD8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2.91±1.65</w:t>
            </w:r>
          </w:p>
        </w:tc>
        <w:tc>
          <w:tcPr>
            <w:tcW w:w="1319" w:type="dxa"/>
            <w:tcBorders>
              <w:top w:val="nil"/>
              <w:left w:val="nil"/>
              <w:bottom w:val="nil"/>
              <w:right w:val="nil"/>
            </w:tcBorders>
            <w:vAlign w:val="center"/>
          </w:tcPr>
          <w:p w14:paraId="181E542C"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5.57±3.13</w:t>
            </w:r>
          </w:p>
        </w:tc>
        <w:tc>
          <w:tcPr>
            <w:tcW w:w="1319" w:type="dxa"/>
            <w:tcBorders>
              <w:top w:val="nil"/>
              <w:left w:val="nil"/>
              <w:bottom w:val="nil"/>
              <w:right w:val="nil"/>
            </w:tcBorders>
            <w:vAlign w:val="center"/>
          </w:tcPr>
          <w:p w14:paraId="5E8FDDB2"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0.94±0.82</w:t>
            </w:r>
          </w:p>
        </w:tc>
        <w:tc>
          <w:tcPr>
            <w:tcW w:w="1319" w:type="dxa"/>
            <w:tcBorders>
              <w:top w:val="nil"/>
              <w:left w:val="nil"/>
              <w:bottom w:val="nil"/>
              <w:right w:val="nil"/>
            </w:tcBorders>
            <w:vAlign w:val="center"/>
          </w:tcPr>
          <w:p w14:paraId="5038DAF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0.04±0.02</w:t>
            </w:r>
          </w:p>
        </w:tc>
        <w:tc>
          <w:tcPr>
            <w:tcW w:w="1319" w:type="dxa"/>
            <w:tcBorders>
              <w:top w:val="nil"/>
              <w:left w:val="nil"/>
              <w:bottom w:val="nil"/>
              <w:right w:val="nil"/>
            </w:tcBorders>
            <w:vAlign w:val="center"/>
          </w:tcPr>
          <w:p w14:paraId="303525C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0.47±0.77</w:t>
            </w:r>
          </w:p>
        </w:tc>
        <w:tc>
          <w:tcPr>
            <w:tcW w:w="1319" w:type="dxa"/>
            <w:tcBorders>
              <w:top w:val="nil"/>
              <w:left w:val="nil"/>
              <w:bottom w:val="nil"/>
              <w:right w:val="nil"/>
            </w:tcBorders>
            <w:vAlign w:val="center"/>
          </w:tcPr>
          <w:p w14:paraId="01F5FF6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0.26±0.29</w:t>
            </w:r>
          </w:p>
        </w:tc>
      </w:tr>
      <w:tr w:rsidR="002F31E3" w:rsidRPr="002B538E" w14:paraId="23F4E5BA" w14:textId="77777777">
        <w:trPr>
          <w:trHeight w:val="429"/>
        </w:trPr>
        <w:tc>
          <w:tcPr>
            <w:tcW w:w="1961" w:type="dxa"/>
            <w:tcBorders>
              <w:top w:val="nil"/>
              <w:left w:val="nil"/>
              <w:bottom w:val="nil"/>
              <w:right w:val="nil"/>
            </w:tcBorders>
            <w:vAlign w:val="center"/>
          </w:tcPr>
          <w:p w14:paraId="38F3557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DOC</w:t>
            </w:r>
            <w:r w:rsidRPr="002B538E">
              <w:rPr>
                <w:rFonts w:ascii="宋体" w:eastAsia="宋体" w:hAnsi="宋体" w:cs="Times New Roman"/>
                <w:kern w:val="0"/>
                <w:sz w:val="18"/>
                <w:szCs w:val="18"/>
              </w:rPr>
              <w:t>（</w:t>
            </w:r>
            <w:r w:rsidRPr="002B538E">
              <w:rPr>
                <w:rFonts w:ascii="Times New Roman" w:eastAsia="宋体" w:hAnsi="Times New Roman" w:cs="Times New Roman"/>
                <w:kern w:val="0"/>
                <w:sz w:val="18"/>
                <w:szCs w:val="18"/>
              </w:rPr>
              <w:t>mg/kg</w:t>
            </w:r>
            <w:r w:rsidRPr="002B538E">
              <w:rPr>
                <w:rFonts w:ascii="宋体" w:eastAsia="宋体" w:hAnsi="宋体" w:cs="Times New Roman"/>
                <w:kern w:val="0"/>
                <w:sz w:val="18"/>
                <w:szCs w:val="18"/>
              </w:rPr>
              <w:t>）</w:t>
            </w:r>
          </w:p>
        </w:tc>
        <w:tc>
          <w:tcPr>
            <w:tcW w:w="1222" w:type="dxa"/>
            <w:tcBorders>
              <w:top w:val="nil"/>
              <w:left w:val="nil"/>
              <w:bottom w:val="nil"/>
              <w:right w:val="nil"/>
            </w:tcBorders>
            <w:vAlign w:val="center"/>
          </w:tcPr>
          <w:p w14:paraId="6A22DF1E"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24.16±1.86</w:t>
            </w:r>
          </w:p>
        </w:tc>
        <w:tc>
          <w:tcPr>
            <w:tcW w:w="1319" w:type="dxa"/>
            <w:tcBorders>
              <w:top w:val="nil"/>
              <w:left w:val="nil"/>
              <w:bottom w:val="nil"/>
              <w:right w:val="nil"/>
            </w:tcBorders>
            <w:vAlign w:val="center"/>
          </w:tcPr>
          <w:p w14:paraId="56D66BC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26.95±1.11</w:t>
            </w:r>
          </w:p>
        </w:tc>
        <w:tc>
          <w:tcPr>
            <w:tcW w:w="1319" w:type="dxa"/>
            <w:tcBorders>
              <w:top w:val="nil"/>
              <w:left w:val="nil"/>
              <w:bottom w:val="nil"/>
              <w:right w:val="nil"/>
            </w:tcBorders>
            <w:vAlign w:val="center"/>
          </w:tcPr>
          <w:p w14:paraId="7AF157A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31.06±0.39</w:t>
            </w:r>
          </w:p>
        </w:tc>
        <w:tc>
          <w:tcPr>
            <w:tcW w:w="1438" w:type="dxa"/>
            <w:tcBorders>
              <w:top w:val="nil"/>
              <w:left w:val="nil"/>
              <w:bottom w:val="nil"/>
              <w:right w:val="nil"/>
            </w:tcBorders>
            <w:vAlign w:val="center"/>
          </w:tcPr>
          <w:p w14:paraId="17BCA1E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25.67±3.28</w:t>
            </w:r>
          </w:p>
        </w:tc>
        <w:tc>
          <w:tcPr>
            <w:tcW w:w="1319" w:type="dxa"/>
            <w:tcBorders>
              <w:top w:val="nil"/>
              <w:left w:val="nil"/>
              <w:bottom w:val="nil"/>
              <w:right w:val="nil"/>
            </w:tcBorders>
            <w:vAlign w:val="center"/>
          </w:tcPr>
          <w:p w14:paraId="3A9AB9C2"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16.78±0.04</w:t>
            </w:r>
          </w:p>
        </w:tc>
        <w:tc>
          <w:tcPr>
            <w:tcW w:w="1319" w:type="dxa"/>
            <w:tcBorders>
              <w:top w:val="nil"/>
              <w:left w:val="nil"/>
              <w:bottom w:val="nil"/>
              <w:right w:val="nil"/>
            </w:tcBorders>
            <w:vAlign w:val="center"/>
          </w:tcPr>
          <w:p w14:paraId="5CD527D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26.39±1.59</w:t>
            </w:r>
          </w:p>
        </w:tc>
        <w:tc>
          <w:tcPr>
            <w:tcW w:w="1319" w:type="dxa"/>
            <w:tcBorders>
              <w:top w:val="nil"/>
              <w:left w:val="nil"/>
              <w:bottom w:val="nil"/>
              <w:right w:val="nil"/>
            </w:tcBorders>
            <w:vAlign w:val="center"/>
          </w:tcPr>
          <w:p w14:paraId="786606D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1.65±0.62</w:t>
            </w:r>
          </w:p>
        </w:tc>
        <w:tc>
          <w:tcPr>
            <w:tcW w:w="1319" w:type="dxa"/>
            <w:tcBorders>
              <w:top w:val="nil"/>
              <w:left w:val="nil"/>
              <w:bottom w:val="nil"/>
              <w:right w:val="nil"/>
            </w:tcBorders>
            <w:vAlign w:val="center"/>
          </w:tcPr>
          <w:p w14:paraId="7D217EF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4.01±0.21</w:t>
            </w:r>
          </w:p>
        </w:tc>
        <w:tc>
          <w:tcPr>
            <w:tcW w:w="1319" w:type="dxa"/>
            <w:tcBorders>
              <w:top w:val="nil"/>
              <w:left w:val="nil"/>
              <w:bottom w:val="nil"/>
              <w:right w:val="nil"/>
            </w:tcBorders>
            <w:vAlign w:val="center"/>
          </w:tcPr>
          <w:p w14:paraId="09106BD4"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14.06±0.89</w:t>
            </w:r>
          </w:p>
        </w:tc>
        <w:tc>
          <w:tcPr>
            <w:tcW w:w="1319" w:type="dxa"/>
            <w:tcBorders>
              <w:top w:val="nil"/>
              <w:left w:val="nil"/>
              <w:bottom w:val="nil"/>
              <w:right w:val="nil"/>
            </w:tcBorders>
            <w:vAlign w:val="center"/>
          </w:tcPr>
          <w:p w14:paraId="56054A01"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18.08±0.96</w:t>
            </w:r>
          </w:p>
        </w:tc>
      </w:tr>
      <w:tr w:rsidR="002F31E3" w:rsidRPr="002B538E" w14:paraId="62E68404" w14:textId="77777777">
        <w:trPr>
          <w:trHeight w:val="453"/>
        </w:trPr>
        <w:tc>
          <w:tcPr>
            <w:tcW w:w="1961" w:type="dxa"/>
            <w:tcBorders>
              <w:top w:val="nil"/>
              <w:left w:val="nil"/>
              <w:bottom w:val="nil"/>
              <w:right w:val="nil"/>
            </w:tcBorders>
            <w:vAlign w:val="center"/>
          </w:tcPr>
          <w:p w14:paraId="051DD07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hint="eastAsia"/>
                <w:kern w:val="0"/>
                <w:sz w:val="18"/>
                <w:szCs w:val="18"/>
              </w:rPr>
              <w:t>W</w:t>
            </w:r>
            <w:r w:rsidRPr="002B538E">
              <w:rPr>
                <w:rFonts w:ascii="Times New Roman" w:eastAsia="宋体" w:hAnsi="Times New Roman" w:cs="Times New Roman"/>
                <w:kern w:val="0"/>
                <w:sz w:val="18"/>
                <w:szCs w:val="18"/>
              </w:rPr>
              <w:t>ater content</w:t>
            </w:r>
            <w:r w:rsidRPr="002B538E">
              <w:rPr>
                <w:rFonts w:ascii="宋体" w:eastAsia="宋体" w:hAnsi="宋体" w:cs="Times New Roman" w:hint="eastAsia"/>
                <w:kern w:val="0"/>
                <w:sz w:val="18"/>
                <w:szCs w:val="18"/>
              </w:rPr>
              <w:t>（</w:t>
            </w:r>
            <w:r w:rsidRPr="002B538E">
              <w:rPr>
                <w:rFonts w:ascii="Times New Roman" w:eastAsia="宋体" w:hAnsi="Times New Roman" w:cs="Times New Roman"/>
                <w:kern w:val="0"/>
                <w:sz w:val="18"/>
                <w:szCs w:val="18"/>
              </w:rPr>
              <w:t>%</w:t>
            </w:r>
            <w:r w:rsidRPr="002B538E">
              <w:rPr>
                <w:rFonts w:ascii="宋体" w:eastAsia="宋体" w:hAnsi="宋体" w:cs="Times New Roman"/>
                <w:kern w:val="0"/>
                <w:sz w:val="18"/>
                <w:szCs w:val="18"/>
              </w:rPr>
              <w:t>）</w:t>
            </w:r>
          </w:p>
        </w:tc>
        <w:tc>
          <w:tcPr>
            <w:tcW w:w="1222" w:type="dxa"/>
            <w:tcBorders>
              <w:top w:val="nil"/>
              <w:left w:val="nil"/>
              <w:bottom w:val="nil"/>
              <w:right w:val="nil"/>
            </w:tcBorders>
            <w:vAlign w:val="center"/>
          </w:tcPr>
          <w:p w14:paraId="63D3FC9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17.74±0.15</w:t>
            </w:r>
          </w:p>
        </w:tc>
        <w:tc>
          <w:tcPr>
            <w:tcW w:w="1319" w:type="dxa"/>
            <w:tcBorders>
              <w:top w:val="nil"/>
              <w:left w:val="nil"/>
              <w:bottom w:val="nil"/>
              <w:right w:val="nil"/>
            </w:tcBorders>
            <w:vAlign w:val="center"/>
          </w:tcPr>
          <w:p w14:paraId="568D002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18.90±0.04</w:t>
            </w:r>
          </w:p>
        </w:tc>
        <w:tc>
          <w:tcPr>
            <w:tcW w:w="1319" w:type="dxa"/>
            <w:tcBorders>
              <w:top w:val="nil"/>
              <w:left w:val="nil"/>
              <w:bottom w:val="nil"/>
              <w:right w:val="nil"/>
            </w:tcBorders>
            <w:vAlign w:val="center"/>
          </w:tcPr>
          <w:p w14:paraId="7A4B717E"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15.87±0.13</w:t>
            </w:r>
          </w:p>
        </w:tc>
        <w:tc>
          <w:tcPr>
            <w:tcW w:w="1438" w:type="dxa"/>
            <w:tcBorders>
              <w:top w:val="nil"/>
              <w:left w:val="nil"/>
              <w:bottom w:val="nil"/>
              <w:right w:val="nil"/>
            </w:tcBorders>
            <w:vAlign w:val="center"/>
          </w:tcPr>
          <w:p w14:paraId="3B4DD7C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16.91±0.03</w:t>
            </w:r>
          </w:p>
        </w:tc>
        <w:tc>
          <w:tcPr>
            <w:tcW w:w="1319" w:type="dxa"/>
            <w:tcBorders>
              <w:top w:val="nil"/>
              <w:left w:val="nil"/>
              <w:bottom w:val="nil"/>
              <w:right w:val="nil"/>
            </w:tcBorders>
            <w:vAlign w:val="center"/>
          </w:tcPr>
          <w:p w14:paraId="345AA6A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17.73±0.10</w:t>
            </w:r>
          </w:p>
        </w:tc>
        <w:tc>
          <w:tcPr>
            <w:tcW w:w="1319" w:type="dxa"/>
            <w:tcBorders>
              <w:top w:val="nil"/>
              <w:left w:val="nil"/>
              <w:bottom w:val="nil"/>
              <w:right w:val="nil"/>
            </w:tcBorders>
            <w:vAlign w:val="center"/>
          </w:tcPr>
          <w:p w14:paraId="14B866EE"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17.05±0.08</w:t>
            </w:r>
          </w:p>
        </w:tc>
        <w:tc>
          <w:tcPr>
            <w:tcW w:w="1319" w:type="dxa"/>
            <w:tcBorders>
              <w:top w:val="nil"/>
              <w:left w:val="nil"/>
              <w:bottom w:val="nil"/>
              <w:right w:val="nil"/>
            </w:tcBorders>
            <w:vAlign w:val="center"/>
          </w:tcPr>
          <w:p w14:paraId="0151818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15.85±0.05</w:t>
            </w:r>
          </w:p>
        </w:tc>
        <w:tc>
          <w:tcPr>
            <w:tcW w:w="1319" w:type="dxa"/>
            <w:tcBorders>
              <w:top w:val="nil"/>
              <w:left w:val="nil"/>
              <w:bottom w:val="nil"/>
              <w:right w:val="nil"/>
            </w:tcBorders>
            <w:vAlign w:val="center"/>
          </w:tcPr>
          <w:p w14:paraId="2EE2829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19.86±0.34</w:t>
            </w:r>
          </w:p>
        </w:tc>
        <w:tc>
          <w:tcPr>
            <w:tcW w:w="1319" w:type="dxa"/>
            <w:tcBorders>
              <w:top w:val="nil"/>
              <w:left w:val="nil"/>
              <w:bottom w:val="nil"/>
              <w:right w:val="nil"/>
            </w:tcBorders>
            <w:vAlign w:val="center"/>
          </w:tcPr>
          <w:p w14:paraId="42B99CD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9.47±0.09</w:t>
            </w:r>
          </w:p>
        </w:tc>
        <w:tc>
          <w:tcPr>
            <w:tcW w:w="1319" w:type="dxa"/>
            <w:tcBorders>
              <w:top w:val="nil"/>
              <w:left w:val="nil"/>
              <w:bottom w:val="nil"/>
              <w:right w:val="nil"/>
            </w:tcBorders>
            <w:vAlign w:val="center"/>
          </w:tcPr>
          <w:p w14:paraId="65C21D2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10.17±0.06</w:t>
            </w:r>
          </w:p>
        </w:tc>
      </w:tr>
      <w:tr w:rsidR="002F31E3" w:rsidRPr="002B538E" w14:paraId="3E8141FE" w14:textId="77777777">
        <w:trPr>
          <w:trHeight w:val="453"/>
        </w:trPr>
        <w:tc>
          <w:tcPr>
            <w:tcW w:w="1961" w:type="dxa"/>
            <w:tcBorders>
              <w:top w:val="nil"/>
              <w:left w:val="nil"/>
              <w:bottom w:val="nil"/>
              <w:right w:val="nil"/>
            </w:tcBorders>
            <w:vAlign w:val="center"/>
          </w:tcPr>
          <w:p w14:paraId="4063758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WHC</w:t>
            </w:r>
            <w:r w:rsidRPr="002B538E">
              <w:rPr>
                <w:rFonts w:ascii="宋体" w:eastAsia="宋体" w:hAnsi="宋体" w:cs="Times New Roman"/>
                <w:kern w:val="0"/>
                <w:sz w:val="18"/>
                <w:szCs w:val="18"/>
              </w:rPr>
              <w:t>（</w:t>
            </w:r>
            <w:r w:rsidRPr="002B538E">
              <w:rPr>
                <w:rFonts w:ascii="Times New Roman" w:eastAsia="宋体" w:hAnsi="Times New Roman" w:cs="Times New Roman"/>
                <w:kern w:val="0"/>
                <w:sz w:val="18"/>
                <w:szCs w:val="18"/>
              </w:rPr>
              <w:t>%</w:t>
            </w:r>
            <w:r w:rsidRPr="002B538E">
              <w:rPr>
                <w:rFonts w:ascii="宋体" w:eastAsia="宋体" w:hAnsi="宋体" w:cs="Times New Roman"/>
                <w:kern w:val="0"/>
                <w:sz w:val="18"/>
                <w:szCs w:val="18"/>
              </w:rPr>
              <w:t>）</w:t>
            </w:r>
          </w:p>
        </w:tc>
        <w:tc>
          <w:tcPr>
            <w:tcW w:w="1222" w:type="dxa"/>
            <w:tcBorders>
              <w:top w:val="nil"/>
              <w:left w:val="nil"/>
              <w:bottom w:val="nil"/>
              <w:right w:val="nil"/>
            </w:tcBorders>
            <w:vAlign w:val="center"/>
          </w:tcPr>
          <w:p w14:paraId="42A0A15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41.21±0.87</w:t>
            </w:r>
          </w:p>
        </w:tc>
        <w:tc>
          <w:tcPr>
            <w:tcW w:w="1319" w:type="dxa"/>
            <w:tcBorders>
              <w:top w:val="nil"/>
              <w:left w:val="nil"/>
              <w:bottom w:val="nil"/>
              <w:right w:val="nil"/>
            </w:tcBorders>
            <w:vAlign w:val="center"/>
          </w:tcPr>
          <w:p w14:paraId="275A9CF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45.26±1.50</w:t>
            </w:r>
          </w:p>
        </w:tc>
        <w:tc>
          <w:tcPr>
            <w:tcW w:w="1319" w:type="dxa"/>
            <w:tcBorders>
              <w:top w:val="nil"/>
              <w:left w:val="nil"/>
              <w:bottom w:val="nil"/>
              <w:right w:val="nil"/>
            </w:tcBorders>
            <w:vAlign w:val="center"/>
          </w:tcPr>
          <w:p w14:paraId="5A455E97"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42.01±2.77</w:t>
            </w:r>
          </w:p>
        </w:tc>
        <w:tc>
          <w:tcPr>
            <w:tcW w:w="1438" w:type="dxa"/>
            <w:tcBorders>
              <w:top w:val="nil"/>
              <w:left w:val="nil"/>
              <w:bottom w:val="nil"/>
              <w:right w:val="nil"/>
            </w:tcBorders>
            <w:vAlign w:val="center"/>
          </w:tcPr>
          <w:p w14:paraId="324AA80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41.90±1.67</w:t>
            </w:r>
          </w:p>
        </w:tc>
        <w:tc>
          <w:tcPr>
            <w:tcW w:w="1319" w:type="dxa"/>
            <w:tcBorders>
              <w:top w:val="nil"/>
              <w:left w:val="nil"/>
              <w:bottom w:val="nil"/>
              <w:right w:val="nil"/>
            </w:tcBorders>
            <w:vAlign w:val="center"/>
          </w:tcPr>
          <w:p w14:paraId="751D51A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43.22±2.37</w:t>
            </w:r>
          </w:p>
        </w:tc>
        <w:tc>
          <w:tcPr>
            <w:tcW w:w="1319" w:type="dxa"/>
            <w:tcBorders>
              <w:top w:val="nil"/>
              <w:left w:val="nil"/>
              <w:bottom w:val="nil"/>
              <w:right w:val="nil"/>
            </w:tcBorders>
            <w:vAlign w:val="center"/>
          </w:tcPr>
          <w:p w14:paraId="00D2ABEC"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39.96±2.64</w:t>
            </w:r>
          </w:p>
        </w:tc>
        <w:tc>
          <w:tcPr>
            <w:tcW w:w="1319" w:type="dxa"/>
            <w:tcBorders>
              <w:top w:val="nil"/>
              <w:left w:val="nil"/>
              <w:bottom w:val="nil"/>
              <w:right w:val="nil"/>
            </w:tcBorders>
            <w:vAlign w:val="center"/>
          </w:tcPr>
          <w:p w14:paraId="2D1A2306"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48.32±1.35</w:t>
            </w:r>
          </w:p>
        </w:tc>
        <w:tc>
          <w:tcPr>
            <w:tcW w:w="1319" w:type="dxa"/>
            <w:tcBorders>
              <w:top w:val="nil"/>
              <w:left w:val="nil"/>
              <w:bottom w:val="nil"/>
              <w:right w:val="nil"/>
            </w:tcBorders>
            <w:vAlign w:val="center"/>
          </w:tcPr>
          <w:p w14:paraId="5EBE700D"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52.13±0.32</w:t>
            </w:r>
          </w:p>
        </w:tc>
        <w:tc>
          <w:tcPr>
            <w:tcW w:w="1319" w:type="dxa"/>
            <w:tcBorders>
              <w:top w:val="nil"/>
              <w:left w:val="nil"/>
              <w:bottom w:val="nil"/>
              <w:right w:val="nil"/>
            </w:tcBorders>
            <w:vAlign w:val="center"/>
          </w:tcPr>
          <w:p w14:paraId="4ADD8404"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40.24±0.25</w:t>
            </w:r>
          </w:p>
        </w:tc>
        <w:tc>
          <w:tcPr>
            <w:tcW w:w="1319" w:type="dxa"/>
            <w:tcBorders>
              <w:top w:val="nil"/>
              <w:left w:val="nil"/>
              <w:bottom w:val="nil"/>
              <w:right w:val="nil"/>
            </w:tcBorders>
            <w:vAlign w:val="center"/>
          </w:tcPr>
          <w:p w14:paraId="2F1E752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41.34±0.08</w:t>
            </w:r>
          </w:p>
        </w:tc>
      </w:tr>
      <w:tr w:rsidR="002F31E3" w:rsidRPr="002B538E" w14:paraId="6BDAFBBC" w14:textId="77777777">
        <w:trPr>
          <w:trHeight w:val="453"/>
        </w:trPr>
        <w:tc>
          <w:tcPr>
            <w:tcW w:w="1961" w:type="dxa"/>
            <w:tcBorders>
              <w:top w:val="nil"/>
              <w:left w:val="nil"/>
              <w:bottom w:val="single" w:sz="4" w:space="0" w:color="auto"/>
              <w:right w:val="nil"/>
            </w:tcBorders>
            <w:vAlign w:val="center"/>
          </w:tcPr>
          <w:p w14:paraId="7FCD8B8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PDR</w:t>
            </w:r>
            <w:r w:rsidRPr="002B538E">
              <w:rPr>
                <w:rFonts w:ascii="宋体" w:eastAsia="宋体" w:hAnsi="宋体" w:cs="Times New Roman"/>
                <w:kern w:val="0"/>
                <w:sz w:val="18"/>
                <w:szCs w:val="18"/>
              </w:rPr>
              <w:t>（</w:t>
            </w:r>
            <w:r w:rsidRPr="002B538E">
              <w:rPr>
                <w:rFonts w:ascii="Times New Roman" w:eastAsia="宋体" w:hAnsi="Times New Roman" w:cs="Times New Roman"/>
                <w:kern w:val="0"/>
                <w:sz w:val="18"/>
                <w:szCs w:val="18"/>
              </w:rPr>
              <w:t>nmol/g/h</w:t>
            </w:r>
            <w:r w:rsidRPr="002B538E">
              <w:rPr>
                <w:rFonts w:ascii="宋体" w:eastAsia="宋体" w:hAnsi="宋体" w:cs="Times New Roman"/>
                <w:kern w:val="0"/>
                <w:sz w:val="18"/>
                <w:szCs w:val="18"/>
              </w:rPr>
              <w:t>）</w:t>
            </w:r>
          </w:p>
        </w:tc>
        <w:tc>
          <w:tcPr>
            <w:tcW w:w="1222" w:type="dxa"/>
            <w:tcBorders>
              <w:top w:val="nil"/>
              <w:left w:val="nil"/>
              <w:bottom w:val="single" w:sz="4" w:space="0" w:color="auto"/>
              <w:right w:val="nil"/>
            </w:tcBorders>
            <w:vAlign w:val="center"/>
          </w:tcPr>
          <w:p w14:paraId="0B6ECD9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21.71±1.27</w:t>
            </w:r>
          </w:p>
        </w:tc>
        <w:tc>
          <w:tcPr>
            <w:tcW w:w="1319" w:type="dxa"/>
            <w:tcBorders>
              <w:top w:val="nil"/>
              <w:left w:val="nil"/>
              <w:bottom w:val="single" w:sz="4" w:space="0" w:color="auto"/>
              <w:right w:val="nil"/>
            </w:tcBorders>
            <w:vAlign w:val="center"/>
          </w:tcPr>
          <w:p w14:paraId="34D17345"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26.07±0.46</w:t>
            </w:r>
          </w:p>
        </w:tc>
        <w:tc>
          <w:tcPr>
            <w:tcW w:w="1319" w:type="dxa"/>
            <w:tcBorders>
              <w:top w:val="nil"/>
              <w:left w:val="nil"/>
              <w:bottom w:val="single" w:sz="4" w:space="0" w:color="auto"/>
              <w:right w:val="nil"/>
            </w:tcBorders>
            <w:vAlign w:val="center"/>
          </w:tcPr>
          <w:p w14:paraId="623FE300"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54.50±1.83</w:t>
            </w:r>
          </w:p>
        </w:tc>
        <w:tc>
          <w:tcPr>
            <w:tcW w:w="1438" w:type="dxa"/>
            <w:tcBorders>
              <w:top w:val="nil"/>
              <w:left w:val="nil"/>
              <w:bottom w:val="single" w:sz="4" w:space="0" w:color="auto"/>
              <w:right w:val="nil"/>
            </w:tcBorders>
            <w:vAlign w:val="center"/>
          </w:tcPr>
          <w:p w14:paraId="47F45509"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51.71±0.65</w:t>
            </w:r>
          </w:p>
        </w:tc>
        <w:tc>
          <w:tcPr>
            <w:tcW w:w="1319" w:type="dxa"/>
            <w:tcBorders>
              <w:top w:val="nil"/>
              <w:left w:val="nil"/>
              <w:bottom w:val="single" w:sz="4" w:space="0" w:color="auto"/>
              <w:right w:val="nil"/>
            </w:tcBorders>
            <w:vAlign w:val="center"/>
          </w:tcPr>
          <w:p w14:paraId="036F128A"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35.59±1.79</w:t>
            </w:r>
          </w:p>
        </w:tc>
        <w:tc>
          <w:tcPr>
            <w:tcW w:w="1319" w:type="dxa"/>
            <w:tcBorders>
              <w:top w:val="nil"/>
              <w:left w:val="nil"/>
              <w:bottom w:val="single" w:sz="4" w:space="0" w:color="auto"/>
              <w:right w:val="nil"/>
            </w:tcBorders>
            <w:vAlign w:val="center"/>
          </w:tcPr>
          <w:p w14:paraId="5726EA8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28.28±1.88</w:t>
            </w:r>
          </w:p>
        </w:tc>
        <w:tc>
          <w:tcPr>
            <w:tcW w:w="1319" w:type="dxa"/>
            <w:tcBorders>
              <w:top w:val="nil"/>
              <w:left w:val="nil"/>
              <w:bottom w:val="single" w:sz="4" w:space="0" w:color="auto"/>
              <w:right w:val="nil"/>
            </w:tcBorders>
            <w:vAlign w:val="center"/>
          </w:tcPr>
          <w:p w14:paraId="0B015328"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3.50±1.10</w:t>
            </w:r>
          </w:p>
        </w:tc>
        <w:tc>
          <w:tcPr>
            <w:tcW w:w="1319" w:type="dxa"/>
            <w:tcBorders>
              <w:top w:val="nil"/>
              <w:left w:val="nil"/>
              <w:bottom w:val="single" w:sz="4" w:space="0" w:color="auto"/>
              <w:right w:val="nil"/>
            </w:tcBorders>
            <w:vAlign w:val="center"/>
          </w:tcPr>
          <w:p w14:paraId="4CDFEBE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4.46±0.28</w:t>
            </w:r>
          </w:p>
        </w:tc>
        <w:tc>
          <w:tcPr>
            <w:tcW w:w="1319" w:type="dxa"/>
            <w:tcBorders>
              <w:top w:val="nil"/>
              <w:left w:val="nil"/>
              <w:bottom w:val="single" w:sz="4" w:space="0" w:color="auto"/>
              <w:right w:val="nil"/>
            </w:tcBorders>
            <w:vAlign w:val="center"/>
          </w:tcPr>
          <w:p w14:paraId="456952CF"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31.30±0.79</w:t>
            </w:r>
          </w:p>
        </w:tc>
        <w:tc>
          <w:tcPr>
            <w:tcW w:w="1319" w:type="dxa"/>
            <w:tcBorders>
              <w:top w:val="nil"/>
              <w:left w:val="nil"/>
              <w:bottom w:val="single" w:sz="4" w:space="0" w:color="auto"/>
              <w:right w:val="nil"/>
            </w:tcBorders>
            <w:vAlign w:val="center"/>
          </w:tcPr>
          <w:p w14:paraId="749AA5E3" w14:textId="77777777" w:rsidR="002F31E3" w:rsidRPr="002B538E" w:rsidRDefault="00203CA9">
            <w:pPr>
              <w:jc w:val="center"/>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38.69±1.62</w:t>
            </w:r>
          </w:p>
        </w:tc>
      </w:tr>
    </w:tbl>
    <w:p w14:paraId="4AF84851" w14:textId="77777777" w:rsidR="002F31E3" w:rsidRPr="002B538E" w:rsidRDefault="00203CA9">
      <w:pPr>
        <w:spacing w:line="480" w:lineRule="auto"/>
        <w:jc w:val="left"/>
        <w:rPr>
          <w:rFonts w:ascii="Times New Roman" w:hAnsi="Times New Roman" w:cs="Times New Roman"/>
          <w:bCs/>
          <w:szCs w:val="24"/>
        </w:rPr>
        <w:sectPr w:rsidR="002F31E3" w:rsidRPr="002B538E">
          <w:pgSz w:w="16838" w:h="11906" w:orient="landscape"/>
          <w:pgMar w:top="1800" w:right="1440" w:bottom="1800" w:left="1440" w:header="851" w:footer="992" w:gutter="0"/>
          <w:cols w:space="425"/>
          <w:docGrid w:type="lines" w:linePitch="312"/>
        </w:sectPr>
      </w:pPr>
      <w:r w:rsidRPr="002B538E">
        <w:rPr>
          <w:rFonts w:ascii="Times New Roman" w:hAnsi="Times New Roman" w:hint="eastAsia"/>
          <w:color w:val="000000"/>
          <w:szCs w:val="24"/>
        </w:rPr>
        <w:t>Note:</w:t>
      </w:r>
      <w:r w:rsidRPr="002B538E">
        <w:rPr>
          <w:rFonts w:ascii="Times New Roman" w:hAnsi="Times New Roman"/>
          <w:color w:val="000000"/>
          <w:szCs w:val="24"/>
        </w:rPr>
        <w:t xml:space="preserve"> Values represent mean ± standard deviation (n=3)</w:t>
      </w:r>
      <w:r w:rsidRPr="002B538E">
        <w:rPr>
          <w:rFonts w:ascii="Times New Roman" w:hAnsi="Times New Roman" w:hint="eastAsia"/>
          <w:color w:val="000000"/>
          <w:szCs w:val="24"/>
        </w:rPr>
        <w:t>;</w:t>
      </w:r>
      <w:r w:rsidRPr="002B538E">
        <w:rPr>
          <w:rFonts w:ascii="Times New Roman" w:hAnsi="Times New Roman"/>
          <w:color w:val="000000"/>
          <w:szCs w:val="24"/>
        </w:rPr>
        <w:t xml:space="preserve"> ND: not detected.</w:t>
      </w:r>
      <w:r w:rsidRPr="002B538E">
        <w:rPr>
          <w:rFonts w:ascii="Times New Roman" w:hAnsi="Times New Roman" w:hint="eastAsia"/>
          <w:color w:val="000000"/>
          <w:szCs w:val="24"/>
        </w:rPr>
        <w:t xml:space="preserve"> </w:t>
      </w:r>
      <w:r w:rsidRPr="002B538E">
        <w:rPr>
          <w:rFonts w:ascii="Times New Roman" w:hAnsi="Times New Roman"/>
          <w:szCs w:val="24"/>
        </w:rPr>
        <w:t>PDR</w:t>
      </w:r>
      <w:r w:rsidRPr="002B538E">
        <w:rPr>
          <w:rFonts w:ascii="Times New Roman" w:hAnsi="Times New Roman" w:hint="eastAsia"/>
          <w:szCs w:val="24"/>
        </w:rPr>
        <w:t>: represents potential denitrification rate.</w:t>
      </w:r>
    </w:p>
    <w:p w14:paraId="31FB305B" w14:textId="7885BEF4" w:rsidR="002F31E3" w:rsidRPr="002B538E" w:rsidRDefault="00D74D54">
      <w:pPr>
        <w:spacing w:line="480" w:lineRule="auto"/>
        <w:jc w:val="center"/>
        <w:rPr>
          <w:rFonts w:ascii="Times New Roman" w:hAnsi="Times New Roman"/>
          <w:b/>
          <w:bCs/>
          <w:color w:val="000000"/>
          <w:sz w:val="24"/>
          <w:szCs w:val="24"/>
        </w:rPr>
      </w:pPr>
      <w:r>
        <w:rPr>
          <w:noProof/>
        </w:rPr>
        <w:lastRenderedPageBreak/>
        <w:drawing>
          <wp:inline distT="0" distB="0" distL="0" distR="0" wp14:anchorId="4A7D2EF4" wp14:editId="5E73281E">
            <wp:extent cx="5274310" cy="39624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62400"/>
                    </a:xfrm>
                    <a:prstGeom prst="rect">
                      <a:avLst/>
                    </a:prstGeom>
                    <a:noFill/>
                    <a:ln>
                      <a:noFill/>
                    </a:ln>
                  </pic:spPr>
                </pic:pic>
              </a:graphicData>
            </a:graphic>
          </wp:inline>
        </w:drawing>
      </w:r>
    </w:p>
    <w:p w14:paraId="0C7AE03D" w14:textId="77777777" w:rsidR="002F31E3" w:rsidRPr="002B538E" w:rsidRDefault="00203CA9">
      <w:pPr>
        <w:spacing w:line="480" w:lineRule="auto"/>
        <w:rPr>
          <w:rFonts w:ascii="Times New Roman" w:hAnsi="Times New Roman"/>
          <w:bCs/>
          <w:color w:val="000000"/>
          <w:szCs w:val="21"/>
        </w:rPr>
      </w:pPr>
      <w:r w:rsidRPr="002B538E">
        <w:rPr>
          <w:rFonts w:ascii="Times New Roman" w:hAnsi="Times New Roman"/>
          <w:b/>
          <w:bCs/>
          <w:color w:val="000000"/>
          <w:szCs w:val="21"/>
        </w:rPr>
        <w:t>Fig. S1</w:t>
      </w:r>
      <w:r w:rsidRPr="002B538E">
        <w:rPr>
          <w:rFonts w:ascii="Times New Roman" w:hAnsi="Times New Roman"/>
          <w:bCs/>
          <w:color w:val="000000"/>
          <w:szCs w:val="21"/>
        </w:rPr>
        <w:t xml:space="preserve"> Microbial community structure in in situ farmland soils. </w:t>
      </w:r>
      <w:proofErr w:type="spellStart"/>
      <w:r w:rsidRPr="002B538E">
        <w:rPr>
          <w:rFonts w:ascii="Times New Roman" w:hAnsi="Times New Roman"/>
          <w:bCs/>
          <w:color w:val="000000"/>
          <w:szCs w:val="21"/>
        </w:rPr>
        <w:t>PCoA</w:t>
      </w:r>
      <w:proofErr w:type="spellEnd"/>
      <w:r w:rsidRPr="002B538E">
        <w:rPr>
          <w:rFonts w:ascii="Times New Roman" w:hAnsi="Times New Roman"/>
          <w:bCs/>
          <w:color w:val="000000"/>
          <w:szCs w:val="21"/>
        </w:rPr>
        <w:t xml:space="preserve"> plots for the FO group under low (a) and high (b) fertilization histories. (c, d) Corresponding statistical significance (MANOVA test, ****</w:t>
      </w:r>
      <w:r w:rsidRPr="002B538E">
        <w:rPr>
          <w:rFonts w:ascii="Times New Roman" w:hAnsi="Times New Roman"/>
          <w:bCs/>
          <w:i/>
          <w:iCs/>
          <w:color w:val="000000"/>
          <w:szCs w:val="21"/>
        </w:rPr>
        <w:t xml:space="preserve">p </w:t>
      </w:r>
      <w:r w:rsidRPr="002B538E">
        <w:rPr>
          <w:rFonts w:ascii="Times New Roman" w:hAnsi="Times New Roman"/>
          <w:bCs/>
          <w:color w:val="000000"/>
          <w:szCs w:val="21"/>
        </w:rPr>
        <w:t>&lt; 0.0001).</w:t>
      </w:r>
    </w:p>
    <w:p w14:paraId="60F93B15" w14:textId="77777777" w:rsidR="002F31E3" w:rsidRPr="002B538E" w:rsidRDefault="002F31E3">
      <w:pPr>
        <w:spacing w:line="480" w:lineRule="auto"/>
        <w:rPr>
          <w:rFonts w:ascii="Times New Roman" w:hAnsi="Times New Roman" w:cs="Times New Roman"/>
          <w:color w:val="000000"/>
          <w:szCs w:val="21"/>
        </w:rPr>
      </w:pPr>
    </w:p>
    <w:p w14:paraId="545C73F0" w14:textId="26853B50" w:rsidR="002F31E3" w:rsidRPr="002B538E" w:rsidRDefault="00D74D54">
      <w:pPr>
        <w:spacing w:line="480" w:lineRule="auto"/>
        <w:jc w:val="center"/>
        <w:rPr>
          <w:rFonts w:ascii="Times New Roman" w:hAnsi="Times New Roman"/>
          <w:color w:val="000000"/>
          <w:sz w:val="24"/>
          <w:szCs w:val="24"/>
        </w:rPr>
      </w:pPr>
      <w:r>
        <w:rPr>
          <w:noProof/>
        </w:rPr>
        <w:lastRenderedPageBreak/>
        <w:drawing>
          <wp:inline distT="0" distB="0" distL="0" distR="0" wp14:anchorId="60BC1D8C" wp14:editId="2B30484F">
            <wp:extent cx="5274310" cy="777049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770495"/>
                    </a:xfrm>
                    <a:prstGeom prst="rect">
                      <a:avLst/>
                    </a:prstGeom>
                    <a:noFill/>
                    <a:ln>
                      <a:noFill/>
                    </a:ln>
                  </pic:spPr>
                </pic:pic>
              </a:graphicData>
            </a:graphic>
          </wp:inline>
        </w:drawing>
      </w:r>
    </w:p>
    <w:p w14:paraId="79D899D2" w14:textId="77777777" w:rsidR="002F31E3" w:rsidRPr="002B538E" w:rsidRDefault="00203CA9">
      <w:pPr>
        <w:spacing w:line="480" w:lineRule="auto"/>
        <w:rPr>
          <w:rFonts w:ascii="Times New Roman" w:hAnsi="Times New Roman" w:cs="Times New Roman"/>
          <w:color w:val="000000"/>
          <w:szCs w:val="21"/>
        </w:rPr>
        <w:sectPr w:rsidR="002F31E3" w:rsidRPr="002B538E">
          <w:pgSz w:w="11906" w:h="16838"/>
          <w:pgMar w:top="1440" w:right="1800" w:bottom="1440" w:left="1800" w:header="851" w:footer="992" w:gutter="0"/>
          <w:cols w:space="425"/>
          <w:docGrid w:type="lines" w:linePitch="312"/>
        </w:sectPr>
      </w:pPr>
      <w:r w:rsidRPr="002B538E">
        <w:rPr>
          <w:rFonts w:ascii="Times New Roman" w:hAnsi="Times New Roman"/>
          <w:b/>
          <w:color w:val="000000"/>
          <w:szCs w:val="21"/>
        </w:rPr>
        <w:t>Fig. S2</w:t>
      </w:r>
      <w:r w:rsidRPr="002B538E">
        <w:rPr>
          <w:rFonts w:ascii="Times New Roman" w:hAnsi="Times New Roman"/>
          <w:color w:val="000000"/>
          <w:szCs w:val="21"/>
        </w:rPr>
        <w:t xml:space="preserve"> </w:t>
      </w:r>
      <w:r w:rsidRPr="002B538E">
        <w:rPr>
          <w:rFonts w:ascii="Times New Roman" w:hAnsi="Times New Roman" w:hint="eastAsia"/>
          <w:color w:val="000000"/>
          <w:szCs w:val="21"/>
        </w:rPr>
        <w:t xml:space="preserve">Comparison of microbial community structure in soils with different treatments. </w:t>
      </w:r>
      <w:proofErr w:type="spellStart"/>
      <w:r w:rsidRPr="002B538E">
        <w:rPr>
          <w:rFonts w:ascii="Times New Roman" w:hAnsi="Times New Roman" w:hint="eastAsia"/>
          <w:color w:val="000000"/>
          <w:szCs w:val="21"/>
        </w:rPr>
        <w:t>PCoA</w:t>
      </w:r>
      <w:proofErr w:type="spellEnd"/>
      <w:r w:rsidRPr="002B538E">
        <w:rPr>
          <w:rFonts w:ascii="Times New Roman" w:hAnsi="Times New Roman" w:hint="eastAsia"/>
          <w:color w:val="000000"/>
          <w:szCs w:val="21"/>
        </w:rPr>
        <w:t xml:space="preserve"> analysis and statistical significance of microbial community clustering (MANOVA test, ****</w:t>
      </w:r>
      <w:r w:rsidRPr="002B538E">
        <w:rPr>
          <w:rFonts w:ascii="Times New Roman" w:hAnsi="Times New Roman" w:hint="eastAsia"/>
          <w:i/>
          <w:iCs/>
          <w:color w:val="000000"/>
          <w:szCs w:val="21"/>
        </w:rPr>
        <w:t>p</w:t>
      </w:r>
      <w:r w:rsidRPr="002B538E">
        <w:rPr>
          <w:rFonts w:ascii="Times New Roman" w:hAnsi="Times New Roman" w:hint="eastAsia"/>
          <w:color w:val="000000"/>
          <w:szCs w:val="21"/>
        </w:rPr>
        <w:t xml:space="preserve"> &lt; </w:t>
      </w:r>
      <w:r w:rsidRPr="002B538E">
        <w:rPr>
          <w:rFonts w:ascii="Times New Roman" w:hAnsi="Times New Roman" w:hint="eastAsia"/>
          <w:color w:val="000000"/>
          <w:szCs w:val="21"/>
        </w:rPr>
        <w:lastRenderedPageBreak/>
        <w:t xml:space="preserve">0.0001) across five soils: black soil (a, b; Bray-Curtis distance), lime concretion black soil (c, d; Weighted </w:t>
      </w:r>
      <w:proofErr w:type="spellStart"/>
      <w:r w:rsidRPr="002B538E">
        <w:rPr>
          <w:rFonts w:ascii="Times New Roman" w:hAnsi="Times New Roman" w:hint="eastAsia"/>
          <w:color w:val="000000"/>
          <w:szCs w:val="21"/>
        </w:rPr>
        <w:t>unifrac</w:t>
      </w:r>
      <w:proofErr w:type="spellEnd"/>
      <w:r w:rsidRPr="002B538E">
        <w:rPr>
          <w:rFonts w:ascii="Times New Roman" w:hAnsi="Times New Roman" w:hint="eastAsia"/>
          <w:color w:val="000000"/>
          <w:szCs w:val="21"/>
        </w:rPr>
        <w:t xml:space="preserve"> distance), yellow-cinnamon soil (e, f; Bray-Curtis distance), red soil (g, h; Bray-Curtis distance), and </w:t>
      </w:r>
      <w:proofErr w:type="spellStart"/>
      <w:r w:rsidRPr="002B538E">
        <w:rPr>
          <w:rFonts w:ascii="Times New Roman" w:hAnsi="Times New Roman" w:hint="eastAsia"/>
          <w:color w:val="000000"/>
          <w:szCs w:val="21"/>
        </w:rPr>
        <w:t>fluvo</w:t>
      </w:r>
      <w:proofErr w:type="spellEnd"/>
      <w:r w:rsidRPr="002B538E">
        <w:rPr>
          <w:rFonts w:ascii="Times New Roman" w:hAnsi="Times New Roman" w:hint="eastAsia"/>
          <w:color w:val="000000"/>
          <w:szCs w:val="21"/>
        </w:rPr>
        <w:t>-aquic soil (</w:t>
      </w:r>
      <w:proofErr w:type="spellStart"/>
      <w:r w:rsidRPr="002B538E">
        <w:rPr>
          <w:rFonts w:ascii="Times New Roman" w:hAnsi="Times New Roman" w:hint="eastAsia"/>
          <w:color w:val="000000"/>
          <w:szCs w:val="21"/>
        </w:rPr>
        <w:t>i</w:t>
      </w:r>
      <w:proofErr w:type="spellEnd"/>
      <w:r w:rsidRPr="002B538E">
        <w:rPr>
          <w:rFonts w:ascii="Times New Roman" w:hAnsi="Times New Roman" w:hint="eastAsia"/>
          <w:color w:val="000000"/>
          <w:szCs w:val="21"/>
        </w:rPr>
        <w:t xml:space="preserve">, j; Weighted </w:t>
      </w:r>
      <w:proofErr w:type="spellStart"/>
      <w:r w:rsidRPr="002B538E">
        <w:rPr>
          <w:rFonts w:ascii="Times New Roman" w:hAnsi="Times New Roman" w:hint="eastAsia"/>
          <w:color w:val="000000"/>
          <w:szCs w:val="21"/>
        </w:rPr>
        <w:t>unifrac</w:t>
      </w:r>
      <w:proofErr w:type="spellEnd"/>
      <w:r w:rsidRPr="002B538E">
        <w:rPr>
          <w:rFonts w:ascii="Times New Roman" w:hAnsi="Times New Roman" w:hint="eastAsia"/>
          <w:color w:val="000000"/>
          <w:szCs w:val="21"/>
        </w:rPr>
        <w:t xml:space="preserve"> distance).</w:t>
      </w:r>
    </w:p>
    <w:p w14:paraId="0592131D" w14:textId="77777777" w:rsidR="002F31E3" w:rsidRPr="002B538E" w:rsidRDefault="00203CA9">
      <w:pPr>
        <w:spacing w:line="480" w:lineRule="auto"/>
        <w:jc w:val="center"/>
        <w:rPr>
          <w:rFonts w:ascii="Times New Roman" w:hAnsi="Times New Roman"/>
          <w:sz w:val="24"/>
          <w:szCs w:val="24"/>
        </w:rPr>
      </w:pPr>
      <w:r w:rsidRPr="002B538E">
        <w:rPr>
          <w:rFonts w:ascii="Times New Roman" w:hAnsi="Times New Roman"/>
          <w:b/>
          <w:sz w:val="24"/>
          <w:szCs w:val="24"/>
        </w:rPr>
        <w:lastRenderedPageBreak/>
        <w:t>Table S2</w:t>
      </w:r>
      <w:r w:rsidRPr="002B538E">
        <w:rPr>
          <w:rFonts w:ascii="Times New Roman" w:hAnsi="Times New Roman"/>
          <w:sz w:val="24"/>
          <w:szCs w:val="24"/>
        </w:rPr>
        <w:t xml:space="preserve"> </w:t>
      </w:r>
      <w:r w:rsidRPr="002B538E">
        <w:rPr>
          <w:rFonts w:ascii="Times New Roman" w:hAnsi="Times New Roman" w:hint="eastAsia"/>
          <w:sz w:val="24"/>
          <w:szCs w:val="24"/>
        </w:rPr>
        <w:t>Community composition of dominant bacterial taxa at the phylum and genus levels in five farmland soils.</w:t>
      </w:r>
    </w:p>
    <w:tbl>
      <w:tblPr>
        <w:tblStyle w:val="ae"/>
        <w:tblW w:w="13891" w:type="dxa"/>
        <w:tblBorders>
          <w:left w:val="none" w:sz="0" w:space="0" w:color="auto"/>
          <w:right w:val="none" w:sz="0" w:space="0" w:color="auto"/>
        </w:tblBorders>
        <w:tblLook w:val="04A0" w:firstRow="1" w:lastRow="0" w:firstColumn="1" w:lastColumn="0" w:noHBand="0" w:noVBand="1"/>
      </w:tblPr>
      <w:tblGrid>
        <w:gridCol w:w="2263"/>
        <w:gridCol w:w="5392"/>
        <w:gridCol w:w="6236"/>
      </w:tblGrid>
      <w:tr w:rsidR="002F31E3" w:rsidRPr="002B538E" w14:paraId="2676BDA6" w14:textId="77777777">
        <w:trPr>
          <w:trHeight w:val="707"/>
        </w:trPr>
        <w:tc>
          <w:tcPr>
            <w:tcW w:w="2263" w:type="dxa"/>
            <w:tcBorders>
              <w:top w:val="single" w:sz="4" w:space="0" w:color="auto"/>
              <w:left w:val="nil"/>
              <w:bottom w:val="single" w:sz="4" w:space="0" w:color="auto"/>
              <w:right w:val="nil"/>
            </w:tcBorders>
            <w:vAlign w:val="center"/>
          </w:tcPr>
          <w:p w14:paraId="4FF402E5" w14:textId="77777777" w:rsidR="002F31E3" w:rsidRPr="002B538E" w:rsidRDefault="002F31E3">
            <w:pPr>
              <w:jc w:val="center"/>
              <w:rPr>
                <w:rFonts w:ascii="Times New Roman" w:eastAsia="宋体" w:hAnsi="Times New Roman" w:cs="Times New Roman"/>
                <w:b/>
                <w:kern w:val="0"/>
                <w:sz w:val="18"/>
                <w:szCs w:val="18"/>
              </w:rPr>
            </w:pPr>
          </w:p>
        </w:tc>
        <w:tc>
          <w:tcPr>
            <w:tcW w:w="5392" w:type="dxa"/>
            <w:tcBorders>
              <w:top w:val="single" w:sz="4" w:space="0" w:color="auto"/>
              <w:left w:val="nil"/>
              <w:bottom w:val="single" w:sz="4" w:space="0" w:color="auto"/>
              <w:right w:val="nil"/>
            </w:tcBorders>
            <w:vAlign w:val="center"/>
          </w:tcPr>
          <w:p w14:paraId="5F1FF058" w14:textId="4E6E9F4F" w:rsidR="002F31E3" w:rsidRPr="002B538E" w:rsidRDefault="00203CA9">
            <w:pPr>
              <w:jc w:val="left"/>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 xml:space="preserve">Dominant species of the bacterial community </w:t>
            </w:r>
            <w:r w:rsidRPr="002B538E">
              <w:rPr>
                <w:rFonts w:ascii="Times New Roman" w:eastAsia="宋体" w:hAnsi="Times New Roman" w:cs="Times New Roman" w:hint="eastAsia"/>
                <w:b/>
                <w:kern w:val="0"/>
                <w:sz w:val="18"/>
                <w:szCs w:val="18"/>
              </w:rPr>
              <w:t>at</w:t>
            </w:r>
            <w:r w:rsidRPr="002B538E">
              <w:rPr>
                <w:rFonts w:ascii="Times New Roman" w:eastAsia="宋体" w:hAnsi="Times New Roman" w:cs="Times New Roman"/>
                <w:b/>
                <w:kern w:val="0"/>
                <w:sz w:val="18"/>
                <w:szCs w:val="18"/>
              </w:rPr>
              <w:t xml:space="preserve"> </w:t>
            </w:r>
            <w:r w:rsidR="00337F8E">
              <w:rPr>
                <w:rFonts w:ascii="Times New Roman" w:eastAsia="宋体" w:hAnsi="Times New Roman" w:cs="Times New Roman"/>
                <w:b/>
                <w:kern w:val="0"/>
                <w:sz w:val="18"/>
                <w:szCs w:val="18"/>
              </w:rPr>
              <w:t xml:space="preserve">the </w:t>
            </w:r>
            <w:r w:rsidRPr="002B538E">
              <w:rPr>
                <w:rFonts w:ascii="Times New Roman" w:eastAsia="宋体" w:hAnsi="Times New Roman" w:cs="Times New Roman"/>
                <w:b/>
                <w:kern w:val="0"/>
                <w:sz w:val="18"/>
                <w:szCs w:val="18"/>
              </w:rPr>
              <w:t>phylum level</w:t>
            </w:r>
          </w:p>
        </w:tc>
        <w:tc>
          <w:tcPr>
            <w:tcW w:w="6236" w:type="dxa"/>
            <w:tcBorders>
              <w:top w:val="single" w:sz="4" w:space="0" w:color="auto"/>
              <w:left w:val="nil"/>
              <w:bottom w:val="single" w:sz="4" w:space="0" w:color="auto"/>
              <w:right w:val="nil"/>
            </w:tcBorders>
            <w:vAlign w:val="center"/>
          </w:tcPr>
          <w:p w14:paraId="6754420C" w14:textId="04E27A5D" w:rsidR="002F31E3" w:rsidRPr="002B538E" w:rsidRDefault="00203CA9">
            <w:pPr>
              <w:jc w:val="left"/>
              <w:rPr>
                <w:rFonts w:ascii="Times New Roman" w:eastAsia="宋体" w:hAnsi="Times New Roman" w:cs="Times New Roman"/>
                <w:b/>
                <w:kern w:val="0"/>
                <w:sz w:val="18"/>
                <w:szCs w:val="18"/>
              </w:rPr>
            </w:pPr>
            <w:r w:rsidRPr="002B538E">
              <w:rPr>
                <w:rFonts w:ascii="Times New Roman" w:eastAsia="宋体" w:hAnsi="Times New Roman" w:cs="Times New Roman"/>
                <w:b/>
                <w:kern w:val="0"/>
                <w:sz w:val="18"/>
                <w:szCs w:val="18"/>
              </w:rPr>
              <w:t xml:space="preserve">Dominant species of the bacterial community </w:t>
            </w:r>
            <w:r w:rsidRPr="002B538E">
              <w:rPr>
                <w:rFonts w:ascii="Times New Roman" w:eastAsia="宋体" w:hAnsi="Times New Roman" w:cs="Times New Roman" w:hint="eastAsia"/>
                <w:b/>
                <w:kern w:val="0"/>
                <w:sz w:val="18"/>
                <w:szCs w:val="18"/>
              </w:rPr>
              <w:t>at</w:t>
            </w:r>
            <w:r w:rsidRPr="002B538E">
              <w:rPr>
                <w:rFonts w:ascii="Times New Roman" w:eastAsia="宋体" w:hAnsi="Times New Roman" w:cs="Times New Roman"/>
                <w:b/>
                <w:kern w:val="0"/>
                <w:sz w:val="18"/>
                <w:szCs w:val="18"/>
              </w:rPr>
              <w:t xml:space="preserve"> </w:t>
            </w:r>
            <w:r w:rsidR="00337F8E">
              <w:rPr>
                <w:rFonts w:ascii="Times New Roman" w:eastAsia="宋体" w:hAnsi="Times New Roman" w:cs="Times New Roman"/>
                <w:b/>
                <w:kern w:val="0"/>
                <w:sz w:val="18"/>
                <w:szCs w:val="18"/>
              </w:rPr>
              <w:t xml:space="preserve">the </w:t>
            </w:r>
            <w:r w:rsidRPr="002B538E">
              <w:rPr>
                <w:rFonts w:ascii="Times New Roman" w:eastAsia="宋体" w:hAnsi="Times New Roman" w:cs="Times New Roman"/>
                <w:b/>
                <w:kern w:val="0"/>
                <w:sz w:val="18"/>
                <w:szCs w:val="18"/>
              </w:rPr>
              <w:t>genus level</w:t>
            </w:r>
          </w:p>
        </w:tc>
      </w:tr>
      <w:tr w:rsidR="002F31E3" w:rsidRPr="002B538E" w14:paraId="566C3D6C" w14:textId="77777777">
        <w:trPr>
          <w:trHeight w:val="707"/>
        </w:trPr>
        <w:tc>
          <w:tcPr>
            <w:tcW w:w="2263" w:type="dxa"/>
            <w:tcBorders>
              <w:top w:val="single" w:sz="4" w:space="0" w:color="auto"/>
              <w:left w:val="nil"/>
              <w:bottom w:val="nil"/>
              <w:right w:val="nil"/>
            </w:tcBorders>
            <w:vAlign w:val="center"/>
          </w:tcPr>
          <w:p w14:paraId="34564360" w14:textId="77777777" w:rsidR="002F31E3" w:rsidRPr="002B538E" w:rsidRDefault="00203CA9">
            <w:pPr>
              <w:jc w:val="left"/>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Black soil</w:t>
            </w:r>
          </w:p>
        </w:tc>
        <w:tc>
          <w:tcPr>
            <w:tcW w:w="5392" w:type="dxa"/>
            <w:tcBorders>
              <w:top w:val="single" w:sz="4" w:space="0" w:color="auto"/>
              <w:left w:val="nil"/>
              <w:bottom w:val="nil"/>
              <w:right w:val="nil"/>
            </w:tcBorders>
            <w:vAlign w:val="center"/>
          </w:tcPr>
          <w:p w14:paraId="6C638AF2" w14:textId="7F7CF209"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Acidobacteria</w:t>
            </w:r>
            <w:proofErr w:type="spellEnd"/>
            <w:r w:rsidRPr="002B538E">
              <w:rPr>
                <w:rFonts w:ascii="Times New Roman" w:eastAsia="宋体" w:hAnsi="Times New Roman" w:cs="Times New Roman"/>
                <w:kern w:val="0"/>
                <w:sz w:val="18"/>
                <w:szCs w:val="18"/>
              </w:rPr>
              <w:t>, Actinobacteri</w:t>
            </w:r>
            <w:r w:rsidR="00337F8E">
              <w:rPr>
                <w:rFonts w:ascii="Times New Roman" w:eastAsia="宋体" w:hAnsi="Times New Roman" w:cs="Times New Roman"/>
                <w:kern w:val="0"/>
                <w:sz w:val="18"/>
                <w:szCs w:val="18"/>
              </w:rPr>
              <w:t>a</w:t>
            </w:r>
            <w:r w:rsidRPr="002B538E">
              <w:rPr>
                <w:rFonts w:ascii="Times New Roman" w:eastAsia="宋体" w:hAnsi="Times New Roman" w:cs="Times New Roman"/>
                <w:kern w:val="0"/>
                <w:sz w:val="18"/>
                <w:szCs w:val="18"/>
              </w:rPr>
              <w:t xml:space="preserve">, Bacteroidetes, Chloroflexi, Firmicutes, </w:t>
            </w:r>
            <w:proofErr w:type="spellStart"/>
            <w:r w:rsidRPr="002B538E">
              <w:rPr>
                <w:rFonts w:ascii="Times New Roman" w:eastAsia="宋体" w:hAnsi="Times New Roman" w:cs="Times New Roman"/>
                <w:kern w:val="0"/>
                <w:sz w:val="18"/>
                <w:szCs w:val="18"/>
              </w:rPr>
              <w:t>Gemmatimonadetes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kern w:val="0"/>
                <w:sz w:val="18"/>
                <w:szCs w:val="18"/>
              </w:rPr>
              <w:t>Nitrospirae</w:t>
            </w:r>
            <w:proofErr w:type="spellEnd"/>
            <w:r w:rsidRPr="002B538E">
              <w:rPr>
                <w:rFonts w:ascii="Times New Roman" w:eastAsia="宋体" w:hAnsi="Times New Roman" w:cs="Times New Roman"/>
                <w:kern w:val="0"/>
                <w:sz w:val="18"/>
                <w:szCs w:val="18"/>
              </w:rPr>
              <w:t>, Planctomycetes, Proteobacteria</w:t>
            </w:r>
          </w:p>
        </w:tc>
        <w:tc>
          <w:tcPr>
            <w:tcW w:w="6236" w:type="dxa"/>
            <w:tcBorders>
              <w:top w:val="single" w:sz="4" w:space="0" w:color="auto"/>
              <w:left w:val="nil"/>
              <w:bottom w:val="nil"/>
              <w:right w:val="nil"/>
            </w:tcBorders>
            <w:vAlign w:val="center"/>
          </w:tcPr>
          <w:p w14:paraId="41D65449"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i/>
                <w:kern w:val="0"/>
                <w:sz w:val="18"/>
                <w:szCs w:val="18"/>
              </w:rPr>
              <w:t>Ammoniphilus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Arthrobacter</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Bacillus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Blastococcus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Ensifer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Gaiella</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Geminicoccus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Gemmatimonas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Gp16</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Gp6</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Ilumatobacter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Nitrospira</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Nocardioides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Rubrobacter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Solirubrobacter</w:t>
            </w:r>
            <w:proofErr w:type="spellEnd"/>
          </w:p>
        </w:tc>
      </w:tr>
      <w:tr w:rsidR="002F31E3" w:rsidRPr="002B538E" w14:paraId="01C92A6B" w14:textId="77777777">
        <w:trPr>
          <w:trHeight w:val="707"/>
        </w:trPr>
        <w:tc>
          <w:tcPr>
            <w:tcW w:w="2263" w:type="dxa"/>
            <w:tcBorders>
              <w:top w:val="nil"/>
              <w:left w:val="nil"/>
              <w:bottom w:val="nil"/>
              <w:right w:val="nil"/>
            </w:tcBorders>
            <w:vAlign w:val="center"/>
          </w:tcPr>
          <w:p w14:paraId="117D4E53" w14:textId="77777777" w:rsidR="002F31E3" w:rsidRPr="002B538E" w:rsidRDefault="00203CA9">
            <w:pPr>
              <w:jc w:val="left"/>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Lime concretion black soil</w:t>
            </w:r>
          </w:p>
        </w:tc>
        <w:tc>
          <w:tcPr>
            <w:tcW w:w="5392" w:type="dxa"/>
            <w:tcBorders>
              <w:top w:val="nil"/>
              <w:left w:val="nil"/>
              <w:bottom w:val="nil"/>
              <w:right w:val="nil"/>
            </w:tcBorders>
            <w:vAlign w:val="center"/>
          </w:tcPr>
          <w:p w14:paraId="0F3283D2"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Acidobacteria</w:t>
            </w:r>
            <w:proofErr w:type="spellEnd"/>
            <w:r w:rsidRPr="002B538E">
              <w:rPr>
                <w:rFonts w:ascii="Times New Roman" w:eastAsia="宋体" w:hAnsi="Times New Roman" w:cs="Times New Roman"/>
                <w:kern w:val="0"/>
                <w:sz w:val="18"/>
                <w:szCs w:val="18"/>
              </w:rPr>
              <w:t xml:space="preserve">, Actinobacteria, Bacteroidetes, Chloroflexi, Firmicutes, </w:t>
            </w:r>
            <w:proofErr w:type="spellStart"/>
            <w:r w:rsidRPr="002B538E">
              <w:rPr>
                <w:rFonts w:ascii="Times New Roman" w:eastAsia="宋体" w:hAnsi="Times New Roman" w:cs="Times New Roman"/>
                <w:kern w:val="0"/>
                <w:sz w:val="18"/>
                <w:szCs w:val="18"/>
              </w:rPr>
              <w:t>Gemmatimonadetes</w:t>
            </w:r>
            <w:proofErr w:type="spellEnd"/>
            <w:r w:rsidRPr="002B538E">
              <w:rPr>
                <w:rFonts w:ascii="Times New Roman" w:eastAsia="宋体" w:hAnsi="Times New Roman" w:cs="Times New Roman"/>
                <w:kern w:val="0"/>
                <w:sz w:val="18"/>
                <w:szCs w:val="18"/>
              </w:rPr>
              <w:t>, Planctomycetes</w:t>
            </w:r>
            <w:r w:rsidRPr="002B538E">
              <w:rPr>
                <w:rFonts w:ascii="Times New Roman" w:eastAsia="宋体" w:hAnsi="Times New Roman" w:cs="Times New Roman" w:hint="eastAsia"/>
                <w:kern w:val="0"/>
                <w:sz w:val="18"/>
                <w:szCs w:val="18"/>
              </w:rPr>
              <w:t xml:space="preserve">, </w:t>
            </w:r>
            <w:r w:rsidRPr="002B538E">
              <w:rPr>
                <w:rFonts w:ascii="Times New Roman" w:eastAsia="宋体" w:hAnsi="Times New Roman" w:cs="Times New Roman"/>
                <w:kern w:val="0"/>
                <w:sz w:val="18"/>
                <w:szCs w:val="18"/>
              </w:rPr>
              <w:t xml:space="preserve">Proteobacteria, </w:t>
            </w:r>
            <w:bookmarkStart w:id="4" w:name="_Hlk205225900"/>
            <w:r w:rsidRPr="002B538E">
              <w:rPr>
                <w:rFonts w:ascii="Times New Roman" w:eastAsia="宋体" w:hAnsi="Times New Roman" w:cs="Times New Roman"/>
                <w:kern w:val="0"/>
                <w:sz w:val="18"/>
                <w:szCs w:val="18"/>
              </w:rPr>
              <w:t>Candidate division WPS-1</w:t>
            </w:r>
            <w:bookmarkEnd w:id="4"/>
          </w:p>
        </w:tc>
        <w:tc>
          <w:tcPr>
            <w:tcW w:w="6236" w:type="dxa"/>
            <w:tcBorders>
              <w:top w:val="nil"/>
              <w:left w:val="nil"/>
              <w:bottom w:val="nil"/>
              <w:right w:val="nil"/>
            </w:tcBorders>
            <w:vAlign w:val="center"/>
          </w:tcPr>
          <w:p w14:paraId="1FF7D593"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i/>
                <w:kern w:val="0"/>
                <w:sz w:val="18"/>
                <w:szCs w:val="18"/>
              </w:rPr>
              <w:t>Ammoniphilus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Arthrobacter</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Bacillus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Blastococcus</w:t>
            </w:r>
            <w:proofErr w:type="spellEnd"/>
            <w:r w:rsidRPr="002B538E">
              <w:rPr>
                <w:rFonts w:ascii="Times New Roman" w:eastAsia="宋体" w:hAnsi="Times New Roman" w:cs="Times New Roman"/>
                <w:kern w:val="0"/>
                <w:sz w:val="18"/>
                <w:szCs w:val="18"/>
              </w:rPr>
              <w:t>,</w:t>
            </w:r>
            <w:r w:rsidRPr="002B538E">
              <w:rPr>
                <w:rFonts w:ascii="Times New Roman" w:eastAsia="宋体" w:hAnsi="Times New Roman" w:cs="Times New Roman"/>
                <w:i/>
                <w:kern w:val="0"/>
                <w:sz w:val="18"/>
                <w:szCs w:val="18"/>
              </w:rPr>
              <w:t xml:space="preserve"> </w:t>
            </w:r>
            <w:proofErr w:type="spellStart"/>
            <w:r w:rsidRPr="002B538E">
              <w:rPr>
                <w:rFonts w:ascii="Times New Roman" w:eastAsia="宋体" w:hAnsi="Times New Roman" w:cs="Times New Roman"/>
                <w:i/>
                <w:kern w:val="0"/>
                <w:sz w:val="18"/>
                <w:szCs w:val="18"/>
              </w:rPr>
              <w:t>Ensifer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Gaiella</w:t>
            </w:r>
            <w:proofErr w:type="spellEnd"/>
            <w:r w:rsidRPr="002B538E">
              <w:rPr>
                <w:rFonts w:ascii="Times New Roman" w:eastAsia="宋体" w:hAnsi="Times New Roman" w:cs="Times New Roman"/>
                <w:kern w:val="0"/>
                <w:sz w:val="18"/>
                <w:szCs w:val="18"/>
              </w:rPr>
              <w:t>,</w:t>
            </w:r>
            <w:r w:rsidRPr="002B538E">
              <w:rPr>
                <w:rFonts w:ascii="Times New Roman" w:eastAsia="宋体" w:hAnsi="Times New Roman" w:cs="Times New Roman"/>
                <w:i/>
                <w:kern w:val="0"/>
                <w:sz w:val="18"/>
                <w:szCs w:val="18"/>
              </w:rPr>
              <w:t xml:space="preserve"> </w:t>
            </w:r>
            <w:proofErr w:type="spellStart"/>
            <w:r w:rsidRPr="002B538E">
              <w:rPr>
                <w:rFonts w:ascii="Times New Roman" w:eastAsia="宋体" w:hAnsi="Times New Roman" w:cs="Times New Roman"/>
                <w:i/>
                <w:kern w:val="0"/>
                <w:sz w:val="18"/>
                <w:szCs w:val="18"/>
              </w:rPr>
              <w:t>Geminicoccus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Gemmatimonas</w:t>
            </w:r>
            <w:proofErr w:type="spellEnd"/>
            <w:r w:rsidRPr="002B538E">
              <w:rPr>
                <w:rFonts w:ascii="Times New Roman" w:eastAsia="宋体" w:hAnsi="Times New Roman" w:cs="Times New Roman"/>
                <w:kern w:val="0"/>
                <w:sz w:val="18"/>
                <w:szCs w:val="18"/>
              </w:rPr>
              <w:t>,</w:t>
            </w:r>
            <w:r w:rsidRPr="002B538E">
              <w:rPr>
                <w:rFonts w:ascii="Times New Roman" w:eastAsia="宋体" w:hAnsi="Times New Roman" w:cs="Times New Roman"/>
                <w:i/>
                <w:kern w:val="0"/>
                <w:sz w:val="18"/>
                <w:szCs w:val="18"/>
              </w:rPr>
              <w:t xml:space="preserve"> Gp16</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Gp6</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Ilumatobacter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Lysobacter</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WPS-1_genera_incertae_sedis</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Nocardioides</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Pseudomonas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Rubrobacter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Solirubrobacter</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Streptomyces</w:t>
            </w:r>
          </w:p>
        </w:tc>
      </w:tr>
      <w:tr w:rsidR="002F31E3" w:rsidRPr="002B538E" w14:paraId="0DB1465A" w14:textId="77777777">
        <w:trPr>
          <w:trHeight w:val="707"/>
        </w:trPr>
        <w:tc>
          <w:tcPr>
            <w:tcW w:w="2263" w:type="dxa"/>
            <w:tcBorders>
              <w:top w:val="nil"/>
              <w:left w:val="nil"/>
              <w:bottom w:val="nil"/>
              <w:right w:val="nil"/>
            </w:tcBorders>
            <w:vAlign w:val="center"/>
          </w:tcPr>
          <w:p w14:paraId="1D6CFF53" w14:textId="77777777" w:rsidR="002F31E3" w:rsidRPr="002B538E" w:rsidRDefault="00203CA9">
            <w:pPr>
              <w:jc w:val="left"/>
              <w:rPr>
                <w:rFonts w:ascii="Times New Roman" w:eastAsia="宋体" w:hAnsi="Times New Roman" w:cs="Times New Roman"/>
                <w:kern w:val="0"/>
                <w:sz w:val="18"/>
                <w:szCs w:val="18"/>
              </w:rPr>
            </w:pPr>
            <w:bookmarkStart w:id="5" w:name="_Hlk205226532"/>
            <w:r w:rsidRPr="002B538E">
              <w:rPr>
                <w:rFonts w:ascii="Times New Roman" w:eastAsia="宋体" w:hAnsi="Times New Roman" w:cs="Times New Roman"/>
                <w:kern w:val="0"/>
                <w:sz w:val="18"/>
                <w:szCs w:val="18"/>
              </w:rPr>
              <w:t>Yellow-cinnamon soil</w:t>
            </w:r>
            <w:bookmarkEnd w:id="5"/>
          </w:p>
        </w:tc>
        <w:tc>
          <w:tcPr>
            <w:tcW w:w="5392" w:type="dxa"/>
            <w:tcBorders>
              <w:top w:val="nil"/>
              <w:left w:val="nil"/>
              <w:bottom w:val="nil"/>
              <w:right w:val="nil"/>
            </w:tcBorders>
            <w:vAlign w:val="center"/>
          </w:tcPr>
          <w:p w14:paraId="798BCC52"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Acidobacteria</w:t>
            </w:r>
            <w:proofErr w:type="spellEnd"/>
            <w:r w:rsidRPr="002B538E">
              <w:rPr>
                <w:rFonts w:ascii="Times New Roman" w:eastAsia="宋体" w:hAnsi="Times New Roman" w:cs="Times New Roman"/>
                <w:kern w:val="0"/>
                <w:sz w:val="18"/>
                <w:szCs w:val="18"/>
              </w:rPr>
              <w:t xml:space="preserve">, Actinobacteria, Chloroflexi, Firmicutes, </w:t>
            </w:r>
            <w:proofErr w:type="spellStart"/>
            <w:r w:rsidRPr="002B538E">
              <w:rPr>
                <w:rFonts w:ascii="Times New Roman" w:eastAsia="宋体" w:hAnsi="Times New Roman" w:cs="Times New Roman"/>
                <w:kern w:val="0"/>
                <w:sz w:val="18"/>
                <w:szCs w:val="18"/>
              </w:rPr>
              <w:t>Gemmatimonadetes</w:t>
            </w:r>
            <w:proofErr w:type="spellEnd"/>
            <w:r w:rsidRPr="002B538E">
              <w:rPr>
                <w:rFonts w:ascii="Times New Roman" w:eastAsia="宋体" w:hAnsi="Times New Roman" w:cs="Times New Roman"/>
                <w:kern w:val="0"/>
                <w:sz w:val="18"/>
                <w:szCs w:val="18"/>
              </w:rPr>
              <w:t>, Planctomycetes, Proteobacteria</w:t>
            </w:r>
          </w:p>
        </w:tc>
        <w:tc>
          <w:tcPr>
            <w:tcW w:w="6236" w:type="dxa"/>
            <w:tcBorders>
              <w:top w:val="nil"/>
              <w:left w:val="nil"/>
              <w:bottom w:val="nil"/>
              <w:right w:val="nil"/>
            </w:tcBorders>
            <w:vAlign w:val="center"/>
          </w:tcPr>
          <w:p w14:paraId="032A6D57"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i/>
                <w:kern w:val="0"/>
                <w:sz w:val="18"/>
                <w:szCs w:val="18"/>
              </w:rPr>
              <w:t>Ammoniphilus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Arthrobacter</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Blastococcus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Gemmatimonas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Gaiella</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Gp16</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Gp6</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Ilumatobacter</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Nocardioides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Rhodanobacter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Solirubrobacter</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Streptomyces</w:t>
            </w:r>
          </w:p>
        </w:tc>
      </w:tr>
      <w:tr w:rsidR="002F31E3" w:rsidRPr="002B538E" w14:paraId="3B5E59CA" w14:textId="77777777">
        <w:trPr>
          <w:trHeight w:val="670"/>
        </w:trPr>
        <w:tc>
          <w:tcPr>
            <w:tcW w:w="2263" w:type="dxa"/>
            <w:tcBorders>
              <w:top w:val="nil"/>
              <w:left w:val="nil"/>
              <w:bottom w:val="nil"/>
              <w:right w:val="nil"/>
            </w:tcBorders>
            <w:vAlign w:val="center"/>
          </w:tcPr>
          <w:p w14:paraId="64E49076" w14:textId="77777777" w:rsidR="002F31E3" w:rsidRPr="002B538E" w:rsidRDefault="00203CA9">
            <w:pPr>
              <w:jc w:val="left"/>
              <w:rPr>
                <w:rFonts w:ascii="Times New Roman" w:eastAsia="宋体" w:hAnsi="Times New Roman" w:cs="Times New Roman"/>
                <w:kern w:val="0"/>
                <w:sz w:val="18"/>
                <w:szCs w:val="18"/>
              </w:rPr>
            </w:pPr>
            <w:r w:rsidRPr="002B538E">
              <w:rPr>
                <w:rFonts w:ascii="Times New Roman" w:eastAsia="宋体" w:hAnsi="Times New Roman" w:cs="Times New Roman"/>
                <w:kern w:val="0"/>
                <w:sz w:val="18"/>
                <w:szCs w:val="18"/>
              </w:rPr>
              <w:t>R</w:t>
            </w:r>
            <w:r w:rsidRPr="002B538E">
              <w:rPr>
                <w:rFonts w:ascii="Times New Roman" w:eastAsia="宋体" w:hAnsi="Times New Roman" w:cs="Times New Roman" w:hint="eastAsia"/>
                <w:kern w:val="0"/>
                <w:sz w:val="18"/>
                <w:szCs w:val="18"/>
              </w:rPr>
              <w:t>ed</w:t>
            </w:r>
            <w:r w:rsidRPr="002B538E">
              <w:rPr>
                <w:rFonts w:ascii="Times New Roman" w:eastAsia="宋体" w:hAnsi="Times New Roman" w:cs="Times New Roman"/>
                <w:kern w:val="0"/>
                <w:sz w:val="18"/>
                <w:szCs w:val="18"/>
              </w:rPr>
              <w:t xml:space="preserve"> soil</w:t>
            </w:r>
          </w:p>
        </w:tc>
        <w:tc>
          <w:tcPr>
            <w:tcW w:w="5392" w:type="dxa"/>
            <w:tcBorders>
              <w:top w:val="nil"/>
              <w:left w:val="nil"/>
              <w:bottom w:val="nil"/>
              <w:right w:val="nil"/>
            </w:tcBorders>
            <w:vAlign w:val="center"/>
          </w:tcPr>
          <w:p w14:paraId="2F86DE54"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Acidobacteria</w:t>
            </w:r>
            <w:proofErr w:type="spellEnd"/>
            <w:r w:rsidRPr="002B538E">
              <w:rPr>
                <w:rFonts w:ascii="Times New Roman" w:eastAsia="宋体" w:hAnsi="Times New Roman" w:cs="Times New Roman"/>
                <w:kern w:val="0"/>
                <w:sz w:val="18"/>
                <w:szCs w:val="18"/>
              </w:rPr>
              <w:t xml:space="preserve">, Actinobacteria, Bacteroidetes, Candidatus </w:t>
            </w:r>
            <w:proofErr w:type="spellStart"/>
            <w:r w:rsidRPr="002B538E">
              <w:rPr>
                <w:rFonts w:ascii="Times New Roman" w:eastAsia="宋体" w:hAnsi="Times New Roman" w:cs="Times New Roman"/>
                <w:kern w:val="0"/>
                <w:sz w:val="18"/>
                <w:szCs w:val="18"/>
              </w:rPr>
              <w:t>Saccharibacteria</w:t>
            </w:r>
            <w:proofErr w:type="spellEnd"/>
            <w:r w:rsidRPr="002B538E">
              <w:rPr>
                <w:rFonts w:ascii="Times New Roman" w:eastAsia="宋体" w:hAnsi="Times New Roman" w:cs="Times New Roman"/>
                <w:kern w:val="0"/>
                <w:sz w:val="18"/>
                <w:szCs w:val="18"/>
              </w:rPr>
              <w:t xml:space="preserve">, Cyanobacteria/Chloroplast, Firmicutes, </w:t>
            </w:r>
            <w:proofErr w:type="spellStart"/>
            <w:r w:rsidRPr="002B538E">
              <w:rPr>
                <w:rFonts w:ascii="Times New Roman" w:eastAsia="宋体" w:hAnsi="Times New Roman" w:cs="Times New Roman"/>
                <w:kern w:val="0"/>
                <w:sz w:val="18"/>
                <w:szCs w:val="18"/>
              </w:rPr>
              <w:t>Gemmatimonadetes</w:t>
            </w:r>
            <w:proofErr w:type="spellEnd"/>
            <w:r w:rsidRPr="002B538E">
              <w:rPr>
                <w:rFonts w:ascii="Times New Roman" w:eastAsia="宋体" w:hAnsi="Times New Roman" w:cs="Times New Roman"/>
                <w:kern w:val="0"/>
                <w:sz w:val="18"/>
                <w:szCs w:val="18"/>
              </w:rPr>
              <w:t>, Proteobacteria, Candidate division WPS-1</w:t>
            </w:r>
          </w:p>
        </w:tc>
        <w:tc>
          <w:tcPr>
            <w:tcW w:w="6236" w:type="dxa"/>
            <w:tcBorders>
              <w:top w:val="nil"/>
              <w:left w:val="nil"/>
              <w:bottom w:val="nil"/>
              <w:right w:val="nil"/>
            </w:tcBorders>
            <w:vAlign w:val="center"/>
          </w:tcPr>
          <w:p w14:paraId="640BFFB9" w14:textId="77777777" w:rsidR="002F31E3" w:rsidRPr="002B538E" w:rsidRDefault="00203CA9">
            <w:pPr>
              <w:jc w:val="left"/>
              <w:rPr>
                <w:rFonts w:ascii="Times New Roman" w:eastAsia="宋体" w:hAnsi="Times New Roman" w:cs="Times New Roman"/>
                <w:kern w:val="0"/>
                <w:sz w:val="18"/>
                <w:szCs w:val="18"/>
              </w:rPr>
            </w:pPr>
            <w:r w:rsidRPr="002B538E">
              <w:rPr>
                <w:rFonts w:ascii="Times New Roman" w:eastAsia="宋体" w:hAnsi="Times New Roman" w:cs="Times New Roman"/>
                <w:i/>
                <w:kern w:val="0"/>
                <w:sz w:val="18"/>
                <w:szCs w:val="18"/>
              </w:rPr>
              <w:t>Alicyclobacillus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Ammoniphilus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Arthrobacter</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Bradyrhizobium</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Brevundimonas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Burkholderia</w:t>
            </w:r>
            <w:r w:rsidRPr="002B538E">
              <w:rPr>
                <w:rFonts w:ascii="Times New Roman" w:eastAsia="宋体" w:hAnsi="Times New Roman" w:cs="Times New Roman"/>
                <w:kern w:val="0"/>
                <w:sz w:val="18"/>
                <w:szCs w:val="18"/>
              </w:rPr>
              <w:t xml:space="preserve">, Candidatus </w:t>
            </w:r>
            <w:proofErr w:type="spellStart"/>
            <w:r w:rsidRPr="002B538E">
              <w:rPr>
                <w:rFonts w:ascii="Times New Roman" w:eastAsia="宋体" w:hAnsi="Times New Roman" w:cs="Times New Roman"/>
                <w:i/>
                <w:kern w:val="0"/>
                <w:sz w:val="18"/>
                <w:szCs w:val="18"/>
              </w:rPr>
              <w:t>Koribacter</w:t>
            </w:r>
            <w:proofErr w:type="spellEnd"/>
            <w:r w:rsidRPr="002B538E">
              <w:rPr>
                <w:rFonts w:ascii="Times New Roman" w:eastAsia="宋体" w:hAnsi="Times New Roman" w:cs="Times New Roman"/>
                <w:kern w:val="0"/>
                <w:sz w:val="18"/>
                <w:szCs w:val="18"/>
              </w:rPr>
              <w:t>,</w:t>
            </w:r>
            <w:r w:rsidRPr="002B538E">
              <w:rPr>
                <w:rFonts w:ascii="Times New Roman" w:eastAsia="宋体" w:hAnsi="Times New Roman" w:cs="Times New Roman"/>
                <w:i/>
                <w:kern w:val="0"/>
                <w:sz w:val="18"/>
                <w:szCs w:val="18"/>
              </w:rPr>
              <w:t xml:space="preserve"> </w:t>
            </w:r>
            <w:proofErr w:type="spellStart"/>
            <w:r w:rsidRPr="002B538E">
              <w:rPr>
                <w:rFonts w:ascii="Times New Roman" w:eastAsia="宋体" w:hAnsi="Times New Roman" w:cs="Times New Roman"/>
                <w:i/>
                <w:kern w:val="0"/>
                <w:sz w:val="18"/>
                <w:szCs w:val="18"/>
              </w:rPr>
              <w:t>Gaiella</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Gemmatimonas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Gp1</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Gp3</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Gp7</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Granulicella</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Massilia</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Pseudomonas</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Rhizobium</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Shinella</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Sphingomonas</w:t>
            </w:r>
            <w:proofErr w:type="spellEnd"/>
            <w:r w:rsidRPr="002B538E">
              <w:rPr>
                <w:rFonts w:ascii="Times New Roman" w:eastAsia="宋体" w:hAnsi="Times New Roman" w:cs="Times New Roman"/>
                <w:kern w:val="0"/>
                <w:sz w:val="18"/>
                <w:szCs w:val="18"/>
              </w:rPr>
              <w:t>,</w:t>
            </w:r>
            <w:r w:rsidRPr="002B538E">
              <w:rPr>
                <w:rFonts w:ascii="Times New Roman" w:eastAsia="宋体" w:hAnsi="Times New Roman" w:cs="Times New Roman"/>
                <w:i/>
                <w:kern w:val="0"/>
                <w:sz w:val="18"/>
                <w:szCs w:val="18"/>
              </w:rPr>
              <w:t xml:space="preserve"> </w:t>
            </w:r>
            <w:proofErr w:type="spellStart"/>
            <w:r w:rsidRPr="002B538E">
              <w:rPr>
                <w:rFonts w:ascii="Times New Roman" w:eastAsia="宋体" w:hAnsi="Times New Roman" w:cs="Times New Roman"/>
                <w:i/>
                <w:kern w:val="0"/>
                <w:sz w:val="18"/>
                <w:szCs w:val="18"/>
              </w:rPr>
              <w:t>Saccharibacteria_genera_incertae_sedis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WPS-1_genera_incertae_sedis</w:t>
            </w:r>
          </w:p>
        </w:tc>
      </w:tr>
      <w:tr w:rsidR="002F31E3" w:rsidRPr="002B538E" w14:paraId="412E8D82" w14:textId="77777777">
        <w:trPr>
          <w:trHeight w:val="670"/>
        </w:trPr>
        <w:tc>
          <w:tcPr>
            <w:tcW w:w="2263" w:type="dxa"/>
            <w:tcBorders>
              <w:top w:val="nil"/>
              <w:left w:val="nil"/>
              <w:bottom w:val="single" w:sz="4" w:space="0" w:color="auto"/>
              <w:right w:val="nil"/>
            </w:tcBorders>
            <w:vAlign w:val="center"/>
          </w:tcPr>
          <w:p w14:paraId="2DA75E58"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Fluvo</w:t>
            </w:r>
            <w:proofErr w:type="spellEnd"/>
            <w:r w:rsidRPr="002B538E">
              <w:rPr>
                <w:rFonts w:ascii="Times New Roman" w:eastAsia="宋体" w:hAnsi="Times New Roman" w:cs="Times New Roman"/>
                <w:kern w:val="0"/>
                <w:sz w:val="18"/>
                <w:szCs w:val="18"/>
              </w:rPr>
              <w:t>-aquic soil</w:t>
            </w:r>
          </w:p>
        </w:tc>
        <w:tc>
          <w:tcPr>
            <w:tcW w:w="5392" w:type="dxa"/>
            <w:tcBorders>
              <w:top w:val="nil"/>
              <w:left w:val="nil"/>
              <w:bottom w:val="single" w:sz="4" w:space="0" w:color="auto"/>
              <w:right w:val="nil"/>
            </w:tcBorders>
            <w:vAlign w:val="center"/>
          </w:tcPr>
          <w:p w14:paraId="08DB2625"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kern w:val="0"/>
                <w:sz w:val="18"/>
                <w:szCs w:val="18"/>
              </w:rPr>
              <w:t>Acidobacteria</w:t>
            </w:r>
            <w:proofErr w:type="spellEnd"/>
            <w:r w:rsidRPr="002B538E">
              <w:rPr>
                <w:rFonts w:ascii="Times New Roman" w:eastAsia="宋体" w:hAnsi="Times New Roman" w:cs="Times New Roman"/>
                <w:kern w:val="0"/>
                <w:sz w:val="18"/>
                <w:szCs w:val="18"/>
              </w:rPr>
              <w:t xml:space="preserve">, Actinobacteria, Bacteroidetes, Chloroflexi, Firmicutes, </w:t>
            </w:r>
            <w:proofErr w:type="spellStart"/>
            <w:r w:rsidRPr="002B538E">
              <w:rPr>
                <w:rFonts w:ascii="Times New Roman" w:eastAsia="宋体" w:hAnsi="Times New Roman" w:cs="Times New Roman"/>
                <w:kern w:val="0"/>
                <w:sz w:val="18"/>
                <w:szCs w:val="18"/>
              </w:rPr>
              <w:t>Gemmatimonadetes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kern w:val="0"/>
                <w:sz w:val="18"/>
                <w:szCs w:val="18"/>
              </w:rPr>
              <w:t>Nitrospirae</w:t>
            </w:r>
            <w:proofErr w:type="spellEnd"/>
            <w:r w:rsidRPr="002B538E">
              <w:rPr>
                <w:rFonts w:ascii="Times New Roman" w:eastAsia="宋体" w:hAnsi="Times New Roman" w:cs="Times New Roman"/>
                <w:kern w:val="0"/>
                <w:sz w:val="18"/>
                <w:szCs w:val="18"/>
              </w:rPr>
              <w:t>, Planctomycetes, Proteobacteria</w:t>
            </w:r>
          </w:p>
        </w:tc>
        <w:tc>
          <w:tcPr>
            <w:tcW w:w="6236" w:type="dxa"/>
            <w:tcBorders>
              <w:top w:val="nil"/>
              <w:left w:val="nil"/>
              <w:bottom w:val="single" w:sz="4" w:space="0" w:color="auto"/>
              <w:right w:val="nil"/>
            </w:tcBorders>
            <w:vAlign w:val="center"/>
          </w:tcPr>
          <w:p w14:paraId="5A531A8E" w14:textId="77777777" w:rsidR="002F31E3" w:rsidRPr="002B538E" w:rsidRDefault="00203CA9">
            <w:pPr>
              <w:jc w:val="left"/>
              <w:rPr>
                <w:rFonts w:ascii="Times New Roman" w:eastAsia="宋体" w:hAnsi="Times New Roman" w:cs="Times New Roman"/>
                <w:kern w:val="0"/>
                <w:sz w:val="18"/>
                <w:szCs w:val="18"/>
              </w:rPr>
            </w:pPr>
            <w:proofErr w:type="spellStart"/>
            <w:r w:rsidRPr="002B538E">
              <w:rPr>
                <w:rFonts w:ascii="Times New Roman" w:eastAsia="宋体" w:hAnsi="Times New Roman" w:cs="Times New Roman"/>
                <w:i/>
                <w:kern w:val="0"/>
                <w:sz w:val="18"/>
                <w:szCs w:val="18"/>
              </w:rPr>
              <w:t>Ammoniphilus</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Arthrobacter</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Bacillus</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Blastococcus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Castellaniella</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Ensifer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Gaiella</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Geminicoccus</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Gemmatimonas</w:t>
            </w:r>
            <w:proofErr w:type="spellEnd"/>
            <w:r w:rsidRPr="002B538E">
              <w:rPr>
                <w:rFonts w:ascii="Times New Roman" w:eastAsia="宋体" w:hAnsi="Times New Roman" w:cs="Times New Roman" w:hint="eastAsia"/>
                <w:i/>
                <w:kern w:val="0"/>
                <w:sz w:val="18"/>
                <w:szCs w:val="18"/>
              </w:rPr>
              <w:t xml:space="preserve">, </w:t>
            </w:r>
            <w:r w:rsidRPr="002B538E">
              <w:rPr>
                <w:rFonts w:ascii="Times New Roman" w:eastAsia="宋体" w:hAnsi="Times New Roman" w:cs="Times New Roman"/>
                <w:i/>
                <w:kern w:val="0"/>
                <w:sz w:val="18"/>
                <w:szCs w:val="18"/>
              </w:rPr>
              <w:t>Gp16</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Gp6</w:t>
            </w:r>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Ilumatobacter</w:t>
            </w:r>
            <w:proofErr w:type="spellEnd"/>
            <w:r w:rsidRPr="002B538E">
              <w:rPr>
                <w:rFonts w:ascii="Times New Roman" w:eastAsia="宋体" w:hAnsi="Times New Roman" w:cs="Times New Roman"/>
                <w:kern w:val="0"/>
                <w:sz w:val="18"/>
                <w:szCs w:val="18"/>
              </w:rPr>
              <w:t xml:space="preserve">, </w:t>
            </w:r>
            <w:proofErr w:type="spellStart"/>
            <w:r w:rsidRPr="002B538E">
              <w:rPr>
                <w:rFonts w:ascii="Times New Roman" w:eastAsia="宋体" w:hAnsi="Times New Roman" w:cs="Times New Roman"/>
                <w:i/>
                <w:kern w:val="0"/>
                <w:sz w:val="18"/>
                <w:szCs w:val="18"/>
              </w:rPr>
              <w:t>Nitrospira</w:t>
            </w:r>
            <w:proofErr w:type="spellEnd"/>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Nocardioides</w:t>
            </w:r>
            <w:r w:rsidRPr="002B538E">
              <w:rPr>
                <w:rFonts w:ascii="Times New Roman" w:eastAsia="宋体" w:hAnsi="Times New Roman" w:cs="Times New Roman"/>
                <w:kern w:val="0"/>
                <w:sz w:val="18"/>
                <w:szCs w:val="18"/>
              </w:rPr>
              <w:t xml:space="preserve">, </w:t>
            </w:r>
            <w:r w:rsidRPr="002B538E">
              <w:rPr>
                <w:rFonts w:ascii="Times New Roman" w:eastAsia="宋体" w:hAnsi="Times New Roman" w:cs="Times New Roman"/>
                <w:i/>
                <w:kern w:val="0"/>
                <w:sz w:val="18"/>
                <w:szCs w:val="18"/>
              </w:rPr>
              <w:t>Streptomyces</w:t>
            </w:r>
          </w:p>
        </w:tc>
      </w:tr>
    </w:tbl>
    <w:p w14:paraId="31F7787D" w14:textId="77777777" w:rsidR="002F31E3" w:rsidRPr="002B538E" w:rsidRDefault="002F31E3">
      <w:pPr>
        <w:spacing w:line="480" w:lineRule="auto"/>
        <w:jc w:val="left"/>
        <w:rPr>
          <w:rFonts w:ascii="Times New Roman" w:hAnsi="Times New Roman"/>
          <w:color w:val="000000"/>
          <w:sz w:val="24"/>
          <w:szCs w:val="24"/>
        </w:rPr>
      </w:pPr>
    </w:p>
    <w:p w14:paraId="7DD61917" w14:textId="77777777" w:rsidR="002F31E3" w:rsidRPr="002B538E" w:rsidRDefault="002F31E3">
      <w:pPr>
        <w:spacing w:line="480" w:lineRule="auto"/>
        <w:jc w:val="left"/>
        <w:rPr>
          <w:rFonts w:ascii="Times New Roman" w:hAnsi="Times New Roman"/>
          <w:color w:val="000000"/>
          <w:sz w:val="24"/>
          <w:szCs w:val="24"/>
        </w:rPr>
      </w:pPr>
    </w:p>
    <w:p w14:paraId="198D84B7" w14:textId="77777777" w:rsidR="002F31E3" w:rsidRPr="002B538E" w:rsidRDefault="002F31E3">
      <w:pPr>
        <w:spacing w:line="480" w:lineRule="auto"/>
        <w:jc w:val="left"/>
        <w:rPr>
          <w:rFonts w:ascii="Times New Roman" w:hAnsi="Times New Roman"/>
          <w:color w:val="000000"/>
          <w:sz w:val="24"/>
          <w:szCs w:val="24"/>
        </w:rPr>
        <w:sectPr w:rsidR="002F31E3" w:rsidRPr="002B538E">
          <w:pgSz w:w="16838" w:h="11906" w:orient="landscape"/>
          <w:pgMar w:top="1800" w:right="1440" w:bottom="1800" w:left="1440" w:header="851" w:footer="992" w:gutter="0"/>
          <w:cols w:space="425"/>
          <w:docGrid w:type="lines" w:linePitch="312"/>
        </w:sectPr>
      </w:pPr>
    </w:p>
    <w:p w14:paraId="65290F9C" w14:textId="77777777" w:rsidR="002F31E3" w:rsidRPr="002B538E" w:rsidRDefault="00203CA9">
      <w:pPr>
        <w:spacing w:line="480" w:lineRule="auto"/>
        <w:rPr>
          <w:rFonts w:ascii="Times New Roman" w:hAnsi="Times New Roman"/>
          <w:b/>
          <w:bCs/>
          <w:color w:val="000000"/>
          <w:sz w:val="24"/>
          <w:szCs w:val="24"/>
        </w:rPr>
      </w:pPr>
      <w:r w:rsidRPr="002B538E">
        <w:rPr>
          <w:rFonts w:ascii="Times New Roman" w:hAnsi="Times New Roman"/>
          <w:b/>
          <w:bCs/>
          <w:color w:val="000000"/>
          <w:sz w:val="24"/>
          <w:szCs w:val="24"/>
        </w:rPr>
        <w:lastRenderedPageBreak/>
        <w:t xml:space="preserve">Taxonomic composition of the shared microbiome across five </w:t>
      </w:r>
      <w:r w:rsidRPr="002B538E">
        <w:rPr>
          <w:rFonts w:ascii="Times New Roman" w:hAnsi="Times New Roman" w:hint="eastAsia"/>
          <w:b/>
          <w:bCs/>
          <w:color w:val="000000"/>
          <w:sz w:val="24"/>
          <w:szCs w:val="24"/>
        </w:rPr>
        <w:t>farmland</w:t>
      </w:r>
      <w:r w:rsidRPr="002B538E">
        <w:rPr>
          <w:rFonts w:ascii="Times New Roman" w:hAnsi="Times New Roman"/>
          <w:b/>
          <w:bCs/>
          <w:color w:val="000000"/>
          <w:sz w:val="24"/>
          <w:szCs w:val="24"/>
        </w:rPr>
        <w:t xml:space="preserve"> soils</w:t>
      </w:r>
    </w:p>
    <w:p w14:paraId="7348B72D" w14:textId="77777777" w:rsidR="002F31E3" w:rsidRPr="002B538E" w:rsidRDefault="00203CA9">
      <w:pPr>
        <w:spacing w:line="480" w:lineRule="auto"/>
        <w:rPr>
          <w:rFonts w:ascii="Times New Roman" w:hAnsi="Times New Roman"/>
          <w:color w:val="000000"/>
          <w:sz w:val="24"/>
          <w:szCs w:val="24"/>
        </w:rPr>
      </w:pPr>
      <w:r w:rsidRPr="002B538E">
        <w:rPr>
          <w:rFonts w:ascii="Times New Roman" w:hAnsi="Times New Roman"/>
          <w:color w:val="000000"/>
          <w:sz w:val="24"/>
          <w:szCs w:val="24"/>
        </w:rPr>
        <w:t>At the phylum level, Proteobacteria and Actinobacteria dominated the shared microbial communities across the five soils under both low and high fertilization levels in all four treatments (Fig. 4</w:t>
      </w:r>
      <w:r w:rsidRPr="002B538E">
        <w:rPr>
          <w:rFonts w:ascii="Times New Roman" w:hAnsi="Times New Roman" w:hint="eastAsia"/>
          <w:color w:val="000000"/>
          <w:sz w:val="24"/>
          <w:szCs w:val="24"/>
        </w:rPr>
        <w:t>a</w:t>
      </w:r>
      <w:r w:rsidRPr="002B538E">
        <w:rPr>
          <w:rFonts w:ascii="Times New Roman" w:hAnsi="Times New Roman"/>
          <w:color w:val="000000"/>
          <w:sz w:val="24"/>
          <w:szCs w:val="24"/>
        </w:rPr>
        <w:t xml:space="preserve">-h). In the SN and GN treatments, some shared OTUs under high fertilization were affiliated with </w:t>
      </w:r>
      <w:proofErr w:type="spellStart"/>
      <w:r w:rsidRPr="002B538E">
        <w:rPr>
          <w:rFonts w:ascii="Times New Roman" w:hAnsi="Times New Roman"/>
          <w:color w:val="000000"/>
          <w:sz w:val="24"/>
          <w:szCs w:val="24"/>
        </w:rPr>
        <w:t>Acidobacteria</w:t>
      </w:r>
      <w:proofErr w:type="spellEnd"/>
      <w:r w:rsidRPr="002B538E">
        <w:rPr>
          <w:rFonts w:ascii="Times New Roman" w:hAnsi="Times New Roman"/>
          <w:color w:val="000000"/>
          <w:sz w:val="24"/>
          <w:szCs w:val="24"/>
        </w:rPr>
        <w:t>. Additionally, in the GN treatment, Firmicutes were consistently present among the shared OTUs under both fertilization levels.</w:t>
      </w:r>
    </w:p>
    <w:p w14:paraId="47A81B94" w14:textId="77777777" w:rsidR="002F31E3" w:rsidRPr="002B538E" w:rsidRDefault="002F31E3">
      <w:pPr>
        <w:spacing w:line="480" w:lineRule="auto"/>
        <w:rPr>
          <w:rFonts w:ascii="Times New Roman" w:hAnsi="Times New Roman"/>
          <w:color w:val="000000"/>
          <w:sz w:val="24"/>
          <w:szCs w:val="24"/>
        </w:rPr>
      </w:pPr>
    </w:p>
    <w:p w14:paraId="1736DBB4" w14:textId="7460D058" w:rsidR="002F31E3" w:rsidRPr="002B538E" w:rsidRDefault="00203CA9">
      <w:pPr>
        <w:spacing w:line="480" w:lineRule="auto"/>
        <w:jc w:val="left"/>
        <w:rPr>
          <w:rFonts w:ascii="Times New Roman" w:hAnsi="Times New Roman"/>
          <w:color w:val="000000"/>
          <w:sz w:val="24"/>
          <w:szCs w:val="24"/>
        </w:rPr>
      </w:pPr>
      <w:r w:rsidRPr="002B538E">
        <w:rPr>
          <w:rFonts w:ascii="Times New Roman" w:hAnsi="Times New Roman"/>
          <w:color w:val="000000"/>
          <w:sz w:val="24"/>
          <w:szCs w:val="24"/>
        </w:rPr>
        <w:t xml:space="preserve">At the genus level, a large proportion of the shared OTUs remained unclassified. Nevertheless, </w:t>
      </w:r>
      <w:r w:rsidRPr="002B538E">
        <w:rPr>
          <w:rFonts w:ascii="Times New Roman" w:hAnsi="Times New Roman"/>
          <w:i/>
          <w:color w:val="000000"/>
          <w:sz w:val="24"/>
          <w:szCs w:val="24"/>
        </w:rPr>
        <w:t>Pseudomonas</w:t>
      </w:r>
      <w:r w:rsidRPr="002B538E">
        <w:rPr>
          <w:rFonts w:ascii="Times New Roman" w:hAnsi="Times New Roman"/>
          <w:color w:val="000000"/>
          <w:sz w:val="24"/>
          <w:szCs w:val="24"/>
        </w:rPr>
        <w:t xml:space="preserve"> and </w:t>
      </w:r>
      <w:r w:rsidRPr="002B538E">
        <w:rPr>
          <w:rFonts w:ascii="Times New Roman" w:hAnsi="Times New Roman"/>
          <w:i/>
          <w:color w:val="000000"/>
          <w:sz w:val="24"/>
          <w:szCs w:val="24"/>
        </w:rPr>
        <w:t>Arthrobacter</w:t>
      </w:r>
      <w:r w:rsidRPr="002B538E">
        <w:rPr>
          <w:rFonts w:ascii="Times New Roman" w:hAnsi="Times New Roman"/>
          <w:color w:val="000000"/>
          <w:sz w:val="24"/>
          <w:szCs w:val="24"/>
        </w:rPr>
        <w:t xml:space="preserve"> were consistently detected across all four treatments and both fertilization levels (Fig. 4a-h). Under high fertilization, shared OTUs affiliated with </w:t>
      </w:r>
      <w:proofErr w:type="spellStart"/>
      <w:r w:rsidRPr="002B538E">
        <w:rPr>
          <w:rFonts w:ascii="Times New Roman" w:hAnsi="Times New Roman"/>
          <w:i/>
          <w:color w:val="000000"/>
          <w:sz w:val="24"/>
          <w:szCs w:val="24"/>
        </w:rPr>
        <w:t>Gaiella</w:t>
      </w:r>
      <w:proofErr w:type="spellEnd"/>
      <w:r w:rsidRPr="002B538E">
        <w:rPr>
          <w:rFonts w:ascii="Times New Roman" w:hAnsi="Times New Roman"/>
          <w:color w:val="000000"/>
          <w:sz w:val="24"/>
          <w:szCs w:val="24"/>
        </w:rPr>
        <w:t xml:space="preserve">, </w:t>
      </w:r>
      <w:proofErr w:type="spellStart"/>
      <w:r w:rsidRPr="002B538E">
        <w:rPr>
          <w:rFonts w:ascii="Times New Roman" w:hAnsi="Times New Roman"/>
          <w:i/>
          <w:color w:val="000000"/>
          <w:sz w:val="24"/>
          <w:szCs w:val="24"/>
        </w:rPr>
        <w:t>Blastococcus</w:t>
      </w:r>
      <w:proofErr w:type="spellEnd"/>
      <w:r w:rsidRPr="002B538E">
        <w:rPr>
          <w:rFonts w:ascii="Times New Roman" w:hAnsi="Times New Roman"/>
          <w:color w:val="000000"/>
          <w:sz w:val="24"/>
          <w:szCs w:val="24"/>
        </w:rPr>
        <w:t xml:space="preserve">, and </w:t>
      </w:r>
      <w:r w:rsidRPr="002B538E">
        <w:rPr>
          <w:rFonts w:ascii="Times New Roman" w:hAnsi="Times New Roman"/>
          <w:i/>
          <w:color w:val="000000"/>
          <w:sz w:val="24"/>
          <w:szCs w:val="24"/>
        </w:rPr>
        <w:t>GP16</w:t>
      </w:r>
      <w:r w:rsidRPr="002B538E">
        <w:rPr>
          <w:rFonts w:ascii="Times New Roman" w:hAnsi="Times New Roman"/>
          <w:color w:val="000000"/>
          <w:sz w:val="24"/>
          <w:szCs w:val="24"/>
        </w:rPr>
        <w:t xml:space="preserve"> were identified across all treatments. In the GN treatment, </w:t>
      </w:r>
      <w:proofErr w:type="spellStart"/>
      <w:r w:rsidRPr="002B538E">
        <w:rPr>
          <w:rFonts w:ascii="Times New Roman" w:hAnsi="Times New Roman"/>
          <w:i/>
          <w:color w:val="000000"/>
          <w:sz w:val="24"/>
          <w:szCs w:val="24"/>
        </w:rPr>
        <w:t>Ammoniphilus</w:t>
      </w:r>
      <w:proofErr w:type="spellEnd"/>
      <w:r w:rsidRPr="002B538E">
        <w:rPr>
          <w:rFonts w:ascii="Times New Roman" w:hAnsi="Times New Roman"/>
          <w:color w:val="000000"/>
          <w:sz w:val="24"/>
          <w:szCs w:val="24"/>
        </w:rPr>
        <w:t xml:space="preserve"> was detected among shared OTUs under both low and high fertilization, whereas </w:t>
      </w:r>
      <w:r w:rsidRPr="002B538E">
        <w:rPr>
          <w:rFonts w:ascii="Times New Roman" w:hAnsi="Times New Roman"/>
          <w:i/>
          <w:color w:val="000000"/>
          <w:sz w:val="24"/>
          <w:szCs w:val="24"/>
        </w:rPr>
        <w:t>Bacillus</w:t>
      </w:r>
      <w:r w:rsidRPr="002B538E">
        <w:rPr>
          <w:rFonts w:ascii="Times New Roman" w:hAnsi="Times New Roman"/>
          <w:color w:val="000000"/>
          <w:sz w:val="24"/>
          <w:szCs w:val="24"/>
        </w:rPr>
        <w:t xml:space="preserve"> </w:t>
      </w:r>
      <w:r w:rsidR="00337F8E">
        <w:rPr>
          <w:rFonts w:ascii="Times New Roman" w:hAnsi="Times New Roman"/>
          <w:color w:val="000000"/>
          <w:sz w:val="24"/>
          <w:szCs w:val="24"/>
        </w:rPr>
        <w:t>was detected on</w:t>
      </w:r>
      <w:r w:rsidRPr="002B538E">
        <w:rPr>
          <w:rFonts w:ascii="Times New Roman" w:hAnsi="Times New Roman"/>
          <w:color w:val="000000"/>
          <w:sz w:val="24"/>
          <w:szCs w:val="24"/>
        </w:rPr>
        <w:t>ly under high fertilization (Fig. 4g</w:t>
      </w:r>
      <w:r w:rsidRPr="002B538E">
        <w:rPr>
          <w:rFonts w:ascii="Times New Roman" w:hAnsi="Times New Roman" w:hint="eastAsia"/>
          <w:color w:val="000000"/>
          <w:sz w:val="24"/>
          <w:szCs w:val="24"/>
        </w:rPr>
        <w:t>,</w:t>
      </w:r>
      <w:r w:rsidRPr="002B538E">
        <w:rPr>
          <w:rFonts w:ascii="Times New Roman" w:hAnsi="Times New Roman"/>
          <w:color w:val="000000"/>
          <w:sz w:val="24"/>
          <w:szCs w:val="24"/>
        </w:rPr>
        <w:t xml:space="preserve"> h).</w:t>
      </w:r>
    </w:p>
    <w:p w14:paraId="2E974130" w14:textId="77777777" w:rsidR="002F31E3" w:rsidRPr="002B538E" w:rsidRDefault="002F31E3">
      <w:pPr>
        <w:spacing w:line="480" w:lineRule="auto"/>
        <w:jc w:val="left"/>
        <w:rPr>
          <w:rFonts w:ascii="Times New Roman" w:hAnsi="Times New Roman"/>
          <w:color w:val="000000"/>
          <w:sz w:val="24"/>
          <w:szCs w:val="24"/>
        </w:rPr>
      </w:pPr>
    </w:p>
    <w:p w14:paraId="7BAC9C23" w14:textId="77777777" w:rsidR="002F31E3" w:rsidRPr="002B538E" w:rsidRDefault="002F31E3">
      <w:pPr>
        <w:spacing w:line="480" w:lineRule="auto"/>
        <w:jc w:val="left"/>
        <w:rPr>
          <w:rFonts w:ascii="Times New Roman" w:hAnsi="Times New Roman"/>
          <w:color w:val="000000"/>
          <w:sz w:val="24"/>
          <w:szCs w:val="24"/>
        </w:rPr>
      </w:pPr>
    </w:p>
    <w:p w14:paraId="27EED26B" w14:textId="77777777" w:rsidR="002F31E3" w:rsidRPr="002B538E" w:rsidRDefault="002F31E3">
      <w:pPr>
        <w:spacing w:line="480" w:lineRule="auto"/>
        <w:jc w:val="left"/>
        <w:rPr>
          <w:rFonts w:ascii="Times New Roman" w:hAnsi="Times New Roman"/>
          <w:color w:val="000000"/>
          <w:sz w:val="24"/>
          <w:szCs w:val="24"/>
        </w:rPr>
      </w:pPr>
    </w:p>
    <w:p w14:paraId="100B1556" w14:textId="77777777" w:rsidR="002F31E3" w:rsidRPr="002B538E" w:rsidRDefault="002F31E3">
      <w:pPr>
        <w:spacing w:line="480" w:lineRule="auto"/>
        <w:jc w:val="left"/>
        <w:rPr>
          <w:rFonts w:ascii="Times New Roman" w:hAnsi="Times New Roman"/>
          <w:color w:val="000000"/>
          <w:sz w:val="24"/>
          <w:szCs w:val="24"/>
        </w:rPr>
      </w:pPr>
    </w:p>
    <w:p w14:paraId="143E3C24" w14:textId="77777777" w:rsidR="002F31E3" w:rsidRPr="002B538E" w:rsidRDefault="002F31E3">
      <w:pPr>
        <w:spacing w:line="480" w:lineRule="auto"/>
        <w:jc w:val="left"/>
        <w:rPr>
          <w:rFonts w:ascii="Times New Roman" w:hAnsi="Times New Roman"/>
          <w:color w:val="000000"/>
          <w:sz w:val="24"/>
          <w:szCs w:val="24"/>
        </w:rPr>
      </w:pPr>
    </w:p>
    <w:p w14:paraId="3295F7E3" w14:textId="77777777" w:rsidR="002F31E3" w:rsidRPr="002B538E" w:rsidRDefault="002F31E3">
      <w:pPr>
        <w:spacing w:line="480" w:lineRule="auto"/>
        <w:jc w:val="left"/>
        <w:rPr>
          <w:rFonts w:ascii="Times New Roman" w:hAnsi="Times New Roman"/>
          <w:color w:val="000000"/>
          <w:sz w:val="24"/>
          <w:szCs w:val="24"/>
        </w:rPr>
      </w:pPr>
    </w:p>
    <w:p w14:paraId="3E538BE4" w14:textId="77777777" w:rsidR="002F31E3" w:rsidRPr="002B538E" w:rsidRDefault="002F31E3">
      <w:pPr>
        <w:spacing w:line="480" w:lineRule="auto"/>
        <w:rPr>
          <w:rFonts w:ascii="Times New Roman" w:hAnsi="Times New Roman"/>
          <w:color w:val="000000"/>
          <w:sz w:val="24"/>
          <w:szCs w:val="24"/>
        </w:rPr>
      </w:pPr>
    </w:p>
    <w:p w14:paraId="262A8E29" w14:textId="62FB53F5" w:rsidR="002F31E3" w:rsidRPr="002B538E" w:rsidRDefault="00D74D54">
      <w:pPr>
        <w:pStyle w:val="ab"/>
        <w:spacing w:before="0" w:beforeAutospacing="0" w:after="0" w:afterAutospacing="0" w:line="360" w:lineRule="auto"/>
        <w:jc w:val="center"/>
        <w:rPr>
          <w:rFonts w:ascii="Times New Roman" w:hAnsi="Times New Roman" w:cs="Times New Roman"/>
        </w:rPr>
      </w:pPr>
      <w:r>
        <w:rPr>
          <w:noProof/>
        </w:rPr>
        <w:lastRenderedPageBreak/>
        <w:drawing>
          <wp:inline distT="0" distB="0" distL="0" distR="0" wp14:anchorId="3E570D8F" wp14:editId="7827D3F0">
            <wp:extent cx="3809469" cy="2832100"/>
            <wp:effectExtent l="0" t="0" r="6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7826" t="8492" r="12232" b="10363"/>
                    <a:stretch/>
                  </pic:blipFill>
                  <pic:spPr bwMode="auto">
                    <a:xfrm>
                      <a:off x="0" y="0"/>
                      <a:ext cx="3816168" cy="2837080"/>
                    </a:xfrm>
                    <a:prstGeom prst="rect">
                      <a:avLst/>
                    </a:prstGeom>
                    <a:noFill/>
                    <a:ln>
                      <a:noFill/>
                    </a:ln>
                    <a:extLst>
                      <a:ext uri="{53640926-AAD7-44D8-BBD7-CCE9431645EC}">
                        <a14:shadowObscured xmlns:a14="http://schemas.microsoft.com/office/drawing/2010/main"/>
                      </a:ext>
                    </a:extLst>
                  </pic:spPr>
                </pic:pic>
              </a:graphicData>
            </a:graphic>
          </wp:inline>
        </w:drawing>
      </w:r>
    </w:p>
    <w:p w14:paraId="499C76B0" w14:textId="77777777" w:rsidR="002F31E3" w:rsidRPr="002B538E" w:rsidRDefault="00203CA9">
      <w:pPr>
        <w:pStyle w:val="ab"/>
        <w:spacing w:before="0" w:beforeAutospacing="0" w:after="0" w:afterAutospacing="0" w:line="480" w:lineRule="auto"/>
        <w:jc w:val="both"/>
        <w:rPr>
          <w:rFonts w:ascii="Times New Roman" w:hAnsi="Times New Roman" w:cs="Times New Roman"/>
          <w:sz w:val="21"/>
        </w:rPr>
      </w:pPr>
      <w:r w:rsidRPr="002B538E">
        <w:rPr>
          <w:rFonts w:ascii="Times New Roman" w:hAnsi="Times New Roman" w:cs="Times New Roman"/>
          <w:b/>
          <w:bCs/>
          <w:sz w:val="21"/>
        </w:rPr>
        <w:t>Fig. S</w:t>
      </w:r>
      <w:r w:rsidRPr="002B538E">
        <w:rPr>
          <w:rFonts w:ascii="Times New Roman" w:hAnsi="Times New Roman" w:cs="Times New Roman" w:hint="eastAsia"/>
          <w:b/>
          <w:bCs/>
          <w:sz w:val="21"/>
        </w:rPr>
        <w:t>3</w:t>
      </w:r>
      <w:r w:rsidRPr="002B538E">
        <w:rPr>
          <w:rFonts w:ascii="Times New Roman" w:hAnsi="Times New Roman" w:cs="Times New Roman"/>
          <w:sz w:val="21"/>
        </w:rPr>
        <w:t xml:space="preserve"> Distribution of Spearman correlation coefficients between the relative abundance of each of the 457 shared OTUs across the five soils and the N₂O/(N₂O+N₂) ratio. Each point represents the Spearman correlation coefficient (R) for a single shared OTU. P values were corrected for multiple comparisons using the false discovery rate (FDR) method. No shared OTUs showed significant correlations with N₂O/(N₂O+N₂) after FDR correction (adjusted p &gt; 0.89 for all OTUs). Due to the large number of taxa, individual OTU names are not displayed on the x-axis and are collectively denoted as “Shared OTUs”. The 457 shared OTUs were defined as the union of OTUs detected in any of the five soils under either low- or high-fertilization histories, across all incubation treatments (FO, CK, </w:t>
      </w:r>
      <w:r w:rsidRPr="002B538E">
        <w:rPr>
          <w:rFonts w:ascii="Times New Roman" w:hAnsi="Times New Roman" w:cs="Times New Roman" w:hint="eastAsia"/>
          <w:sz w:val="21"/>
        </w:rPr>
        <w:t>SN</w:t>
      </w:r>
      <w:r w:rsidRPr="002B538E">
        <w:rPr>
          <w:rFonts w:ascii="Times New Roman" w:hAnsi="Times New Roman" w:cs="Times New Roman"/>
          <w:sz w:val="21"/>
        </w:rPr>
        <w:t xml:space="preserve">, and </w:t>
      </w:r>
      <w:r w:rsidRPr="002B538E">
        <w:rPr>
          <w:rFonts w:ascii="Times New Roman" w:hAnsi="Times New Roman" w:cs="Times New Roman" w:hint="eastAsia"/>
          <w:sz w:val="21"/>
        </w:rPr>
        <w:t>GN</w:t>
      </w:r>
      <w:r w:rsidRPr="002B538E">
        <w:rPr>
          <w:rFonts w:ascii="Times New Roman" w:hAnsi="Times New Roman" w:cs="Times New Roman"/>
          <w:sz w:val="21"/>
        </w:rPr>
        <w:t>).</w:t>
      </w:r>
    </w:p>
    <w:p w14:paraId="128215D5" w14:textId="77777777" w:rsidR="002F31E3" w:rsidRPr="002B538E" w:rsidRDefault="002F31E3">
      <w:pPr>
        <w:spacing w:line="480" w:lineRule="auto"/>
        <w:jc w:val="left"/>
        <w:rPr>
          <w:rFonts w:ascii="Times New Roman" w:hAnsi="Times New Roman"/>
          <w:color w:val="000000"/>
          <w:sz w:val="24"/>
          <w:szCs w:val="24"/>
        </w:rPr>
        <w:sectPr w:rsidR="002F31E3" w:rsidRPr="002B538E">
          <w:pgSz w:w="11906" w:h="16838"/>
          <w:pgMar w:top="1440" w:right="1800" w:bottom="1440" w:left="1800" w:header="851" w:footer="992" w:gutter="0"/>
          <w:cols w:space="425"/>
          <w:docGrid w:type="lines" w:linePitch="312"/>
        </w:sectPr>
      </w:pPr>
    </w:p>
    <w:p w14:paraId="6068A87C" w14:textId="12D0551F" w:rsidR="00887851" w:rsidRDefault="00887851">
      <w:pPr>
        <w:spacing w:line="480" w:lineRule="auto"/>
        <w:rPr>
          <w:rFonts w:ascii="Times New Roman" w:hAnsi="Times New Roman"/>
          <w:color w:val="000000"/>
          <w:sz w:val="24"/>
          <w:szCs w:val="24"/>
        </w:rPr>
      </w:pPr>
      <w:r>
        <w:rPr>
          <w:noProof/>
        </w:rPr>
        <w:lastRenderedPageBreak/>
        <w:drawing>
          <wp:anchor distT="0" distB="0" distL="114300" distR="114300" simplePos="0" relativeHeight="251660288" behindDoc="0" locked="0" layoutInCell="1" allowOverlap="1" wp14:anchorId="4B1B0ABF" wp14:editId="39A7F1F3">
            <wp:simplePos x="0" y="0"/>
            <wp:positionH relativeFrom="margin">
              <wp:align>center</wp:align>
            </wp:positionH>
            <wp:positionV relativeFrom="paragraph">
              <wp:posOffset>-501346</wp:posOffset>
            </wp:positionV>
            <wp:extent cx="8436334" cy="5135751"/>
            <wp:effectExtent l="0" t="0" r="3175" b="825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6334" cy="5135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9EC2C" w14:textId="77777777" w:rsidR="00887851" w:rsidRDefault="00887851">
      <w:pPr>
        <w:spacing w:line="480" w:lineRule="auto"/>
        <w:rPr>
          <w:rFonts w:ascii="Times New Roman" w:hAnsi="Times New Roman"/>
          <w:color w:val="000000"/>
          <w:sz w:val="24"/>
          <w:szCs w:val="24"/>
        </w:rPr>
      </w:pPr>
    </w:p>
    <w:p w14:paraId="41AAB4D7" w14:textId="59079CC9" w:rsidR="00887851" w:rsidRDefault="00887851">
      <w:pPr>
        <w:spacing w:line="480" w:lineRule="auto"/>
        <w:rPr>
          <w:rFonts w:ascii="Times New Roman" w:hAnsi="Times New Roman"/>
          <w:color w:val="000000"/>
          <w:sz w:val="24"/>
          <w:szCs w:val="24"/>
        </w:rPr>
      </w:pPr>
    </w:p>
    <w:p w14:paraId="0AE24F08" w14:textId="77777777" w:rsidR="00887851" w:rsidRDefault="00887851">
      <w:pPr>
        <w:spacing w:line="480" w:lineRule="auto"/>
        <w:rPr>
          <w:rFonts w:ascii="Times New Roman" w:hAnsi="Times New Roman"/>
          <w:color w:val="000000"/>
          <w:sz w:val="24"/>
          <w:szCs w:val="24"/>
        </w:rPr>
      </w:pPr>
    </w:p>
    <w:p w14:paraId="11FB6302" w14:textId="22FF7BE5" w:rsidR="00887851" w:rsidRDefault="00887851">
      <w:pPr>
        <w:spacing w:line="480" w:lineRule="auto"/>
        <w:rPr>
          <w:rFonts w:ascii="Times New Roman" w:hAnsi="Times New Roman"/>
          <w:color w:val="000000"/>
          <w:sz w:val="24"/>
          <w:szCs w:val="24"/>
        </w:rPr>
      </w:pPr>
    </w:p>
    <w:p w14:paraId="702B78B9" w14:textId="0D39D43B" w:rsidR="00887851" w:rsidRDefault="00887851">
      <w:pPr>
        <w:spacing w:line="480" w:lineRule="auto"/>
        <w:rPr>
          <w:rFonts w:ascii="Times New Roman" w:hAnsi="Times New Roman"/>
          <w:color w:val="000000"/>
          <w:sz w:val="24"/>
          <w:szCs w:val="24"/>
        </w:rPr>
      </w:pPr>
    </w:p>
    <w:p w14:paraId="238C4254" w14:textId="023040F7" w:rsidR="002F31E3" w:rsidRDefault="002F31E3">
      <w:pPr>
        <w:spacing w:line="480" w:lineRule="auto"/>
        <w:rPr>
          <w:rFonts w:ascii="Times New Roman" w:hAnsi="Times New Roman"/>
          <w:color w:val="000000"/>
          <w:sz w:val="24"/>
          <w:szCs w:val="24"/>
        </w:rPr>
      </w:pPr>
    </w:p>
    <w:p w14:paraId="103903B9" w14:textId="54CCCEE5" w:rsidR="00887851" w:rsidRDefault="00887851">
      <w:pPr>
        <w:spacing w:line="480" w:lineRule="auto"/>
        <w:rPr>
          <w:rFonts w:ascii="Times New Roman" w:hAnsi="Times New Roman"/>
          <w:color w:val="000000"/>
          <w:sz w:val="24"/>
          <w:szCs w:val="24"/>
        </w:rPr>
      </w:pPr>
    </w:p>
    <w:p w14:paraId="5029FA96" w14:textId="757F2CB2" w:rsidR="00887851" w:rsidRDefault="00887851">
      <w:pPr>
        <w:spacing w:line="480" w:lineRule="auto"/>
        <w:rPr>
          <w:rFonts w:ascii="Times New Roman" w:hAnsi="Times New Roman"/>
          <w:color w:val="000000"/>
          <w:sz w:val="24"/>
          <w:szCs w:val="24"/>
        </w:rPr>
      </w:pPr>
    </w:p>
    <w:p w14:paraId="2AE2B18F" w14:textId="55C28F64" w:rsidR="00887851" w:rsidRDefault="00887851">
      <w:pPr>
        <w:spacing w:line="480" w:lineRule="auto"/>
        <w:rPr>
          <w:rFonts w:ascii="Times New Roman" w:hAnsi="Times New Roman"/>
          <w:color w:val="000000"/>
          <w:sz w:val="24"/>
          <w:szCs w:val="24"/>
        </w:rPr>
      </w:pPr>
    </w:p>
    <w:p w14:paraId="2403E45E" w14:textId="445CB959" w:rsidR="00887851" w:rsidRDefault="00887851">
      <w:pPr>
        <w:spacing w:line="480" w:lineRule="auto"/>
        <w:rPr>
          <w:rFonts w:ascii="Times New Roman" w:hAnsi="Times New Roman"/>
          <w:color w:val="000000"/>
          <w:sz w:val="24"/>
          <w:szCs w:val="24"/>
        </w:rPr>
      </w:pPr>
    </w:p>
    <w:p w14:paraId="343F64F3" w14:textId="77777777" w:rsidR="00887851" w:rsidRPr="002B538E" w:rsidRDefault="00887851">
      <w:pPr>
        <w:spacing w:line="480" w:lineRule="auto"/>
        <w:rPr>
          <w:rFonts w:ascii="Times New Roman" w:hAnsi="Times New Roman"/>
          <w:color w:val="000000"/>
          <w:sz w:val="24"/>
          <w:szCs w:val="24"/>
        </w:rPr>
      </w:pPr>
    </w:p>
    <w:p w14:paraId="56D961F6" w14:textId="77777777" w:rsidR="002F31E3" w:rsidRPr="002B538E" w:rsidRDefault="00203CA9">
      <w:pPr>
        <w:spacing w:line="480" w:lineRule="auto"/>
        <w:jc w:val="center"/>
        <w:rPr>
          <w:rFonts w:ascii="Times New Roman" w:hAnsi="Times New Roman"/>
          <w:color w:val="000000"/>
          <w:szCs w:val="21"/>
        </w:rPr>
      </w:pPr>
      <w:r w:rsidRPr="002B538E">
        <w:rPr>
          <w:rFonts w:ascii="Times New Roman" w:hAnsi="Times New Roman"/>
          <w:b/>
          <w:bCs/>
          <w:color w:val="000000"/>
          <w:szCs w:val="21"/>
        </w:rPr>
        <w:t>Fig. S</w:t>
      </w:r>
      <w:r w:rsidRPr="002B538E">
        <w:rPr>
          <w:rFonts w:ascii="Times New Roman" w:hAnsi="Times New Roman" w:hint="eastAsia"/>
          <w:b/>
          <w:bCs/>
          <w:color w:val="000000"/>
          <w:szCs w:val="21"/>
        </w:rPr>
        <w:t>4</w:t>
      </w:r>
      <w:r w:rsidRPr="002B538E">
        <w:rPr>
          <w:rFonts w:ascii="Times New Roman" w:hAnsi="Times New Roman" w:hint="eastAsia"/>
          <w:color w:val="000000"/>
          <w:szCs w:val="21"/>
        </w:rPr>
        <w:t xml:space="preserve"> </w:t>
      </w:r>
      <w:r w:rsidRPr="002B538E">
        <w:rPr>
          <w:rFonts w:ascii="Times New Roman" w:hAnsi="Times New Roman"/>
          <w:color w:val="000000"/>
          <w:szCs w:val="21"/>
        </w:rPr>
        <w:t>Shared and unique OTUs in four farmland soils under different fertilization histories and treatments.</w:t>
      </w:r>
    </w:p>
    <w:p w14:paraId="6C900536" w14:textId="77777777" w:rsidR="002F31E3" w:rsidRPr="002B538E" w:rsidRDefault="002F31E3">
      <w:pPr>
        <w:spacing w:line="480" w:lineRule="auto"/>
        <w:rPr>
          <w:rFonts w:ascii="Times New Roman" w:hAnsi="Times New Roman"/>
          <w:color w:val="000000"/>
          <w:sz w:val="24"/>
          <w:szCs w:val="24"/>
        </w:rPr>
        <w:sectPr w:rsidR="002F31E3" w:rsidRPr="002B538E">
          <w:pgSz w:w="16838" w:h="11906" w:orient="landscape"/>
          <w:pgMar w:top="1800" w:right="1440" w:bottom="1800" w:left="1440" w:header="851" w:footer="992" w:gutter="0"/>
          <w:cols w:space="425"/>
          <w:docGrid w:type="lines" w:linePitch="312"/>
        </w:sectPr>
      </w:pPr>
    </w:p>
    <w:p w14:paraId="6C24E991" w14:textId="77777777" w:rsidR="002F31E3" w:rsidRPr="002B538E" w:rsidRDefault="00203CA9">
      <w:pPr>
        <w:spacing w:line="480" w:lineRule="auto"/>
        <w:rPr>
          <w:rFonts w:ascii="Times New Roman" w:hAnsi="Times New Roman"/>
          <w:color w:val="000000"/>
          <w:szCs w:val="21"/>
        </w:rPr>
      </w:pPr>
      <w:r w:rsidRPr="002B538E">
        <w:rPr>
          <w:rFonts w:ascii="Times New Roman" w:hAnsi="Times New Roman"/>
          <w:color w:val="000000"/>
          <w:szCs w:val="21"/>
        </w:rPr>
        <w:lastRenderedPageBreak/>
        <w:t>Venn diagrams illustrating the counts and relative abundances of shared OTUs (common to all four soils) and unique OTUs (specific to each soil), along with the taxonomic classification of dominant taxa among the shared OTUs. (a, b) FO treatment; (c, d) CK treatment; (e, f) SN treatment; (g, h) GN treatment. Within each pair of panels, the left panel (a, c, e, g) represents soils with low fertilization history, and the right panel (b, d, f, h) represents soils with high fertilization history.</w:t>
      </w:r>
    </w:p>
    <w:p w14:paraId="5F2150BE" w14:textId="77777777" w:rsidR="002F31E3" w:rsidRPr="002B538E" w:rsidRDefault="00203CA9">
      <w:pPr>
        <w:spacing w:line="480" w:lineRule="auto"/>
        <w:rPr>
          <w:rFonts w:ascii="Times New Roman" w:hAnsi="Times New Roman"/>
          <w:color w:val="000000"/>
          <w:sz w:val="24"/>
          <w:szCs w:val="24"/>
        </w:rPr>
      </w:pPr>
      <w:r w:rsidRPr="002B538E">
        <w:rPr>
          <w:rFonts w:ascii="Times New Roman" w:hAnsi="Times New Roman"/>
          <w:color w:val="000000"/>
          <w:sz w:val="24"/>
          <w:szCs w:val="24"/>
        </w:rPr>
        <w:t xml:space="preserve"> </w:t>
      </w:r>
    </w:p>
    <w:p w14:paraId="1C23669D" w14:textId="77777777" w:rsidR="002F31E3" w:rsidRPr="002B538E" w:rsidRDefault="00203CA9">
      <w:pPr>
        <w:spacing w:line="480" w:lineRule="auto"/>
        <w:rPr>
          <w:rFonts w:ascii="Times New Roman" w:hAnsi="Times New Roman"/>
          <w:color w:val="000000"/>
          <w:sz w:val="24"/>
          <w:szCs w:val="24"/>
        </w:rPr>
      </w:pPr>
      <w:r w:rsidRPr="002B538E">
        <w:rPr>
          <w:rFonts w:ascii="Times New Roman" w:hAnsi="Times New Roman"/>
          <w:b/>
          <w:bCs/>
          <w:color w:val="000000"/>
          <w:sz w:val="24"/>
          <w:szCs w:val="24"/>
        </w:rPr>
        <w:t>Venn diagram analysis of shared and unique OTUs in four farmland soils</w:t>
      </w:r>
    </w:p>
    <w:p w14:paraId="2B3E03EE" w14:textId="16FDB2B2" w:rsidR="002F31E3" w:rsidRDefault="00203CA9">
      <w:pPr>
        <w:spacing w:line="480" w:lineRule="auto"/>
        <w:rPr>
          <w:rFonts w:ascii="Times New Roman" w:hAnsi="Times New Roman"/>
          <w:color w:val="000000"/>
          <w:sz w:val="24"/>
          <w:szCs w:val="24"/>
        </w:rPr>
      </w:pPr>
      <w:r w:rsidRPr="002B538E">
        <w:rPr>
          <w:rFonts w:ascii="Times New Roman" w:hAnsi="Times New Roman"/>
          <w:color w:val="000000"/>
          <w:sz w:val="24"/>
          <w:szCs w:val="24"/>
        </w:rPr>
        <w:t xml:space="preserve">Venn diagrams were constructed to evaluate the distribution of shared and unique operational taxonomic units (OTUs) among four farmland soil types (black soil, lime concretion black soil, yellow-cinnamon soil, and </w:t>
      </w:r>
      <w:proofErr w:type="spellStart"/>
      <w:r w:rsidRPr="002B538E">
        <w:rPr>
          <w:rFonts w:ascii="Times New Roman" w:hAnsi="Times New Roman"/>
          <w:color w:val="000000"/>
          <w:sz w:val="24"/>
          <w:szCs w:val="24"/>
        </w:rPr>
        <w:t>fluvo</w:t>
      </w:r>
      <w:proofErr w:type="spellEnd"/>
      <w:r w:rsidRPr="002B538E">
        <w:rPr>
          <w:rFonts w:ascii="Times New Roman" w:hAnsi="Times New Roman"/>
          <w:color w:val="000000"/>
          <w:sz w:val="24"/>
          <w:szCs w:val="24"/>
        </w:rPr>
        <w:t>-aquic soil) under four treatments (FO, CK, SN, GN) with low- and high-fertilization histories (Fig. S</w:t>
      </w:r>
      <w:r w:rsidRPr="002B538E">
        <w:rPr>
          <w:rFonts w:ascii="Times New Roman" w:hAnsi="Times New Roman" w:hint="eastAsia"/>
          <w:color w:val="000000"/>
          <w:sz w:val="24"/>
          <w:szCs w:val="24"/>
        </w:rPr>
        <w:t>4</w:t>
      </w:r>
      <w:r w:rsidRPr="002B538E">
        <w:rPr>
          <w:rFonts w:ascii="Times New Roman" w:hAnsi="Times New Roman"/>
          <w:color w:val="000000"/>
          <w:sz w:val="24"/>
          <w:szCs w:val="24"/>
        </w:rPr>
        <w:t>).</w:t>
      </w:r>
      <w:r w:rsidRPr="002B538E">
        <w:rPr>
          <w:rFonts w:ascii="Times New Roman" w:hAnsi="Times New Roman" w:hint="eastAsia"/>
          <w:color w:val="000000"/>
          <w:sz w:val="24"/>
          <w:szCs w:val="24"/>
        </w:rPr>
        <w:t xml:space="preserve"> </w:t>
      </w:r>
      <w:r w:rsidRPr="002B538E">
        <w:rPr>
          <w:rFonts w:ascii="Times New Roman" w:hAnsi="Times New Roman"/>
          <w:color w:val="000000"/>
          <w:sz w:val="24"/>
          <w:szCs w:val="24"/>
        </w:rPr>
        <w:t>Under low fertilization history, the number and average relative abundance of shared OTUs across the four soils was 1232 (86.10%), 1332 (86.81%), 1336 (86.98%), and 1200 (87.65%) for the FO, CK, SN, and GN treatments, respectively. Under high fertilization history, the corresponding values were 1294 (86.06%), 1332 (85.80%), 1374 (86.59%), and 1156 (81.28%), respectively.</w:t>
      </w:r>
      <w:r w:rsidRPr="002B538E">
        <w:rPr>
          <w:rFonts w:ascii="Times New Roman" w:hAnsi="Times New Roman" w:hint="eastAsia"/>
          <w:color w:val="000000"/>
          <w:sz w:val="24"/>
          <w:szCs w:val="24"/>
        </w:rPr>
        <w:t xml:space="preserve"> </w:t>
      </w:r>
      <w:r w:rsidRPr="002B538E">
        <w:rPr>
          <w:rFonts w:ascii="Times New Roman" w:hAnsi="Times New Roman"/>
          <w:color w:val="000000"/>
          <w:sz w:val="24"/>
          <w:szCs w:val="24"/>
        </w:rPr>
        <w:t xml:space="preserve">Unique OTUs accounted for only 1.76–3.54% of the total relative abundance across all soils and treatments. The shared OTUs, which constituted the core microbiome, were dominated by Actinobacteria, </w:t>
      </w:r>
      <w:proofErr w:type="spellStart"/>
      <w:r w:rsidRPr="002B538E">
        <w:rPr>
          <w:rFonts w:ascii="Times New Roman" w:hAnsi="Times New Roman"/>
          <w:color w:val="000000"/>
          <w:sz w:val="24"/>
          <w:szCs w:val="24"/>
        </w:rPr>
        <w:t>Acidobacteria</w:t>
      </w:r>
      <w:proofErr w:type="spellEnd"/>
      <w:r w:rsidRPr="002B538E">
        <w:rPr>
          <w:rFonts w:ascii="Times New Roman" w:hAnsi="Times New Roman"/>
          <w:color w:val="000000"/>
          <w:sz w:val="24"/>
          <w:szCs w:val="24"/>
        </w:rPr>
        <w:t xml:space="preserve">, Proteobacteria, and </w:t>
      </w:r>
      <w:proofErr w:type="spellStart"/>
      <w:r w:rsidRPr="002B538E">
        <w:rPr>
          <w:rFonts w:ascii="Times New Roman" w:hAnsi="Times New Roman"/>
          <w:color w:val="000000"/>
          <w:sz w:val="24"/>
          <w:szCs w:val="24"/>
        </w:rPr>
        <w:t>Gemmatimonadetes</w:t>
      </w:r>
      <w:proofErr w:type="spellEnd"/>
      <w:r w:rsidRPr="002B538E">
        <w:rPr>
          <w:rFonts w:ascii="Times New Roman" w:hAnsi="Times New Roman"/>
          <w:color w:val="000000"/>
          <w:sz w:val="24"/>
          <w:szCs w:val="24"/>
        </w:rPr>
        <w:t xml:space="preserve"> under low fertilization. In contrast, under high fertilization, the dominant phyla of shared OTUs were Actinobacteria, </w:t>
      </w:r>
      <w:proofErr w:type="spellStart"/>
      <w:r w:rsidRPr="002B538E">
        <w:rPr>
          <w:rFonts w:ascii="Times New Roman" w:hAnsi="Times New Roman"/>
          <w:color w:val="000000"/>
          <w:sz w:val="24"/>
          <w:szCs w:val="24"/>
        </w:rPr>
        <w:t>Acidobacteria</w:t>
      </w:r>
      <w:proofErr w:type="spellEnd"/>
      <w:r w:rsidRPr="002B538E">
        <w:rPr>
          <w:rFonts w:ascii="Times New Roman" w:hAnsi="Times New Roman"/>
          <w:color w:val="000000"/>
          <w:sz w:val="24"/>
          <w:szCs w:val="24"/>
        </w:rPr>
        <w:t xml:space="preserve">, Proteobacteria, Chloroflexi, and Firmicutes. Notably, the GN treatment consistently showed a higher proportion of Firmicutes </w:t>
      </w:r>
      <w:r w:rsidR="00337F8E">
        <w:rPr>
          <w:rFonts w:ascii="Times New Roman" w:hAnsi="Times New Roman"/>
          <w:color w:val="000000"/>
          <w:sz w:val="24"/>
          <w:szCs w:val="24"/>
        </w:rPr>
        <w:t>among the shared OTUs than</w:t>
      </w:r>
      <w:r w:rsidRPr="002B538E">
        <w:rPr>
          <w:rFonts w:ascii="Times New Roman" w:hAnsi="Times New Roman"/>
          <w:color w:val="000000"/>
          <w:sz w:val="24"/>
          <w:szCs w:val="24"/>
        </w:rPr>
        <w:t xml:space="preserve"> the other three treatments, and </w:t>
      </w:r>
      <w:r w:rsidRPr="002B538E">
        <w:rPr>
          <w:rFonts w:ascii="Times New Roman" w:hAnsi="Times New Roman"/>
          <w:color w:val="000000"/>
          <w:sz w:val="24"/>
          <w:szCs w:val="24"/>
        </w:rPr>
        <w:lastRenderedPageBreak/>
        <w:t>this difference was observed under both low- and high-fertilization histories (Fig. S</w:t>
      </w:r>
      <w:r w:rsidRPr="002B538E">
        <w:rPr>
          <w:rFonts w:ascii="Times New Roman" w:hAnsi="Times New Roman" w:hint="eastAsia"/>
          <w:color w:val="000000"/>
          <w:sz w:val="24"/>
          <w:szCs w:val="24"/>
        </w:rPr>
        <w:t>4</w:t>
      </w:r>
      <w:r w:rsidRPr="002B538E">
        <w:rPr>
          <w:rFonts w:ascii="Times New Roman" w:hAnsi="Times New Roman"/>
          <w:color w:val="000000"/>
          <w:sz w:val="24"/>
          <w:szCs w:val="24"/>
        </w:rPr>
        <w:t>).</w:t>
      </w:r>
    </w:p>
    <w:p w14:paraId="6EE769AD" w14:textId="7D49B085" w:rsidR="00605D79" w:rsidRPr="002B538E" w:rsidRDefault="00605D79" w:rsidP="00605D79">
      <w:pPr>
        <w:spacing w:line="480" w:lineRule="auto"/>
        <w:rPr>
          <w:rFonts w:ascii="Times New Roman" w:hAnsi="Times New Roman"/>
          <w:color w:val="000000"/>
          <w:sz w:val="24"/>
          <w:szCs w:val="24"/>
        </w:rPr>
      </w:pPr>
      <w:r>
        <w:rPr>
          <w:noProof/>
        </w:rPr>
        <w:drawing>
          <wp:anchor distT="0" distB="0" distL="114300" distR="114300" simplePos="0" relativeHeight="251661312" behindDoc="1" locked="0" layoutInCell="1" allowOverlap="1" wp14:anchorId="5FB6DB71" wp14:editId="3CA2BBC2">
            <wp:simplePos x="0" y="0"/>
            <wp:positionH relativeFrom="column">
              <wp:posOffset>-599440</wp:posOffset>
            </wp:positionH>
            <wp:positionV relativeFrom="paragraph">
              <wp:posOffset>300990</wp:posOffset>
            </wp:positionV>
            <wp:extent cx="6527800" cy="6092825"/>
            <wp:effectExtent l="0" t="0" r="6350" b="3175"/>
            <wp:wrapTight wrapText="bothSides">
              <wp:wrapPolygon edited="0">
                <wp:start x="0" y="0"/>
                <wp:lineTo x="0" y="21544"/>
                <wp:lineTo x="21558" y="21544"/>
                <wp:lineTo x="2155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7800" cy="609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97C0F" w14:textId="36075AA7" w:rsidR="002F31E3" w:rsidRPr="002B538E" w:rsidRDefault="00203CA9">
      <w:pPr>
        <w:spacing w:line="480" w:lineRule="auto"/>
        <w:rPr>
          <w:rFonts w:ascii="Times New Roman" w:hAnsi="Times New Roman" w:cs="Times New Roman"/>
          <w:color w:val="000000"/>
          <w:szCs w:val="21"/>
        </w:rPr>
      </w:pPr>
      <w:r w:rsidRPr="002B538E">
        <w:rPr>
          <w:rFonts w:ascii="Times New Roman" w:hAnsi="Times New Roman" w:cs="Times New Roman"/>
          <w:b/>
          <w:bCs/>
          <w:color w:val="000000"/>
          <w:szCs w:val="21"/>
        </w:rPr>
        <w:t>Fig. S</w:t>
      </w:r>
      <w:r w:rsidRPr="002B538E">
        <w:rPr>
          <w:rFonts w:ascii="Times New Roman" w:hAnsi="Times New Roman" w:cs="Times New Roman" w:hint="eastAsia"/>
          <w:b/>
          <w:bCs/>
          <w:color w:val="000000"/>
          <w:szCs w:val="21"/>
        </w:rPr>
        <w:t>5</w:t>
      </w:r>
      <w:r w:rsidRPr="002B538E">
        <w:rPr>
          <w:rFonts w:ascii="Times New Roman" w:hAnsi="Times New Roman" w:cs="Times New Roman"/>
          <w:b/>
          <w:bCs/>
          <w:color w:val="000000"/>
          <w:szCs w:val="21"/>
        </w:rPr>
        <w:t xml:space="preserve"> </w:t>
      </w:r>
      <w:r w:rsidRPr="002B538E">
        <w:rPr>
          <w:rFonts w:ascii="Times New Roman" w:hAnsi="Times New Roman" w:cs="Times New Roman"/>
          <w:color w:val="000000"/>
          <w:szCs w:val="21"/>
        </w:rPr>
        <w:t>Effects of different carbon and nitrogen additions on N₂O and N₂ fluxes in five farmland soils. (a</w:t>
      </w:r>
      <w:r w:rsidRPr="002B538E">
        <w:rPr>
          <w:rFonts w:ascii="Times New Roman" w:hAnsi="Times New Roman" w:cs="Times New Roman" w:hint="eastAsia"/>
          <w:color w:val="000000"/>
          <w:szCs w:val="21"/>
        </w:rPr>
        <w:t>-</w:t>
      </w:r>
      <w:r w:rsidRPr="002B538E">
        <w:rPr>
          <w:rFonts w:ascii="Times New Roman" w:hAnsi="Times New Roman" w:cs="Times New Roman"/>
          <w:color w:val="000000"/>
          <w:szCs w:val="21"/>
        </w:rPr>
        <w:t>c) N₂O fluxes and (g</w:t>
      </w:r>
      <w:r w:rsidRPr="002B538E">
        <w:rPr>
          <w:rFonts w:ascii="Times New Roman" w:hAnsi="Times New Roman" w:cs="Times New Roman" w:hint="eastAsia"/>
          <w:color w:val="000000"/>
          <w:szCs w:val="21"/>
        </w:rPr>
        <w:t>-</w:t>
      </w:r>
      <w:proofErr w:type="spellStart"/>
      <w:r w:rsidRPr="002B538E">
        <w:rPr>
          <w:rFonts w:ascii="Times New Roman" w:hAnsi="Times New Roman" w:cs="Times New Roman"/>
          <w:color w:val="000000"/>
          <w:szCs w:val="21"/>
        </w:rPr>
        <w:t>i</w:t>
      </w:r>
      <w:proofErr w:type="spellEnd"/>
      <w:r w:rsidRPr="002B538E">
        <w:rPr>
          <w:rFonts w:ascii="Times New Roman" w:hAnsi="Times New Roman" w:cs="Times New Roman"/>
          <w:color w:val="000000"/>
          <w:szCs w:val="21"/>
        </w:rPr>
        <w:t xml:space="preserve">) N₂ fluxes in </w:t>
      </w:r>
      <w:r w:rsidRPr="002B538E">
        <w:rPr>
          <w:rFonts w:ascii="Times New Roman" w:hAnsi="Times New Roman" w:cs="Times New Roman" w:hint="eastAsia"/>
          <w:color w:val="000000"/>
          <w:szCs w:val="21"/>
        </w:rPr>
        <w:t>five</w:t>
      </w:r>
      <w:r w:rsidRPr="002B538E">
        <w:rPr>
          <w:rFonts w:ascii="Times New Roman" w:hAnsi="Times New Roman" w:cs="Times New Roman"/>
          <w:color w:val="000000"/>
          <w:szCs w:val="21"/>
        </w:rPr>
        <w:t xml:space="preserve"> soils with low fertilization history under different treatments; (d</w:t>
      </w:r>
      <w:r w:rsidRPr="002B538E">
        <w:rPr>
          <w:rFonts w:ascii="Times New Roman" w:hAnsi="Times New Roman" w:cs="Times New Roman" w:hint="eastAsia"/>
          <w:color w:val="000000"/>
          <w:szCs w:val="21"/>
        </w:rPr>
        <w:t>-</w:t>
      </w:r>
      <w:r w:rsidRPr="002B538E">
        <w:rPr>
          <w:rFonts w:ascii="Times New Roman" w:hAnsi="Times New Roman" w:cs="Times New Roman"/>
          <w:color w:val="000000"/>
          <w:szCs w:val="21"/>
        </w:rPr>
        <w:t>f) N₂O fluxes and (j</w:t>
      </w:r>
      <w:r w:rsidRPr="002B538E">
        <w:rPr>
          <w:rFonts w:ascii="Times New Roman" w:hAnsi="Times New Roman" w:cs="Times New Roman" w:hint="eastAsia"/>
          <w:color w:val="000000"/>
          <w:szCs w:val="21"/>
        </w:rPr>
        <w:t>-</w:t>
      </w:r>
      <w:r w:rsidRPr="002B538E">
        <w:rPr>
          <w:rFonts w:ascii="Times New Roman" w:hAnsi="Times New Roman" w:cs="Times New Roman"/>
          <w:color w:val="000000"/>
          <w:szCs w:val="21"/>
        </w:rPr>
        <w:t>l) N₂ fluxes in</w:t>
      </w:r>
      <w:r w:rsidRPr="002B538E">
        <w:rPr>
          <w:rFonts w:ascii="Times New Roman" w:hAnsi="Times New Roman" w:cs="Times New Roman" w:hint="eastAsia"/>
          <w:color w:val="000000"/>
          <w:szCs w:val="21"/>
        </w:rPr>
        <w:t xml:space="preserve"> five</w:t>
      </w:r>
      <w:r w:rsidRPr="002B538E">
        <w:rPr>
          <w:rFonts w:ascii="Times New Roman" w:hAnsi="Times New Roman" w:cs="Times New Roman"/>
          <w:color w:val="000000"/>
          <w:szCs w:val="21"/>
        </w:rPr>
        <w:t xml:space="preserve"> soils with high fertilization history under different treatments. </w:t>
      </w:r>
      <w:bookmarkStart w:id="6" w:name="_Hlk225676633"/>
      <w:r w:rsidR="006F5E5B" w:rsidRPr="006F5E5B">
        <w:rPr>
          <w:rFonts w:ascii="Times New Roman" w:hAnsi="Times New Roman" w:cs="Times New Roman"/>
          <w:color w:val="000000"/>
          <w:szCs w:val="21"/>
        </w:rPr>
        <w:t>Shading indicates standard deviation from the mean.</w:t>
      </w:r>
      <w:bookmarkEnd w:id="6"/>
    </w:p>
    <w:sectPr w:rsidR="002F31E3" w:rsidRPr="002B53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F182" w14:textId="77777777" w:rsidR="00F22CEA" w:rsidRDefault="00F22CEA" w:rsidP="002B538E">
      <w:pPr>
        <w:rPr>
          <w:rFonts w:hint="eastAsia"/>
        </w:rPr>
      </w:pPr>
      <w:r>
        <w:separator/>
      </w:r>
    </w:p>
  </w:endnote>
  <w:endnote w:type="continuationSeparator" w:id="0">
    <w:p w14:paraId="5271FE84" w14:textId="77777777" w:rsidR="00F22CEA" w:rsidRDefault="00F22CEA" w:rsidP="002B538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xsy">
    <w:altName w:val="Segoe Print"/>
    <w:charset w:val="00"/>
    <w:family w:val="auto"/>
    <w:pitch w:val="default"/>
  </w:font>
  <w:font w:name="AdvP4C4E74">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Advpala-ita">
    <w:altName w:val="Segoe Print"/>
    <w:charset w:val="00"/>
    <w:family w:val="auto"/>
    <w:pitch w:val="default"/>
  </w:font>
  <w:font w:name="AdvTT3713a231">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0EB8B" w14:textId="77777777" w:rsidR="00F22CEA" w:rsidRDefault="00F22CEA" w:rsidP="002B538E">
      <w:pPr>
        <w:rPr>
          <w:rFonts w:hint="eastAsia"/>
        </w:rPr>
      </w:pPr>
      <w:r>
        <w:separator/>
      </w:r>
    </w:p>
  </w:footnote>
  <w:footnote w:type="continuationSeparator" w:id="0">
    <w:p w14:paraId="153C5611" w14:textId="77777777" w:rsidR="00F22CEA" w:rsidRDefault="00F22CEA" w:rsidP="002B538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D11DB6"/>
    <w:multiLevelType w:val="singleLevel"/>
    <w:tmpl w:val="5ED11DB6"/>
    <w:lvl w:ilvl="0">
      <w:start w:val="5"/>
      <w:numFmt w:val="upperLetter"/>
      <w:suff w:val="nothing"/>
      <w:lvlText w:val="%1-"/>
      <w:lvlJc w:val="left"/>
    </w:lvl>
  </w:abstractNum>
  <w:num w:numId="1" w16cid:durableId="926353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3MTMA0uZG5gYm5ko6SsGpxcWZ+XkgBUa1AG84w2csAAAA"/>
    <w:docVar w:name="EN.InstantFormat" w:val="&lt;ENInstantFormat&gt;&lt;Enabled&gt;1&lt;/Enabled&gt;&lt;ScanUnformatted&gt;1&lt;/ScanUnformatted&gt;&lt;ScanChanges&gt;1&lt;/ScanChanges&gt;&lt;Suspended&gt;1&lt;/Suspended&gt;&lt;/ENInstantFormat&gt;"/>
  </w:docVars>
  <w:rsids>
    <w:rsidRoot w:val="00C906F6"/>
    <w:rsid w:val="000023EA"/>
    <w:rsid w:val="00056270"/>
    <w:rsid w:val="00080B81"/>
    <w:rsid w:val="00085801"/>
    <w:rsid w:val="000A3309"/>
    <w:rsid w:val="000C0160"/>
    <w:rsid w:val="000C2FB7"/>
    <w:rsid w:val="000C30B2"/>
    <w:rsid w:val="000C5F4A"/>
    <w:rsid w:val="00102A90"/>
    <w:rsid w:val="00105315"/>
    <w:rsid w:val="00107B07"/>
    <w:rsid w:val="00125237"/>
    <w:rsid w:val="0013209E"/>
    <w:rsid w:val="001420C5"/>
    <w:rsid w:val="001447F4"/>
    <w:rsid w:val="00155D2B"/>
    <w:rsid w:val="00175D01"/>
    <w:rsid w:val="00177DB0"/>
    <w:rsid w:val="001A4AB4"/>
    <w:rsid w:val="001C5801"/>
    <w:rsid w:val="001F2DFE"/>
    <w:rsid w:val="00201F04"/>
    <w:rsid w:val="00203CA9"/>
    <w:rsid w:val="0021646D"/>
    <w:rsid w:val="002175FA"/>
    <w:rsid w:val="00227D69"/>
    <w:rsid w:val="00233FCA"/>
    <w:rsid w:val="002372DF"/>
    <w:rsid w:val="00245E18"/>
    <w:rsid w:val="0024743F"/>
    <w:rsid w:val="0025044D"/>
    <w:rsid w:val="0025222B"/>
    <w:rsid w:val="00283147"/>
    <w:rsid w:val="00285E2A"/>
    <w:rsid w:val="002B19B9"/>
    <w:rsid w:val="002B538E"/>
    <w:rsid w:val="002C791D"/>
    <w:rsid w:val="002D1E28"/>
    <w:rsid w:val="002D64F1"/>
    <w:rsid w:val="002F31E3"/>
    <w:rsid w:val="0030543D"/>
    <w:rsid w:val="0031046E"/>
    <w:rsid w:val="003216A4"/>
    <w:rsid w:val="00321ABF"/>
    <w:rsid w:val="00324ADF"/>
    <w:rsid w:val="00337F8E"/>
    <w:rsid w:val="00360D13"/>
    <w:rsid w:val="00396C8B"/>
    <w:rsid w:val="003A69D8"/>
    <w:rsid w:val="003E00C9"/>
    <w:rsid w:val="003F187A"/>
    <w:rsid w:val="003F6D52"/>
    <w:rsid w:val="004069EC"/>
    <w:rsid w:val="00420627"/>
    <w:rsid w:val="00426AAC"/>
    <w:rsid w:val="004634BD"/>
    <w:rsid w:val="0046367F"/>
    <w:rsid w:val="0047184B"/>
    <w:rsid w:val="00485DC6"/>
    <w:rsid w:val="004C542D"/>
    <w:rsid w:val="004C5D4F"/>
    <w:rsid w:val="004E7E9C"/>
    <w:rsid w:val="005228BD"/>
    <w:rsid w:val="00527ECC"/>
    <w:rsid w:val="005300FF"/>
    <w:rsid w:val="00531171"/>
    <w:rsid w:val="005557CF"/>
    <w:rsid w:val="005920C5"/>
    <w:rsid w:val="005C33A2"/>
    <w:rsid w:val="005E019E"/>
    <w:rsid w:val="005E0DC7"/>
    <w:rsid w:val="00605D79"/>
    <w:rsid w:val="00612002"/>
    <w:rsid w:val="00612FB1"/>
    <w:rsid w:val="0061487C"/>
    <w:rsid w:val="00616F43"/>
    <w:rsid w:val="00616FAC"/>
    <w:rsid w:val="006214A3"/>
    <w:rsid w:val="00641745"/>
    <w:rsid w:val="006D103B"/>
    <w:rsid w:val="006F5E5B"/>
    <w:rsid w:val="006F7C54"/>
    <w:rsid w:val="00707448"/>
    <w:rsid w:val="00722E8D"/>
    <w:rsid w:val="00735EE8"/>
    <w:rsid w:val="00764C7E"/>
    <w:rsid w:val="00774992"/>
    <w:rsid w:val="00781B16"/>
    <w:rsid w:val="00781E1C"/>
    <w:rsid w:val="007A3758"/>
    <w:rsid w:val="007F6A78"/>
    <w:rsid w:val="00803FC0"/>
    <w:rsid w:val="00827707"/>
    <w:rsid w:val="00831170"/>
    <w:rsid w:val="00844963"/>
    <w:rsid w:val="00861027"/>
    <w:rsid w:val="0087016A"/>
    <w:rsid w:val="00880B02"/>
    <w:rsid w:val="00884CD0"/>
    <w:rsid w:val="00887851"/>
    <w:rsid w:val="008B76B2"/>
    <w:rsid w:val="008E52D2"/>
    <w:rsid w:val="00913D4D"/>
    <w:rsid w:val="0095662F"/>
    <w:rsid w:val="009829C1"/>
    <w:rsid w:val="00992334"/>
    <w:rsid w:val="00994B6B"/>
    <w:rsid w:val="009A33AF"/>
    <w:rsid w:val="009A7F19"/>
    <w:rsid w:val="009C10BD"/>
    <w:rsid w:val="009E634E"/>
    <w:rsid w:val="009F5945"/>
    <w:rsid w:val="00A115F6"/>
    <w:rsid w:val="00A209FF"/>
    <w:rsid w:val="00A35073"/>
    <w:rsid w:val="00A773B1"/>
    <w:rsid w:val="00A83329"/>
    <w:rsid w:val="00AA3DB9"/>
    <w:rsid w:val="00AE30C4"/>
    <w:rsid w:val="00AF3910"/>
    <w:rsid w:val="00B33B3C"/>
    <w:rsid w:val="00B346AD"/>
    <w:rsid w:val="00B43DC2"/>
    <w:rsid w:val="00B7056B"/>
    <w:rsid w:val="00B904B6"/>
    <w:rsid w:val="00BA13BD"/>
    <w:rsid w:val="00BB2442"/>
    <w:rsid w:val="00BC1A6B"/>
    <w:rsid w:val="00BC6493"/>
    <w:rsid w:val="00BD2456"/>
    <w:rsid w:val="00BE7A14"/>
    <w:rsid w:val="00C24515"/>
    <w:rsid w:val="00C4466B"/>
    <w:rsid w:val="00C54280"/>
    <w:rsid w:val="00C62300"/>
    <w:rsid w:val="00C906F6"/>
    <w:rsid w:val="00CB14EB"/>
    <w:rsid w:val="00CB6F38"/>
    <w:rsid w:val="00CC449E"/>
    <w:rsid w:val="00CE3E27"/>
    <w:rsid w:val="00CF44C9"/>
    <w:rsid w:val="00D1646C"/>
    <w:rsid w:val="00D33BC9"/>
    <w:rsid w:val="00D4053B"/>
    <w:rsid w:val="00D574E8"/>
    <w:rsid w:val="00D74D54"/>
    <w:rsid w:val="00D844A2"/>
    <w:rsid w:val="00DD615E"/>
    <w:rsid w:val="00DE1AB2"/>
    <w:rsid w:val="00DF6C8C"/>
    <w:rsid w:val="00E36F6F"/>
    <w:rsid w:val="00E52E2C"/>
    <w:rsid w:val="00E66D8F"/>
    <w:rsid w:val="00E80F0A"/>
    <w:rsid w:val="00EC1AA5"/>
    <w:rsid w:val="00ED1687"/>
    <w:rsid w:val="00EE1DEF"/>
    <w:rsid w:val="00EE5290"/>
    <w:rsid w:val="00F22CEA"/>
    <w:rsid w:val="00F31D2B"/>
    <w:rsid w:val="00F37B22"/>
    <w:rsid w:val="00F4378D"/>
    <w:rsid w:val="00FB160D"/>
    <w:rsid w:val="00FF20D1"/>
    <w:rsid w:val="00FF4E2C"/>
    <w:rsid w:val="01497810"/>
    <w:rsid w:val="018D0F17"/>
    <w:rsid w:val="027C5214"/>
    <w:rsid w:val="031169F8"/>
    <w:rsid w:val="03B57C66"/>
    <w:rsid w:val="03EE4E26"/>
    <w:rsid w:val="04926F71"/>
    <w:rsid w:val="04AC4935"/>
    <w:rsid w:val="04B05649"/>
    <w:rsid w:val="04B52C5F"/>
    <w:rsid w:val="04C82992"/>
    <w:rsid w:val="05DD06BF"/>
    <w:rsid w:val="05E530D0"/>
    <w:rsid w:val="06257970"/>
    <w:rsid w:val="068E7059"/>
    <w:rsid w:val="06A25465"/>
    <w:rsid w:val="06BA630B"/>
    <w:rsid w:val="078E1545"/>
    <w:rsid w:val="07F81CA6"/>
    <w:rsid w:val="08FF26FB"/>
    <w:rsid w:val="0A2549A1"/>
    <w:rsid w:val="0D7078E9"/>
    <w:rsid w:val="0D9075DD"/>
    <w:rsid w:val="0EF3685E"/>
    <w:rsid w:val="102951E0"/>
    <w:rsid w:val="103C2486"/>
    <w:rsid w:val="106612B1"/>
    <w:rsid w:val="10771710"/>
    <w:rsid w:val="10CE3B25"/>
    <w:rsid w:val="10D75D0B"/>
    <w:rsid w:val="113157AE"/>
    <w:rsid w:val="11491D43"/>
    <w:rsid w:val="114E421F"/>
    <w:rsid w:val="139B08B9"/>
    <w:rsid w:val="13DD3550"/>
    <w:rsid w:val="143F60A1"/>
    <w:rsid w:val="15642450"/>
    <w:rsid w:val="1569643B"/>
    <w:rsid w:val="15C727F2"/>
    <w:rsid w:val="165213A2"/>
    <w:rsid w:val="16ED0036"/>
    <w:rsid w:val="170D692B"/>
    <w:rsid w:val="17996410"/>
    <w:rsid w:val="184368BE"/>
    <w:rsid w:val="194B7296"/>
    <w:rsid w:val="19B66E06"/>
    <w:rsid w:val="19DF45AE"/>
    <w:rsid w:val="1A204BC7"/>
    <w:rsid w:val="1A236C37"/>
    <w:rsid w:val="1A8B0292"/>
    <w:rsid w:val="1A9829AF"/>
    <w:rsid w:val="1C1B3898"/>
    <w:rsid w:val="1C365FDC"/>
    <w:rsid w:val="1DF443A0"/>
    <w:rsid w:val="1E6D7CAF"/>
    <w:rsid w:val="1F1217F1"/>
    <w:rsid w:val="20564928"/>
    <w:rsid w:val="20E83750"/>
    <w:rsid w:val="21553F62"/>
    <w:rsid w:val="217A4BBD"/>
    <w:rsid w:val="21A351BA"/>
    <w:rsid w:val="21CB366A"/>
    <w:rsid w:val="21D20555"/>
    <w:rsid w:val="21F4496F"/>
    <w:rsid w:val="220C0667"/>
    <w:rsid w:val="23426D25"/>
    <w:rsid w:val="23694EE9"/>
    <w:rsid w:val="236D2C2B"/>
    <w:rsid w:val="239161EE"/>
    <w:rsid w:val="24D10F97"/>
    <w:rsid w:val="25366DEE"/>
    <w:rsid w:val="25D074A1"/>
    <w:rsid w:val="26B11081"/>
    <w:rsid w:val="26F56A5A"/>
    <w:rsid w:val="27646D7F"/>
    <w:rsid w:val="27EF5717"/>
    <w:rsid w:val="28550131"/>
    <w:rsid w:val="286F6576"/>
    <w:rsid w:val="2A224043"/>
    <w:rsid w:val="2AF8368D"/>
    <w:rsid w:val="2B4A5600"/>
    <w:rsid w:val="2B71749C"/>
    <w:rsid w:val="2B752642"/>
    <w:rsid w:val="2DA60AE7"/>
    <w:rsid w:val="2ECE6063"/>
    <w:rsid w:val="2EDC5C10"/>
    <w:rsid w:val="2F407D90"/>
    <w:rsid w:val="3045283A"/>
    <w:rsid w:val="30DF1214"/>
    <w:rsid w:val="328C0BF4"/>
    <w:rsid w:val="32EB591A"/>
    <w:rsid w:val="335D7E9A"/>
    <w:rsid w:val="33CC574C"/>
    <w:rsid w:val="34820CF8"/>
    <w:rsid w:val="34B32468"/>
    <w:rsid w:val="36401AD9"/>
    <w:rsid w:val="36AC26E5"/>
    <w:rsid w:val="36C26992"/>
    <w:rsid w:val="37415715"/>
    <w:rsid w:val="37BF7375"/>
    <w:rsid w:val="38804D57"/>
    <w:rsid w:val="38B2503F"/>
    <w:rsid w:val="392C12C7"/>
    <w:rsid w:val="39D972DA"/>
    <w:rsid w:val="3B3A743F"/>
    <w:rsid w:val="3BA50921"/>
    <w:rsid w:val="3BBA0E65"/>
    <w:rsid w:val="3C04245C"/>
    <w:rsid w:val="3C374690"/>
    <w:rsid w:val="3CEA279F"/>
    <w:rsid w:val="3D415961"/>
    <w:rsid w:val="3DD3276B"/>
    <w:rsid w:val="3DF633C5"/>
    <w:rsid w:val="3EC83B16"/>
    <w:rsid w:val="3F1360BC"/>
    <w:rsid w:val="3F147FA7"/>
    <w:rsid w:val="401D2E8B"/>
    <w:rsid w:val="4182744A"/>
    <w:rsid w:val="423522EA"/>
    <w:rsid w:val="43012E33"/>
    <w:rsid w:val="43D52A2F"/>
    <w:rsid w:val="44DF5201"/>
    <w:rsid w:val="451F3201"/>
    <w:rsid w:val="4561381A"/>
    <w:rsid w:val="470B1C8F"/>
    <w:rsid w:val="479E48B1"/>
    <w:rsid w:val="47A3011A"/>
    <w:rsid w:val="4A156D45"/>
    <w:rsid w:val="4A314103"/>
    <w:rsid w:val="4B5643AD"/>
    <w:rsid w:val="4D4F2638"/>
    <w:rsid w:val="4E3A4E06"/>
    <w:rsid w:val="4E4F2DA9"/>
    <w:rsid w:val="4E724CEA"/>
    <w:rsid w:val="4F6C798B"/>
    <w:rsid w:val="50DC291C"/>
    <w:rsid w:val="51B00003"/>
    <w:rsid w:val="520919B3"/>
    <w:rsid w:val="520D0FB1"/>
    <w:rsid w:val="524E3378"/>
    <w:rsid w:val="52EA12F3"/>
    <w:rsid w:val="53C71634"/>
    <w:rsid w:val="53EC109A"/>
    <w:rsid w:val="548B2661"/>
    <w:rsid w:val="54FC530D"/>
    <w:rsid w:val="5560764A"/>
    <w:rsid w:val="56336B0D"/>
    <w:rsid w:val="5642772B"/>
    <w:rsid w:val="577B4C0F"/>
    <w:rsid w:val="57C33EC0"/>
    <w:rsid w:val="59F45BFB"/>
    <w:rsid w:val="5A2F1CE1"/>
    <w:rsid w:val="5AB25DF5"/>
    <w:rsid w:val="5B1213E7"/>
    <w:rsid w:val="5BE05817"/>
    <w:rsid w:val="5BF40576"/>
    <w:rsid w:val="5CD31049"/>
    <w:rsid w:val="5D5E5121"/>
    <w:rsid w:val="5D8D2FA6"/>
    <w:rsid w:val="5D9E3979"/>
    <w:rsid w:val="5E7A79CF"/>
    <w:rsid w:val="5F3062DF"/>
    <w:rsid w:val="601C4AB5"/>
    <w:rsid w:val="60BF09EC"/>
    <w:rsid w:val="62B84A84"/>
    <w:rsid w:val="62E53525"/>
    <w:rsid w:val="630930CF"/>
    <w:rsid w:val="632C2279"/>
    <w:rsid w:val="63332842"/>
    <w:rsid w:val="634861D3"/>
    <w:rsid w:val="638717B1"/>
    <w:rsid w:val="63E6385D"/>
    <w:rsid w:val="65DE03FB"/>
    <w:rsid w:val="65DE4CE7"/>
    <w:rsid w:val="6827345C"/>
    <w:rsid w:val="68A1024E"/>
    <w:rsid w:val="6A024D1C"/>
    <w:rsid w:val="6A6E2F51"/>
    <w:rsid w:val="6AAD4C88"/>
    <w:rsid w:val="6B2361F6"/>
    <w:rsid w:val="6C0E5BFA"/>
    <w:rsid w:val="6C3A254B"/>
    <w:rsid w:val="6C5555D7"/>
    <w:rsid w:val="6CB461AA"/>
    <w:rsid w:val="6DE138FF"/>
    <w:rsid w:val="6FE26822"/>
    <w:rsid w:val="700042B7"/>
    <w:rsid w:val="70561270"/>
    <w:rsid w:val="71221416"/>
    <w:rsid w:val="7128150C"/>
    <w:rsid w:val="715E0C23"/>
    <w:rsid w:val="7268666F"/>
    <w:rsid w:val="72C62D8B"/>
    <w:rsid w:val="73094823"/>
    <w:rsid w:val="73C179F6"/>
    <w:rsid w:val="74B3733F"/>
    <w:rsid w:val="75504B8E"/>
    <w:rsid w:val="75D91BB6"/>
    <w:rsid w:val="76E934EC"/>
    <w:rsid w:val="76F162B1"/>
    <w:rsid w:val="77560455"/>
    <w:rsid w:val="77DA1086"/>
    <w:rsid w:val="77EC4022"/>
    <w:rsid w:val="78D21D5D"/>
    <w:rsid w:val="797F0137"/>
    <w:rsid w:val="799314ED"/>
    <w:rsid w:val="79975481"/>
    <w:rsid w:val="7A460C55"/>
    <w:rsid w:val="7D5176F5"/>
    <w:rsid w:val="7DA04201"/>
    <w:rsid w:val="7E431733"/>
    <w:rsid w:val="7E5A58DE"/>
    <w:rsid w:val="7E865AC4"/>
    <w:rsid w:val="7FEA0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69E82DD0"/>
  <w14:defaultImageDpi w14:val="32767"/>
  <w15:docId w15:val="{39CFB928-A9B6-4E90-B711-F36EEF238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FollowedHyperlink"/>
    <w:basedOn w:val="a0"/>
    <w:uiPriority w:val="99"/>
    <w:semiHidden/>
    <w:unhideWhenUsed/>
    <w:qFormat/>
    <w:rPr>
      <w:color w:val="800080"/>
      <w:u w:val="single"/>
    </w:rPr>
  </w:style>
  <w:style w:type="character" w:styleId="af1">
    <w:name w:val="Emphasis"/>
    <w:basedOn w:val="a0"/>
    <w:uiPriority w:val="20"/>
    <w:qFormat/>
    <w:rPr>
      <w:i/>
      <w:iCs/>
    </w:rPr>
  </w:style>
  <w:style w:type="character" w:styleId="af2">
    <w:name w:val="line number"/>
    <w:basedOn w:val="a0"/>
    <w:uiPriority w:val="99"/>
    <w:semiHidden/>
    <w:unhideWhenUsed/>
    <w:qFormat/>
  </w:style>
  <w:style w:type="character" w:styleId="af3">
    <w:name w:val="Hyperlink"/>
    <w:basedOn w:val="a0"/>
    <w:uiPriority w:val="99"/>
    <w:unhideWhenUsed/>
    <w:qFormat/>
    <w:rPr>
      <w:color w:val="0000FF"/>
      <w:u w:val="single"/>
    </w:rPr>
  </w:style>
  <w:style w:type="character" w:styleId="af4">
    <w:name w:val="annotation reference"/>
    <w:basedOn w:val="a0"/>
    <w:uiPriority w:val="99"/>
    <w:unhideWhenUsed/>
    <w:qFormat/>
    <w:rPr>
      <w:sz w:val="21"/>
      <w:szCs w:val="21"/>
    </w:rPr>
  </w:style>
  <w:style w:type="character" w:customStyle="1" w:styleId="10">
    <w:name w:val="标题 1 字符"/>
    <w:basedOn w:val="a0"/>
    <w:link w:val="1"/>
    <w:uiPriority w:val="9"/>
    <w:qFormat/>
    <w:rPr>
      <w:b/>
      <w:bCs/>
      <w:kern w:val="44"/>
      <w:sz w:val="44"/>
      <w:szCs w:val="44"/>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rFonts w:ascii="宋体" w:eastAsia="宋体" w:hAnsi="宋体" w:cs="Times New Roman"/>
      <w:b/>
      <w:kern w:val="0"/>
      <w:sz w:val="20"/>
      <w:szCs w:val="20"/>
    </w:rPr>
  </w:style>
  <w:style w:type="character" w:customStyle="1" w:styleId="a4">
    <w:name w:val="批注文字 字符"/>
    <w:basedOn w:val="a0"/>
    <w:link w:val="a3"/>
    <w:uiPriority w:val="99"/>
    <w:qFormat/>
  </w:style>
  <w:style w:type="character" w:customStyle="1" w:styleId="a6">
    <w:name w:val="批注框文本 字符"/>
    <w:basedOn w:val="a0"/>
    <w:link w:val="a5"/>
    <w:uiPriority w:val="99"/>
    <w:semiHidden/>
    <w:qFormat/>
    <w:rPr>
      <w:sz w:val="18"/>
      <w:szCs w:val="18"/>
    </w:rPr>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qFormat/>
    <w:rPr>
      <w:sz w:val="18"/>
      <w:szCs w:val="18"/>
    </w:rPr>
  </w:style>
  <w:style w:type="character" w:customStyle="1" w:styleId="ad">
    <w:name w:val="批注主题 字符"/>
    <w:basedOn w:val="a4"/>
    <w:link w:val="ac"/>
    <w:uiPriority w:val="99"/>
    <w:semiHidden/>
    <w:qFormat/>
    <w:rPr>
      <w:b/>
      <w:bCs/>
    </w:rPr>
  </w:style>
  <w:style w:type="character" w:customStyle="1" w:styleId="fontstyle01">
    <w:name w:val="fontstyle01"/>
    <w:basedOn w:val="a0"/>
    <w:qFormat/>
    <w:rPr>
      <w:rFonts w:ascii="Courier New" w:hAnsi="Courier New" w:cs="Courier New" w:hint="default"/>
      <w:color w:val="000000"/>
      <w:sz w:val="22"/>
      <w:szCs w:val="22"/>
    </w:rPr>
  </w:style>
  <w:style w:type="character" w:customStyle="1" w:styleId="skip">
    <w:name w:val="skip"/>
    <w:basedOn w:val="a0"/>
    <w:qFormat/>
  </w:style>
  <w:style w:type="character" w:customStyle="1" w:styleId="apple-converted-space">
    <w:name w:val="apple-converted-space"/>
    <w:basedOn w:val="a0"/>
    <w:qFormat/>
  </w:style>
  <w:style w:type="character" w:customStyle="1" w:styleId="fontstyle21">
    <w:name w:val="fontstyle21"/>
    <w:basedOn w:val="a0"/>
    <w:qFormat/>
    <w:rPr>
      <w:rFonts w:ascii="txsy" w:eastAsia="txsy" w:hAnsi="txsy" w:cs="txsy"/>
      <w:color w:val="000000"/>
      <w:sz w:val="14"/>
      <w:szCs w:val="14"/>
    </w:rPr>
  </w:style>
  <w:style w:type="character" w:customStyle="1" w:styleId="fontstyle11">
    <w:name w:val="fontstyle11"/>
    <w:basedOn w:val="a0"/>
    <w:qFormat/>
    <w:rPr>
      <w:rFonts w:ascii="AdvP4C4E74" w:eastAsia="AdvP4C4E74" w:hAnsi="AdvP4C4E74" w:cs="AdvP4C4E74"/>
      <w:color w:val="000000"/>
      <w:sz w:val="12"/>
      <w:szCs w:val="1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sz w:val="20"/>
    </w:rPr>
  </w:style>
  <w:style w:type="paragraph" w:customStyle="1" w:styleId="EndNoteBibliography">
    <w:name w:val="EndNote Bibliography"/>
    <w:basedOn w:val="a"/>
    <w:link w:val="EndNoteBibliographyChar"/>
    <w:qFormat/>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sz w:val="20"/>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fontstyle31">
    <w:name w:val="fontstyle31"/>
    <w:basedOn w:val="a0"/>
    <w:qFormat/>
    <w:rPr>
      <w:rFonts w:ascii="Advpala-ita" w:eastAsia="Advpala-ita" w:hAnsi="Advpala-ita" w:cs="Advpala-ita"/>
      <w:color w:val="231F20"/>
      <w:sz w:val="16"/>
      <w:szCs w:val="16"/>
    </w:rPr>
  </w:style>
  <w:style w:type="character" w:customStyle="1" w:styleId="fontstyle41">
    <w:name w:val="fontstyle41"/>
    <w:basedOn w:val="a0"/>
    <w:qFormat/>
    <w:rPr>
      <w:rFonts w:ascii="AdvTT3713a231" w:eastAsia="AdvTT3713a231" w:hAnsi="AdvTT3713a231" w:cs="AdvTT3713a231"/>
      <w:color w:val="231F20"/>
      <w:sz w:val="16"/>
      <w:szCs w:val="16"/>
    </w:rPr>
  </w:style>
  <w:style w:type="character" w:customStyle="1" w:styleId="fontstyle51">
    <w:name w:val="fontstyle51"/>
    <w:basedOn w:val="a0"/>
    <w:qFormat/>
    <w:rPr>
      <w:rFonts w:ascii="AdvP4C4E74" w:eastAsia="AdvP4C4E74" w:hAnsi="AdvP4C4E74" w:cs="AdvP4C4E74"/>
      <w:color w:val="231F20"/>
      <w:sz w:val="12"/>
      <w:szCs w:val="12"/>
    </w:rPr>
  </w:style>
  <w:style w:type="paragraph" w:styleId="af5">
    <w:name w:val="List Paragraph"/>
    <w:basedOn w:val="a"/>
    <w:uiPriority w:val="34"/>
    <w:qFormat/>
    <w:pPr>
      <w:ind w:firstLineChars="200" w:firstLine="420"/>
    </w:pPr>
  </w:style>
  <w:style w:type="character" w:customStyle="1" w:styleId="transsent">
    <w:name w:val="transsent"/>
    <w:basedOn w:val="a0"/>
    <w:qFormat/>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customStyle="1" w:styleId="2">
    <w:name w:val="修订2"/>
    <w:hidden/>
    <w:uiPriority w:val="99"/>
    <w:semiHidden/>
    <w:qFormat/>
    <w:rPr>
      <w:rFonts w:asciiTheme="minorHAnsi" w:eastAsiaTheme="minorEastAsia" w:hAnsiTheme="minorHAnsi" w:cstheme="minorBidi"/>
      <w:kern w:val="2"/>
      <w:sz w:val="21"/>
      <w:szCs w:val="22"/>
    </w:rPr>
  </w:style>
  <w:style w:type="paragraph" w:customStyle="1" w:styleId="3">
    <w:name w:val="修订3"/>
    <w:hidden/>
    <w:uiPriority w:val="99"/>
    <w:semiHidden/>
    <w:qFormat/>
    <w:rPr>
      <w:rFonts w:asciiTheme="minorHAnsi" w:eastAsiaTheme="minorEastAsia" w:hAnsiTheme="minorHAnsi" w:cstheme="minorBidi"/>
      <w:kern w:val="2"/>
      <w:sz w:val="21"/>
      <w:szCs w:val="22"/>
    </w:rPr>
  </w:style>
  <w:style w:type="character" w:customStyle="1" w:styleId="basic-word">
    <w:name w:val="basic-word"/>
    <w:basedOn w:val="a0"/>
    <w:qFormat/>
  </w:style>
  <w:style w:type="character" w:customStyle="1" w:styleId="accordion-tabbedtab-mobile">
    <w:name w:val="accordion-tabbed__tab-mobile"/>
    <w:basedOn w:val="a0"/>
    <w:qFormat/>
  </w:style>
  <w:style w:type="character" w:customStyle="1" w:styleId="comma-separator">
    <w:name w:val="comma-separator"/>
    <w:basedOn w:val="a0"/>
    <w:qFormat/>
  </w:style>
  <w:style w:type="character" w:customStyle="1" w:styleId="epub-state">
    <w:name w:val="epub-state"/>
    <w:basedOn w:val="a0"/>
    <w:qFormat/>
  </w:style>
  <w:style w:type="character" w:customStyle="1" w:styleId="epub-date">
    <w:name w:val="epub-date"/>
    <w:basedOn w:val="a0"/>
    <w:qFormat/>
  </w:style>
  <w:style w:type="character" w:customStyle="1" w:styleId="12">
    <w:name w:val="未处理的提及1"/>
    <w:basedOn w:val="a0"/>
    <w:uiPriority w:val="99"/>
    <w:semiHidden/>
    <w:unhideWhenUsed/>
    <w:qFormat/>
    <w:rPr>
      <w:color w:val="605E5C"/>
      <w:shd w:val="clear" w:color="auto" w:fill="E1DFDD"/>
    </w:rPr>
  </w:style>
  <w:style w:type="paragraph" w:customStyle="1" w:styleId="ds-markdown-paragraph">
    <w:name w:val="ds-markdown-paragraph"/>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13">
    <w:name w:val="列表段落1"/>
    <w:basedOn w:val="a"/>
    <w:qFormat/>
    <w:pPr>
      <w:ind w:firstLineChars="200" w:firstLine="420"/>
    </w:pPr>
    <w:rPr>
      <w:rFonts w:ascii="Calibri" w:eastAsia="宋体" w:hAnsi="Calibri" w:cs="Times New Roman"/>
      <w:szCs w:val="21"/>
    </w:rPr>
  </w:style>
  <w:style w:type="paragraph" w:styleId="af6">
    <w:name w:val="Revision"/>
    <w:hidden/>
    <w:uiPriority w:val="99"/>
    <w:semiHidden/>
    <w:rsid w:val="002D1E2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xjzhang68@sjt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55EB4-C6BD-4197-B82A-C4A1CE04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11</Pages>
  <Words>1334</Words>
  <Characters>7608</Characters>
  <Application>Microsoft Office Word</Application>
  <DocSecurity>0</DocSecurity>
  <Lines>63</Lines>
  <Paragraphs>17</Paragraphs>
  <ScaleCrop>false</ScaleCrop>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吴巧玉</dc:creator>
  <cp:lastModifiedBy>紫薇 邓</cp:lastModifiedBy>
  <cp:revision>148</cp:revision>
  <cp:lastPrinted>2025-12-17T12:54:00Z</cp:lastPrinted>
  <dcterms:created xsi:type="dcterms:W3CDTF">2025-12-14T12:48:00Z</dcterms:created>
  <dcterms:modified xsi:type="dcterms:W3CDTF">2026-04-06T10:50:00Z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eyJoZGlkIjoiNTI0NjBkNDQyNjJlNWNiZjMzYThjYjExZDQ5YmE5ZmQiLCJ1c2VySWQiOiIxMzQ1ODA5NTM4In0=</vt:lpwstr>
  </property>
  <property fmtid="{D5CDD505-2E9C-101B-9397-08002B2CF9AE}" pid="3" name="KSOProductBuildVer">
    <vt:lpwstr>2052-12.1.0.25225</vt:lpwstr>
  </property>
  <property fmtid="{D5CDD505-2E9C-101B-9397-08002B2CF9AE}" pid="4" name="ICV">
    <vt:lpwstr>BE26A8A6B8E64BE9B0EAC48EA6DAEADE_12</vt:lpwstr>
  </property>
</Properties>
</file>