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09041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6964141"/>
      <w:bookmarkEnd w:id="0"/>
      <w:bookmarkStart w:id="1" w:name="_Hlk124230402"/>
      <w:r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 xml:space="preserve"> for</w:t>
      </w:r>
    </w:p>
    <w:p w14:paraId="568ED09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1B3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Bacterial rather than fungal denitrification as a key driver for increased denitrification rate under warming in paddy soil</w:t>
      </w:r>
    </w:p>
    <w:p w14:paraId="3D3A74E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F55FF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  <w:t>Lixin Jia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  <w:t>, Yong Li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*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  <w:t>, Roland Bol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4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5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  <w:t>, Di Wu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*</w:t>
      </w:r>
    </w:p>
    <w:p w14:paraId="4472FD17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</w:p>
    <w:p w14:paraId="0A6432F3">
      <w:pPr>
        <w:widowControl/>
        <w:adjustRightInd w:val="0"/>
        <w:snapToGrid w:val="0"/>
        <w:spacing w:line="480" w:lineRule="auto"/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1</w:t>
      </w:r>
      <w:r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  <w:t>College of Resources and Environmental Sciences, China Agricultural University, Beijing 100193, China</w:t>
      </w:r>
    </w:p>
    <w:p w14:paraId="410354B7">
      <w:pPr>
        <w:widowControl/>
        <w:adjustRightInd w:val="0"/>
        <w:snapToGrid w:val="0"/>
        <w:spacing w:line="480" w:lineRule="auto"/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2</w:t>
      </w:r>
      <w:r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  <w:t>CAS Key Laboratory of Forest Ecology and Silviculture, Key Laboratory of Stable Isotope Techniques and Applications, Institute of Applied Ecology, Chinese Academy of Sciences, Shenyang 110016, China.</w:t>
      </w:r>
    </w:p>
    <w:p w14:paraId="37D5D26A">
      <w:pPr>
        <w:widowControl/>
        <w:adjustRightInd w:val="0"/>
        <w:snapToGrid w:val="0"/>
        <w:spacing w:line="480" w:lineRule="auto"/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3</w:t>
      </w:r>
      <w:r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Times New Roman" w:hAnsi="Times New Roman" w:eastAsia="GAMNI A+ Caecilia LT Std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Zhejiang Provincial Key Laboratory of Agricultural Resources and Environment, State Key Laboratory of Soil Pollution Control and Safety, College of Environmental and Resource Sciences, Zhejiang University, Hangzhou 310058, China</w:t>
      </w:r>
    </w:p>
    <w:p w14:paraId="20F5EF7F">
      <w:pPr>
        <w:widowControl/>
        <w:adjustRightInd w:val="0"/>
        <w:snapToGrid w:val="0"/>
        <w:spacing w:line="480" w:lineRule="auto"/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4</w:t>
      </w:r>
      <w:r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  <w:t>Institute of Bio- and Geosciences, Agrosphere (IBG-3), Forschungszentrum Jülich GmbH, 52425 Jülich, Germany</w:t>
      </w:r>
    </w:p>
    <w:p w14:paraId="15F19D73">
      <w:pPr>
        <w:widowControl/>
        <w:adjustRightInd w:val="0"/>
        <w:snapToGrid w:val="0"/>
        <w:spacing w:line="480" w:lineRule="auto"/>
        <w:rPr>
          <w:rFonts w:ascii="Times New Roman" w:hAnsi="Times New Roman" w:eastAsia="等线" w:cs="Times New Roman"/>
          <w:bCs/>
          <w:i/>
          <w:iCs/>
          <w:color w:val="000000" w:themeColor="text1"/>
          <w:sz w:val="24"/>
          <w:szCs w:val="21"/>
          <w:lang w:val="en-GB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Times New Roman" w:hAnsi="Times New Roman" w:eastAsia="宋体" w:cs="Times New Roman"/>
          <w:i/>
          <w:iCs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>5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:vertAlign w:val="superscript"/>
          <w:lang w:val="en-GB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standardContextual"/>
        </w:rPr>
        <w:t>Environment Centre Wales, Bangor University, Gwynedd, LL57 2UW, UK</w:t>
      </w:r>
    </w:p>
    <w:p w14:paraId="3ABB727B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bCs/>
          <w:i/>
          <w:iCs/>
          <w:sz w:val="24"/>
          <w:szCs w:val="24"/>
          <w:lang w:val="en-GB"/>
          <w14:ligatures w14:val="standardContextual"/>
        </w:rPr>
      </w:pPr>
    </w:p>
    <w:p w14:paraId="44239C1E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</w:pPr>
      <w:r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  <w:t>*Corresponding authors:</w:t>
      </w:r>
    </w:p>
    <w:p w14:paraId="25291706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</w:pPr>
      <w:r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  <w:t>Di Wu, professor</w:t>
      </w:r>
    </w:p>
    <w:p w14:paraId="3464F8C7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</w:pPr>
      <w:r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  <w:t xml:space="preserve">E-mail: </w:t>
      </w:r>
      <w:r>
        <w:rPr>
          <w:rFonts w:hint="eastAsia"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  <w:t>wudi@iae.ac.cn</w:t>
      </w:r>
    </w:p>
    <w:p w14:paraId="20A8BB98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bCs/>
          <w:sz w:val="24"/>
          <w:szCs w:val="24"/>
          <w14:ligatures w14:val="standardContextual"/>
        </w:rPr>
      </w:pPr>
      <w:r>
        <w:rPr>
          <w:rFonts w:ascii="Times New Roman" w:hAnsi="Times New Roman" w:eastAsia="宋体" w:cs="Times New Roman"/>
          <w:sz w:val="24"/>
          <w:szCs w:val="24"/>
          <w:lang w:val="en-GB"/>
          <w14:ligatures w14:val="standardContextual"/>
        </w:rPr>
        <w:t>Yong Li, Professor</w:t>
      </w:r>
    </w:p>
    <w:p w14:paraId="213FA65D">
      <w:pPr>
        <w:widowControl/>
        <w:adjustRightInd w:val="0"/>
        <w:snapToGrid w:val="0"/>
        <w:spacing w:line="480" w:lineRule="auto"/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</w:pPr>
      <w:r>
        <w:rPr>
          <w:rFonts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  <w:t xml:space="preserve">E-mail: </w:t>
      </w:r>
      <w:r>
        <w:rPr>
          <w:rFonts w:hint="eastAsia" w:ascii="Times New Roman" w:hAnsi="Times New Roman" w:eastAsia="宋体" w:cs="Times New Roman"/>
          <w:bCs/>
          <w:sz w:val="24"/>
          <w:szCs w:val="24"/>
          <w:lang w:val="en-GB"/>
          <w14:ligatures w14:val="standardContextual"/>
        </w:rPr>
        <w:t>liyongcn@zju.edu.cn</w:t>
      </w:r>
    </w:p>
    <w:p w14:paraId="4BD951AB">
      <w:pPr>
        <w:adjustRightInd w:val="0"/>
        <w:snapToGrid w:val="0"/>
        <w:spacing w:line="480" w:lineRule="auto"/>
        <w:rPr>
          <w:rFonts w:ascii="Times New Roman" w:hAnsi="Times New Roman" w:eastAsia="等线" w:cs="Times New Roman"/>
          <w:bCs/>
          <w:sz w:val="24"/>
          <w:szCs w:val="21"/>
          <w:lang w:val="en-GB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E36215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Figures and Tables</w:t>
      </w:r>
    </w:p>
    <w:p w14:paraId="57267A36">
      <w:pPr>
        <w:widowControl/>
        <w:spacing w:line="360" w:lineRule="auto"/>
        <w:jc w:val="center"/>
        <w:rPr>
          <w:rFonts w:hint="eastAsia"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3806190" cy="5180330"/>
            <wp:effectExtent l="0" t="0" r="3810" b="0"/>
            <wp:docPr id="49496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673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59267"/>
                    <a:stretch>
                      <a:fillRect/>
                    </a:stretch>
                  </pic:blipFill>
                  <pic:spPr>
                    <a:xfrm>
                      <a:off x="0" y="0"/>
                      <a:ext cx="3809748" cy="51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69A7">
      <w:pPr>
        <w:widowControl/>
        <w:spacing w:line="480" w:lineRule="auto"/>
        <w:ind w:left="480" w:hanging="480" w:hangingChars="20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sz w:val="24"/>
        </w:rPr>
        <w:t>Fig. S1.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Study site map</w:t>
      </w:r>
    </w:p>
    <w:p w14:paraId="082E6F4D">
      <w:pPr>
        <w:spacing w:line="480" w:lineRule="auto"/>
        <w:ind w:left="480" w:hanging="480" w:hangingChars="200"/>
        <w:jc w:val="left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hint="eastAsia" w:ascii="Times New Roman" w:hAnsi="Times New Roman" w:cs="Times New Roman"/>
          <w:sz w:val="24"/>
          <w14:ligatures w14:val="standardContextual"/>
        </w:rPr>
        <w:drawing>
          <wp:inline distT="0" distB="0" distL="0" distR="0">
            <wp:extent cx="5274310" cy="7468235"/>
            <wp:effectExtent l="0" t="0" r="2540" b="0"/>
            <wp:docPr id="1918846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4696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</w:rPr>
        <w:cr/>
      </w:r>
      <w:r>
        <w:rPr>
          <w:rFonts w:hint="eastAsia" w:ascii="Times New Roman" w:hAnsi="Times New Roman" w:cs="Times New Roman"/>
          <w:sz w:val="24"/>
        </w:rPr>
        <w:t xml:space="preserve">Fig. S2. </w:t>
      </w:r>
      <w:r>
        <w:rPr>
          <w:rFonts w:hint="eastAsia" w:ascii="Times New Roman" w:hAnsi="Times New Roman" w:cs="Times New Roman"/>
          <w:b/>
          <w:bCs/>
          <w:sz w:val="24"/>
        </w:rPr>
        <w:t>Effects of warming on soil properties at different sampling site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Three replicates of one soil sample were used for warming incubations. (aT) represents the local average annual temperature, and (eT) represents the elevated temperature (4 </w:t>
      </w:r>
      <w:r>
        <w:rPr>
          <w:rFonts w:ascii="Times New Roman" w:hAnsi="Times New Roman" w:cs="Times New Roman"/>
          <w:sz w:val="24"/>
        </w:rPr>
        <w:t>℃</w:t>
      </w:r>
      <w:r>
        <w:rPr>
          <w:rFonts w:hint="eastAsia" w:ascii="Times New Roman" w:hAnsi="Times New Roman" w:cs="Times New Roman"/>
          <w:sz w:val="24"/>
        </w:rPr>
        <w:t xml:space="preserve"> above the average annual temperature). </w:t>
      </w:r>
      <w:bookmarkStart w:id="2" w:name="OLE_LINK8"/>
      <w:r>
        <w:rPr>
          <w:rFonts w:hint="eastAsia" w:ascii="Times New Roman" w:hAnsi="Times New Roman" w:cs="Times New Roman"/>
          <w:sz w:val="24"/>
        </w:rPr>
        <w:t xml:space="preserve">Sample locations: Heilongjiang (Hj), Shandong (Sd), Jiangsu (Js), Zhejiang (Zj), Guangdong (Gd), and Hainan (Hn). </w:t>
      </w:r>
      <w:bookmarkEnd w:id="2"/>
      <w:r>
        <w:rPr>
          <w:rFonts w:hint="eastAsia" w:ascii="Times New Roman" w:hAnsi="Times New Roman" w:cs="Times New Roman"/>
          <w:sz w:val="24"/>
        </w:rPr>
        <w:t xml:space="preserve">The level of significance is determined by </w:t>
      </w:r>
      <w:r>
        <w:rPr>
          <w:rFonts w:ascii="Times New Roman" w:hAnsi="Times New Roman" w:cs="Times New Roman"/>
          <w:sz w:val="24"/>
        </w:rPr>
        <w:t xml:space="preserve">a </w:t>
      </w:r>
      <w:r>
        <w:rPr>
          <w:rFonts w:hint="eastAsia" w:ascii="Times New Roman" w:hAnsi="Times New Roman" w:cs="Times New Roman"/>
          <w:sz w:val="24"/>
        </w:rPr>
        <w:t xml:space="preserve">two-sided t-test; </w:t>
      </w:r>
      <w:r>
        <w:rPr>
          <w:rFonts w:ascii="Times New Roman" w:hAnsi="Times New Roman" w:cs="Times New Roman"/>
          <w:bCs/>
          <w:sz w:val="24"/>
          <w:lang w:val="en-GB"/>
        </w:rPr>
        <w:t>*</w:t>
      </w:r>
      <w:r>
        <w:rPr>
          <w:rFonts w:hint="eastAsia" w:ascii="Times New Roman" w:hAnsi="Times New Roman" w:cs="Times New Roman"/>
          <w:bCs/>
          <w:i/>
          <w:iCs/>
          <w:sz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lang w:val="en-GB"/>
        </w:rPr>
        <w:t xml:space="preserve"> &lt; 0.05, **</w:t>
      </w:r>
      <w:r>
        <w:rPr>
          <w:rFonts w:hint="eastAsia" w:ascii="Times New Roman" w:hAnsi="Times New Roman" w:cs="Times New Roman"/>
          <w:bCs/>
          <w:i/>
          <w:iCs/>
          <w:sz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lang w:val="en-GB"/>
        </w:rPr>
        <w:t xml:space="preserve"> &lt; 0.01 and ***</w:t>
      </w:r>
      <w:r>
        <w:rPr>
          <w:rFonts w:hint="eastAsia" w:ascii="Times New Roman" w:hAnsi="Times New Roman" w:cs="Times New Roman"/>
          <w:bCs/>
          <w:i/>
          <w:iCs/>
          <w:sz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lang w:val="en-GB"/>
        </w:rPr>
        <w:t xml:space="preserve"> &lt; 0.001.</w:t>
      </w:r>
    </w:p>
    <w:p w14:paraId="0F8AF2A9">
      <w:pPr>
        <w:spacing w:line="480" w:lineRule="auto"/>
        <w:ind w:left="420" w:leftChars="200"/>
        <w:rPr>
          <w:rFonts w:ascii="Times New Roman" w:hAnsi="Times New Roman" w:cs="Times New Roman"/>
          <w:bCs/>
          <w:sz w:val="24"/>
          <w:lang w:val="en-GB"/>
        </w:rPr>
      </w:pPr>
    </w:p>
    <w:p w14:paraId="79136D91">
      <w:pPr>
        <w:spacing w:line="480" w:lineRule="auto"/>
        <w:ind w:left="420" w:leftChars="200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166995" cy="4398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43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</w:rPr>
        <w:t xml:space="preserve">Fig. S3. </w:t>
      </w:r>
      <w:r>
        <w:rPr>
          <w:rFonts w:ascii="Times New Roman" w:hAnsi="Times New Roman" w:cs="Times New Roman"/>
          <w:b/>
          <w:bCs/>
          <w:sz w:val="24"/>
        </w:rPr>
        <w:t>Heatmap showing Pearson correlation coefficients between warming response ratios of denitrification-derived N</w:t>
      </w:r>
      <w:r>
        <w:rPr>
          <w:rFonts w:hint="eastAsia" w:ascii="Times New Roman" w:hAnsi="Times New Roman" w:cs="Times New Roman"/>
          <w:b/>
          <w:bCs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</w:rPr>
        <w:t>O production, bacterial/fungal denitrification rates, and key soil abiotic and biotic factors across 18 paddy soils.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Color intensity and circle size are proportional to the correlation coefficients (red = positive, blue = negative). Significance levels are indicated as </w:t>
      </w:r>
      <w:r>
        <w:rPr>
          <w:rFonts w:ascii="Times New Roman" w:hAnsi="Times New Roman" w:cs="Times New Roman"/>
          <w:bCs/>
          <w:sz w:val="24"/>
          <w:lang w:val="en-GB"/>
        </w:rPr>
        <w:t>*</w:t>
      </w:r>
      <w:r>
        <w:rPr>
          <w:rFonts w:hint="eastAsia" w:ascii="Times New Roman" w:hAnsi="Times New Roman" w:cs="Times New Roman"/>
          <w:bCs/>
          <w:i/>
          <w:iCs/>
          <w:sz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lang w:val="en-GB"/>
        </w:rPr>
        <w:t xml:space="preserve"> &lt; 0.05, **</w:t>
      </w:r>
      <w:r>
        <w:rPr>
          <w:rFonts w:hint="eastAsia" w:ascii="Times New Roman" w:hAnsi="Times New Roman" w:cs="Times New Roman"/>
          <w:bCs/>
          <w:i/>
          <w:iCs/>
          <w:sz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lang w:val="en-GB"/>
        </w:rPr>
        <w:t xml:space="preserve"> &lt; 0.01 and ***</w:t>
      </w:r>
      <w:r>
        <w:rPr>
          <w:rFonts w:hint="eastAsia" w:ascii="Times New Roman" w:hAnsi="Times New Roman" w:cs="Times New Roman"/>
          <w:bCs/>
          <w:i/>
          <w:iCs/>
          <w:sz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lang w:val="en-GB"/>
        </w:rPr>
        <w:t xml:space="preserve"> &lt; 0.001.</w:t>
      </w:r>
    </w:p>
    <w:p w14:paraId="1EC4B54C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1E1B1B9">
      <w:pPr>
        <w:widowControl/>
        <w:spacing w:line="480" w:lineRule="auto"/>
        <w:rPr>
          <w:rFonts w:ascii="Times New Roman" w:hAnsi="Times New Roman" w:eastAsia="宋体" w:cs="Times New Roman"/>
          <w:b/>
          <w:bCs/>
          <w:sz w:val="22"/>
          <w:szCs w:val="24"/>
        </w:rPr>
      </w:pPr>
    </w:p>
    <w:p w14:paraId="255187ED">
      <w:pPr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b/>
          <w:bCs/>
          <w:sz w:val="22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sz w:val="22"/>
          <w:szCs w:val="24"/>
        </w:rPr>
        <w:t>S</w:t>
      </w:r>
      <w:r>
        <w:rPr>
          <w:rFonts w:ascii="Times New Roman" w:hAnsi="Times New Roman" w:eastAsia="宋体" w:cs="Times New Roman"/>
          <w:b/>
          <w:bCs/>
          <w:sz w:val="22"/>
          <w:szCs w:val="24"/>
        </w:rPr>
        <w:t xml:space="preserve">1. </w:t>
      </w:r>
      <w:r>
        <w:rPr>
          <w:rFonts w:ascii="Times New Roman" w:hAnsi="Times New Roman" w:eastAsia="宋体" w:cs="Times New Roman"/>
          <w:sz w:val="22"/>
          <w:szCs w:val="24"/>
        </w:rPr>
        <w:t>Detailed information on soil sampling sites and soil texture</w:t>
      </w:r>
    </w:p>
    <w:p w14:paraId="43D84BA4">
      <w:pPr>
        <w:rPr>
          <w:rFonts w:ascii="Times New Roman" w:hAnsi="Times New Roman" w:eastAsia="宋体" w:cs="Times New Roman"/>
          <w:b/>
          <w:bCs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326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1720"/>
        <w:gridCol w:w="2140"/>
        <w:gridCol w:w="1940"/>
        <w:gridCol w:w="3000"/>
        <w:gridCol w:w="1060"/>
        <w:gridCol w:w="840"/>
        <w:gridCol w:w="840"/>
      </w:tblGrid>
      <w:tr w14:paraId="04CE3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172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D8189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bookmarkStart w:id="3" w:name="OLE_LINK1"/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Sampling</w:t>
            </w:r>
          </w:p>
          <w:p w14:paraId="1833BC76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72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D1B46A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Site abbreviations</w:t>
            </w:r>
          </w:p>
        </w:tc>
        <w:tc>
          <w:tcPr>
            <w:tcW w:w="214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030D2A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Mean-</w:t>
            </w:r>
          </w:p>
          <w:p w14:paraId="631CE91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annual precipitation (mm)</w:t>
            </w:r>
          </w:p>
        </w:tc>
        <w:tc>
          <w:tcPr>
            <w:tcW w:w="194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27C3E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 xml:space="preserve">Mean-annual temperature </w:t>
            </w:r>
          </w:p>
          <w:p w14:paraId="7B92F12B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(℃)</w:t>
            </w:r>
          </w:p>
        </w:tc>
        <w:tc>
          <w:tcPr>
            <w:tcW w:w="300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3AFBAD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Coordinates</w:t>
            </w:r>
          </w:p>
        </w:tc>
        <w:tc>
          <w:tcPr>
            <w:tcW w:w="106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D5FBD5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84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2AE801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Silt</w:t>
            </w:r>
          </w:p>
        </w:tc>
        <w:tc>
          <w:tcPr>
            <w:tcW w:w="84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134F1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Clay</w:t>
            </w:r>
          </w:p>
        </w:tc>
      </w:tr>
      <w:tr w14:paraId="16BCAB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72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0AFA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Heilongjiang</w:t>
            </w:r>
          </w:p>
        </w:tc>
        <w:tc>
          <w:tcPr>
            <w:tcW w:w="172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3F174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HJ</w:t>
            </w:r>
          </w:p>
        </w:tc>
        <w:tc>
          <w:tcPr>
            <w:tcW w:w="214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6C9319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94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54089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DB437B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45°31′N,126°51′E</w:t>
            </w:r>
          </w:p>
        </w:tc>
        <w:tc>
          <w:tcPr>
            <w:tcW w:w="106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B8946F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4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233C7E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D48343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0</w:t>
            </w:r>
          </w:p>
        </w:tc>
      </w:tr>
      <w:tr w14:paraId="696B17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00F27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Shandong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635DE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16657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3FA4C7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A14DA0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35°54′N,116°18′E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2B92D1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AC55C2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62DAA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4</w:t>
            </w:r>
          </w:p>
        </w:tc>
      </w:tr>
      <w:tr w14:paraId="4168F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612F02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Jiangsu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554A46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JS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0F4482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C40A5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CD80A6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32°48′N,118°37′E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CD405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2B0489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5999AB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4</w:t>
            </w:r>
          </w:p>
        </w:tc>
      </w:tr>
      <w:tr w14:paraId="61D6A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6A9631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Zhejiang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10D4A7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ZJ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BAF870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D9BE80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6DF7D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29°2′N,119°1′E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CA981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38F2F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CE7E7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</w:t>
            </w:r>
          </w:p>
        </w:tc>
      </w:tr>
      <w:tr w14:paraId="7E67A7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12B79F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Guangdong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1AF068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GD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858E9D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BCFCC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3AD6D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22°24′N,112°25′E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50701C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E9CDFE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9071B9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0</w:t>
            </w:r>
          </w:p>
        </w:tc>
      </w:tr>
      <w:tr w14:paraId="5C4544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72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A47052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Hainan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75EAB4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B9F155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94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6BF99B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0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53A432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19°53′N,110°37′E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CEF9CA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519C3D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E3B28B">
            <w:pPr>
              <w:widowControl/>
              <w:jc w:val="left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3</w:t>
            </w:r>
          </w:p>
        </w:tc>
      </w:tr>
      <w:bookmarkEnd w:id="3"/>
    </w:tbl>
    <w:p w14:paraId="446743C7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3C647E85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4EAC39DC">
      <w:pPr>
        <w:spacing w:line="480" w:lineRule="auto"/>
        <w:rPr>
          <w:rFonts w:ascii="Times New Roman" w:hAnsi="Times New Roman" w:cs="Times New Roman"/>
          <w:b/>
          <w:sz w:val="24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4F7E85A8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kern w:val="24"/>
          <w:sz w:val="22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24"/>
          <w:sz w:val="22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24"/>
          <w:sz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Soil properties before incubation</w:t>
      </w:r>
    </w:p>
    <w:p w14:paraId="31FB2A5B">
      <w:pPr>
        <w:rPr>
          <w:rFonts w:ascii="Times New Roman" w:hAnsi="Times New Roman" w:eastAsia="宋体" w:cs="Times New Roman"/>
          <w:color w:val="000000" w:themeColor="text1"/>
          <w:kern w:val="24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445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00"/>
        <w:gridCol w:w="2040"/>
        <w:gridCol w:w="1300"/>
        <w:gridCol w:w="1300"/>
        <w:gridCol w:w="2165"/>
        <w:gridCol w:w="1418"/>
        <w:gridCol w:w="1134"/>
        <w:gridCol w:w="1134"/>
        <w:gridCol w:w="992"/>
        <w:gridCol w:w="1276"/>
      </w:tblGrid>
      <w:tr w14:paraId="62E7A9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F9033F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bookmarkStart w:id="4" w:name="_Hlk215767143"/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Sampling site</w:t>
            </w:r>
          </w:p>
        </w:tc>
        <w:tc>
          <w:tcPr>
            <w:tcW w:w="204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FE80F9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Water content</w:t>
            </w:r>
          </w:p>
        </w:tc>
        <w:tc>
          <w:tcPr>
            <w:tcW w:w="130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A69851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pH</w:t>
            </w:r>
          </w:p>
        </w:tc>
        <w:tc>
          <w:tcPr>
            <w:tcW w:w="130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2E1651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SOC</w:t>
            </w:r>
          </w:p>
        </w:tc>
        <w:tc>
          <w:tcPr>
            <w:tcW w:w="2165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1B18C9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Field moisture capacity</w:t>
            </w:r>
          </w:p>
        </w:tc>
        <w:tc>
          <w:tcPr>
            <w:tcW w:w="1418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92BE7F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NO</w:t>
            </w:r>
            <w:r>
              <w:rPr>
                <w:rFonts w:ascii="Times New Roman" w:hAnsi="Times New Roman" w:eastAsia="宋体" w:cs="Times New Roman"/>
                <w:color w:val="000000"/>
                <w:position w:val="-5"/>
                <w:sz w:val="20"/>
                <w:szCs w:val="20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position w:val="6"/>
                <w:sz w:val="20"/>
                <w:szCs w:val="20"/>
                <w:vertAlign w:val="superscript"/>
              </w:rPr>
              <w:t>−</w:t>
            </w:r>
          </w:p>
        </w:tc>
        <w:tc>
          <w:tcPr>
            <w:tcW w:w="1134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A2E221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NH</w:t>
            </w:r>
            <w:r>
              <w:rPr>
                <w:rFonts w:ascii="Times New Roman" w:hAnsi="Times New Roman" w:eastAsia="宋体" w:cs="Times New Roman"/>
                <w:color w:val="000000"/>
                <w:position w:val="-5"/>
                <w:sz w:val="20"/>
                <w:szCs w:val="20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position w:val="6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134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C9FD95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TN</w:t>
            </w:r>
          </w:p>
        </w:tc>
        <w:tc>
          <w:tcPr>
            <w:tcW w:w="992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11FEB0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TC</w:t>
            </w:r>
          </w:p>
        </w:tc>
        <w:tc>
          <w:tcPr>
            <w:tcW w:w="1276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64A3AB"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AP</w:t>
            </w:r>
          </w:p>
        </w:tc>
      </w:tr>
      <w:bookmarkEnd w:id="4"/>
      <w:tr w14:paraId="289749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4BECBF">
            <w:pPr>
              <w:widowControl/>
              <w:spacing w:line="480" w:lineRule="auto"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HJ</w:t>
            </w:r>
          </w:p>
        </w:tc>
        <w:tc>
          <w:tcPr>
            <w:tcW w:w="204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37C6439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0.33</w:t>
            </w:r>
          </w:p>
        </w:tc>
        <w:tc>
          <w:tcPr>
            <w:tcW w:w="130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C1CAAF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5.33</w:t>
            </w:r>
          </w:p>
        </w:tc>
        <w:tc>
          <w:tcPr>
            <w:tcW w:w="1300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02D8744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0.012</w:t>
            </w:r>
          </w:p>
        </w:tc>
        <w:tc>
          <w:tcPr>
            <w:tcW w:w="2165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4F2268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0.65</w:t>
            </w:r>
          </w:p>
        </w:tc>
        <w:tc>
          <w:tcPr>
            <w:tcW w:w="1418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18BDF01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24.17</w:t>
            </w:r>
          </w:p>
        </w:tc>
        <w:tc>
          <w:tcPr>
            <w:tcW w:w="1134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9B0F01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3.28</w:t>
            </w:r>
          </w:p>
        </w:tc>
        <w:tc>
          <w:tcPr>
            <w:tcW w:w="1134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3F833C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0.12</w:t>
            </w:r>
          </w:p>
        </w:tc>
        <w:tc>
          <w:tcPr>
            <w:tcW w:w="992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03E6DEF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1.62</w:t>
            </w:r>
          </w:p>
        </w:tc>
        <w:tc>
          <w:tcPr>
            <w:tcW w:w="1276" w:type="dxa"/>
            <w:tcBorders>
              <w:top w:val="single" w:color="000000" w:sz="8" w:space="0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B05624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34.75</w:t>
            </w:r>
          </w:p>
        </w:tc>
      </w:tr>
      <w:tr w14:paraId="78F5B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E5F78F">
            <w:pPr>
              <w:widowControl/>
              <w:spacing w:line="480" w:lineRule="auto"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SD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6756F81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0E77C38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7.28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395B91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0.010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1EB4C8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AE48DD8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38.24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D22826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12.48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1FF117F6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F3105D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3.68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16BA0244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32.97</w:t>
            </w:r>
          </w:p>
        </w:tc>
      </w:tr>
      <w:tr w14:paraId="7737D3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DE2D0E">
            <w:pPr>
              <w:widowControl/>
              <w:spacing w:line="480" w:lineRule="auto"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JS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377318F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591ECB6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5.18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A32DD4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0.012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6C60D558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9E5934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15.20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74F931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2.95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2CB793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2F6A106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A8C662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32.29</w:t>
            </w:r>
          </w:p>
        </w:tc>
      </w:tr>
      <w:tr w14:paraId="4B4455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93CDA">
            <w:pPr>
              <w:widowControl/>
              <w:spacing w:line="480" w:lineRule="auto"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ZJ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646033F6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9B64A1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4.39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146545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0.014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21F4A1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56AAAE0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71.80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82A2EA4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10.29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54C0631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009683F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952098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37.74</w:t>
            </w:r>
          </w:p>
        </w:tc>
      </w:tr>
      <w:tr w14:paraId="3AFCB4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9537A6">
            <w:pPr>
              <w:widowControl/>
              <w:spacing w:line="480" w:lineRule="auto"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GD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284A1B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53D9F9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5.50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6820F63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0.014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39388C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5DF4305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75.17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BEF237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7.94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03160D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15D818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1B3E2AC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35.24</w:t>
            </w:r>
          </w:p>
        </w:tc>
      </w:tr>
      <w:tr w14:paraId="736EA1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0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A149D5">
            <w:pPr>
              <w:widowControl/>
              <w:spacing w:line="480" w:lineRule="auto"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59A1A44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0.23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3EE6AC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4.25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2C8370D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0.011</w:t>
            </w:r>
          </w:p>
        </w:tc>
        <w:tc>
          <w:tcPr>
            <w:tcW w:w="2165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98BECE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0.60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180D0243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31.86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61C86B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4.56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F6964D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0.14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194F3D3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1.60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12" w:space="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0FEC330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24"/>
                <w:sz w:val="22"/>
              </w:rPr>
              <w:t>31.72</w:t>
            </w:r>
          </w:p>
        </w:tc>
      </w:tr>
    </w:tbl>
    <w:p w14:paraId="0A403973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27B39EFD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665D8D5F">
      <w:pPr>
        <w:spacing w:line="480" w:lineRule="auto"/>
        <w:rPr>
          <w:rFonts w:ascii="Times New Roman" w:hAnsi="Times New Roman" w:cs="Times New Roman"/>
          <w:b/>
          <w:sz w:val="22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3C20DD11">
      <w:pPr>
        <w:widowControl/>
        <w:spacing w:line="480" w:lineRule="auto"/>
        <w:jc w:val="left"/>
        <w:rPr>
          <w:rFonts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bookmarkStart w:id="5" w:name="_Hlk215773957"/>
      <w:r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S3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Incubation temperatures applied to each paddy soil during the 28-day pre-incubation</w:t>
      </w:r>
    </w:p>
    <w:bookmarkEnd w:id="5"/>
    <w:tbl>
      <w:tblPr>
        <w:tblStyle w:val="17"/>
        <w:tblW w:w="0" w:type="auto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2"/>
        <w:gridCol w:w="3164"/>
        <w:gridCol w:w="3183"/>
      </w:tblGrid>
      <w:tr w14:paraId="7CAF107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tcBorders>
              <w:top w:val="single" w:color="auto" w:sz="12" w:space="0"/>
            </w:tcBorders>
            <w:vAlign w:val="center"/>
          </w:tcPr>
          <w:p w14:paraId="5F6C9776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Province</w:t>
            </w:r>
          </w:p>
        </w:tc>
        <w:tc>
          <w:tcPr>
            <w:tcW w:w="0" w:type="auto"/>
            <w:tcBorders>
              <w:top w:val="single" w:color="auto" w:sz="12" w:space="0"/>
            </w:tcBorders>
            <w:vAlign w:val="center"/>
          </w:tcPr>
          <w:p w14:paraId="63FB7E14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Ambient temperature (AT, °C)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FFFFFF" w:themeColor="background1" w:sz="12" w:space="0"/>
            </w:tcBorders>
            <w:vAlign w:val="center"/>
          </w:tcPr>
          <w:p w14:paraId="4220BAE7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Elevated temperature (ET, °C)</w:t>
            </w:r>
          </w:p>
        </w:tc>
      </w:tr>
      <w:tr w14:paraId="75F40B4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12" w:space="0"/>
            </w:tcBorders>
            <w:vAlign w:val="center"/>
          </w:tcPr>
          <w:p w14:paraId="6318DD82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Heilongjiang</w:t>
            </w:r>
          </w:p>
        </w:tc>
        <w:tc>
          <w:tcPr>
            <w:tcW w:w="0" w:type="auto"/>
            <w:tcBorders>
              <w:top w:val="single" w:color="auto" w:sz="12" w:space="0"/>
            </w:tcBorders>
            <w:vAlign w:val="center"/>
          </w:tcPr>
          <w:p w14:paraId="4BF6AA5A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  <w:tcBorders>
              <w:top w:val="single" w:color="auto" w:sz="12" w:space="0"/>
            </w:tcBorders>
            <w:vAlign w:val="center"/>
          </w:tcPr>
          <w:p w14:paraId="50F22EA3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7B7661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E61FB30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Shandong</w:t>
            </w:r>
          </w:p>
        </w:tc>
        <w:tc>
          <w:tcPr>
            <w:tcW w:w="0" w:type="auto"/>
            <w:vAlign w:val="center"/>
          </w:tcPr>
          <w:p w14:paraId="7FEE2A17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0" w:type="auto"/>
            <w:vAlign w:val="center"/>
          </w:tcPr>
          <w:p w14:paraId="6ED1A366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 w14:paraId="39A5B0A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0782EB02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Jiangsu</w:t>
            </w:r>
          </w:p>
        </w:tc>
        <w:tc>
          <w:tcPr>
            <w:tcW w:w="0" w:type="auto"/>
            <w:vAlign w:val="center"/>
          </w:tcPr>
          <w:p w14:paraId="447E6FB0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0" w:type="auto"/>
            <w:vAlign w:val="center"/>
          </w:tcPr>
          <w:p w14:paraId="418F831C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355DB67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476A43A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Zhejiang</w:t>
            </w:r>
          </w:p>
        </w:tc>
        <w:tc>
          <w:tcPr>
            <w:tcW w:w="0" w:type="auto"/>
            <w:vAlign w:val="center"/>
          </w:tcPr>
          <w:p w14:paraId="76870954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0" w:type="auto"/>
            <w:vAlign w:val="center"/>
          </w:tcPr>
          <w:p w14:paraId="357DC790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</w:tr>
      <w:tr w14:paraId="5918DF4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72D637E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Guangdong</w:t>
            </w:r>
          </w:p>
        </w:tc>
        <w:tc>
          <w:tcPr>
            <w:tcW w:w="0" w:type="auto"/>
            <w:vAlign w:val="center"/>
          </w:tcPr>
          <w:p w14:paraId="534ED36E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0" w:type="auto"/>
            <w:vAlign w:val="center"/>
          </w:tcPr>
          <w:p w14:paraId="12120A11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</w:tr>
      <w:tr w14:paraId="3CB3CD3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bottom w:val="single" w:color="auto" w:sz="12" w:space="0"/>
            </w:tcBorders>
            <w:vAlign w:val="center"/>
          </w:tcPr>
          <w:p w14:paraId="2A39997B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Hainan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vAlign w:val="center"/>
          </w:tcPr>
          <w:p w14:paraId="7EC1C77D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vAlign w:val="center"/>
          </w:tcPr>
          <w:p w14:paraId="6B0F155F">
            <w:pPr>
              <w:pStyle w:val="35"/>
              <w:spacing w:before="100" w:beforeAutospacing="1" w:after="100" w:afterAutospacing="1" w:line="360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</w:tr>
    </w:tbl>
    <w:p w14:paraId="45FD96F8">
      <w:pPr>
        <w:widowControl/>
        <w:spacing w:line="480" w:lineRule="auto"/>
        <w:jc w:val="left"/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br w:type="page"/>
      </w:r>
    </w:p>
    <w:p w14:paraId="427A53FE">
      <w:pPr>
        <w:widowControl/>
        <w:spacing w:line="480" w:lineRule="auto"/>
        <w:jc w:val="left"/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 w:val="22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Primer sets and thermal profile for qPCR analysis</w:t>
      </w:r>
    </w:p>
    <w:tbl>
      <w:tblPr>
        <w:tblStyle w:val="17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1561"/>
        <w:gridCol w:w="2928"/>
        <w:gridCol w:w="8909"/>
        <w:gridCol w:w="1027"/>
      </w:tblGrid>
      <w:tr w14:paraId="0527C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 w14:paraId="69F5160E"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Gene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 w14:paraId="7A5C0EAB"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Primer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 w14:paraId="38ABB26E"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Sequence 5’-3’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 w14:paraId="2DE8E6A0"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Thermal cycling conditions 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 w14:paraId="5AE45899">
            <w:pPr>
              <w:widowControl/>
              <w:jc w:val="center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Reference</w:t>
            </w:r>
          </w:p>
        </w:tc>
      </w:tr>
      <w:tr w14:paraId="2CC00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restart"/>
            <w:tcBorders>
              <w:top w:val="single" w:color="auto" w:sz="6" w:space="0"/>
            </w:tcBorders>
            <w:noWrap/>
            <w:vAlign w:val="center"/>
          </w:tcPr>
          <w:p w14:paraId="61601E79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nirS</w:t>
            </w:r>
          </w:p>
        </w:tc>
        <w:tc>
          <w:tcPr>
            <w:tcW w:w="0" w:type="auto"/>
            <w:tcBorders>
              <w:top w:val="single" w:color="auto" w:sz="6" w:space="0"/>
            </w:tcBorders>
            <w:noWrap/>
            <w:vAlign w:val="center"/>
          </w:tcPr>
          <w:p w14:paraId="3F7DF414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nirS-cd3aF</w:t>
            </w:r>
          </w:p>
        </w:tc>
        <w:tc>
          <w:tcPr>
            <w:tcW w:w="0" w:type="auto"/>
            <w:tcBorders>
              <w:top w:val="single" w:color="auto" w:sz="6" w:space="0"/>
            </w:tcBorders>
            <w:noWrap/>
            <w:vAlign w:val="center"/>
          </w:tcPr>
          <w:p w14:paraId="5E098139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GTSAACGTSAAGGARACSGG</w:t>
            </w:r>
          </w:p>
        </w:tc>
        <w:tc>
          <w:tcPr>
            <w:tcW w:w="0" w:type="auto"/>
            <w:vMerge w:val="restart"/>
            <w:tcBorders>
              <w:top w:val="single" w:color="auto" w:sz="6" w:space="0"/>
            </w:tcBorders>
            <w:vAlign w:val="center"/>
          </w:tcPr>
          <w:p w14:paraId="2DAF5F5E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94 °C for 2 min - × 1 cycle; 94 °C for 30 s, 51 °C for 1 min, 72 °C for 1 min - × 35 cycles; 72 °C for 10min</w:t>
            </w:r>
          </w:p>
        </w:tc>
        <w:tc>
          <w:tcPr>
            <w:tcW w:w="0" w:type="auto"/>
            <w:vMerge w:val="restart"/>
            <w:tcBorders>
              <w:top w:val="single" w:color="auto" w:sz="6" w:space="0"/>
            </w:tcBorders>
            <w:noWrap/>
            <w:vAlign w:val="center"/>
          </w:tcPr>
          <w:p w14:paraId="3BEA760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[1]</w:t>
            </w:r>
          </w:p>
        </w:tc>
      </w:tr>
      <w:tr w14:paraId="26AA61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continue"/>
            <w:vAlign w:val="center"/>
          </w:tcPr>
          <w:p w14:paraId="5CD79409">
            <w:pPr>
              <w:widowControl/>
              <w:jc w:val="left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5556FADB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nirS-R3cd</w:t>
            </w:r>
          </w:p>
        </w:tc>
        <w:tc>
          <w:tcPr>
            <w:tcW w:w="0" w:type="auto"/>
            <w:noWrap/>
            <w:vAlign w:val="center"/>
          </w:tcPr>
          <w:p w14:paraId="04E27862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GASTTCGGRTGSGTCTTGA</w:t>
            </w:r>
          </w:p>
        </w:tc>
        <w:tc>
          <w:tcPr>
            <w:tcW w:w="0" w:type="auto"/>
            <w:vMerge w:val="continue"/>
            <w:vAlign w:val="center"/>
          </w:tcPr>
          <w:p w14:paraId="7F30EC63"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2E9994A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7FB6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restart"/>
            <w:noWrap/>
            <w:vAlign w:val="center"/>
          </w:tcPr>
          <w:p w14:paraId="715E1AFD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nirK</w:t>
            </w:r>
          </w:p>
        </w:tc>
        <w:tc>
          <w:tcPr>
            <w:tcW w:w="0" w:type="auto"/>
            <w:noWrap/>
            <w:vAlign w:val="center"/>
          </w:tcPr>
          <w:p w14:paraId="423E457C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nirK-FlaCu</w:t>
            </w:r>
          </w:p>
        </w:tc>
        <w:tc>
          <w:tcPr>
            <w:tcW w:w="0" w:type="auto"/>
            <w:noWrap/>
            <w:vAlign w:val="center"/>
          </w:tcPr>
          <w:p w14:paraId="69FC7D56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ATCATGGTSCTGCCGCG</w:t>
            </w:r>
          </w:p>
        </w:tc>
        <w:tc>
          <w:tcPr>
            <w:tcW w:w="0" w:type="auto"/>
            <w:vMerge w:val="restart"/>
            <w:vAlign w:val="center"/>
          </w:tcPr>
          <w:p w14:paraId="16613D89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94 °C for 3 min - × 1 cycle; 94 °C for 30 s, 57 °C for 1 min, 73 °C for 1 min - × 35 cycles; 75 °C for 10min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2B827CD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[2]</w:t>
            </w:r>
          </w:p>
        </w:tc>
      </w:tr>
      <w:tr w14:paraId="0B276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continue"/>
            <w:vAlign w:val="center"/>
          </w:tcPr>
          <w:p w14:paraId="1370717B">
            <w:pPr>
              <w:widowControl/>
              <w:jc w:val="left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5BBE2B56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nirK-R3Cu-GCb</w:t>
            </w:r>
          </w:p>
        </w:tc>
        <w:tc>
          <w:tcPr>
            <w:tcW w:w="0" w:type="auto"/>
            <w:noWrap/>
            <w:vAlign w:val="center"/>
          </w:tcPr>
          <w:p w14:paraId="2991702A">
            <w:pPr>
              <w:widowControl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GCCTCGATCAGRTTGTGGTT</w:t>
            </w:r>
          </w:p>
        </w:tc>
        <w:tc>
          <w:tcPr>
            <w:tcW w:w="0" w:type="auto"/>
            <w:vMerge w:val="continue"/>
            <w:vAlign w:val="center"/>
          </w:tcPr>
          <w:p w14:paraId="4B88C0A4"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853350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C9B1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restart"/>
            <w:noWrap/>
            <w:vAlign w:val="center"/>
          </w:tcPr>
          <w:p w14:paraId="018E65BD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Fungal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 xml:space="preserve"> nirK</w:t>
            </w:r>
          </w:p>
        </w:tc>
        <w:tc>
          <w:tcPr>
            <w:tcW w:w="0" w:type="auto"/>
            <w:noWrap/>
            <w:vAlign w:val="center"/>
          </w:tcPr>
          <w:p w14:paraId="4EE1AB5F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nirKfF</w:t>
            </w:r>
          </w:p>
        </w:tc>
        <w:tc>
          <w:tcPr>
            <w:tcW w:w="0" w:type="auto"/>
            <w:noWrap/>
            <w:vAlign w:val="center"/>
          </w:tcPr>
          <w:p w14:paraId="42783FB1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TACGGGCTCATGtaygtnsarcc</w:t>
            </w:r>
          </w:p>
        </w:tc>
        <w:tc>
          <w:tcPr>
            <w:tcW w:w="0" w:type="auto"/>
            <w:vMerge w:val="restart"/>
            <w:vAlign w:val="center"/>
          </w:tcPr>
          <w:p w14:paraId="1A3048FD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95°C, 5 min- × 1 cycle; 95°C for 30 s, 61.5°C for 30 s, 72°C for 15 s- × 35 cycle; 72°C for 10 min- × 1 cycle;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496CC3AA">
            <w:pPr>
              <w:widowControl/>
              <w:jc w:val="center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[3]</w:t>
            </w:r>
          </w:p>
        </w:tc>
      </w:tr>
      <w:tr w14:paraId="4C1F1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continue"/>
            <w:vAlign w:val="center"/>
          </w:tcPr>
          <w:p w14:paraId="157F1B1F">
            <w:pPr>
              <w:widowControl/>
              <w:jc w:val="left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48403A05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nirKfR</w:t>
            </w:r>
          </w:p>
        </w:tc>
        <w:tc>
          <w:tcPr>
            <w:tcW w:w="0" w:type="auto"/>
            <w:vAlign w:val="center"/>
          </w:tcPr>
          <w:p w14:paraId="62FEAFC6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AGGAATCCCACAscnccyttntc</w:t>
            </w:r>
          </w:p>
        </w:tc>
        <w:tc>
          <w:tcPr>
            <w:tcW w:w="0" w:type="auto"/>
            <w:vMerge w:val="continue"/>
            <w:vAlign w:val="center"/>
          </w:tcPr>
          <w:p w14:paraId="5FAA3697"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FD1BC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4D4D4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restart"/>
            <w:noWrap/>
            <w:vAlign w:val="center"/>
          </w:tcPr>
          <w:p w14:paraId="5EDD5026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nosZ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Ⅰ</w:t>
            </w:r>
          </w:p>
        </w:tc>
        <w:tc>
          <w:tcPr>
            <w:tcW w:w="0" w:type="auto"/>
            <w:noWrap/>
            <w:vAlign w:val="center"/>
          </w:tcPr>
          <w:p w14:paraId="6B589F63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nosZⅠF</w:t>
            </w:r>
          </w:p>
        </w:tc>
        <w:tc>
          <w:tcPr>
            <w:tcW w:w="0" w:type="auto"/>
            <w:noWrap/>
            <w:vAlign w:val="center"/>
          </w:tcPr>
          <w:p w14:paraId="41E79426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GGCAARCTVTCDCCVAC</w:t>
            </w:r>
          </w:p>
        </w:tc>
        <w:tc>
          <w:tcPr>
            <w:tcW w:w="0" w:type="auto"/>
            <w:vMerge w:val="restart"/>
            <w:vAlign w:val="center"/>
          </w:tcPr>
          <w:p w14:paraId="6C2B40F5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95 °C for 2 min - × 1 cycle; 95 °C for 45 s, 53 °C for 45 s, 72 °C for 1min - × 35 cycles; 72 °C for 7min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5267D7F6">
            <w:pPr>
              <w:widowControl/>
              <w:jc w:val="center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[4]</w:t>
            </w:r>
          </w:p>
        </w:tc>
      </w:tr>
      <w:tr w14:paraId="082631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continue"/>
            <w:vAlign w:val="center"/>
          </w:tcPr>
          <w:p w14:paraId="23D609D3">
            <w:pPr>
              <w:widowControl/>
              <w:jc w:val="left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14:paraId="6543A703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nosZⅠR</w:t>
            </w:r>
          </w:p>
        </w:tc>
        <w:tc>
          <w:tcPr>
            <w:tcW w:w="0" w:type="auto"/>
            <w:noWrap/>
            <w:vAlign w:val="center"/>
          </w:tcPr>
          <w:p w14:paraId="6F6B033E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AVCGGTCYTTVGAGAAYTT</w:t>
            </w:r>
          </w:p>
        </w:tc>
        <w:tc>
          <w:tcPr>
            <w:tcW w:w="0" w:type="auto"/>
            <w:vMerge w:val="continue"/>
            <w:vAlign w:val="center"/>
          </w:tcPr>
          <w:p w14:paraId="7768439A"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5F6624E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57EBF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C51CC8F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nosZ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Ⅱ </w:t>
            </w:r>
          </w:p>
        </w:tc>
        <w:tc>
          <w:tcPr>
            <w:tcW w:w="0" w:type="auto"/>
            <w:noWrap/>
            <w:vAlign w:val="center"/>
          </w:tcPr>
          <w:p w14:paraId="2921552E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nosZ-Ⅱ-F</w:t>
            </w:r>
          </w:p>
        </w:tc>
        <w:tc>
          <w:tcPr>
            <w:tcW w:w="0" w:type="auto"/>
            <w:noWrap/>
            <w:vAlign w:val="center"/>
          </w:tcPr>
          <w:p w14:paraId="7ECD8745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CTIGGICCIYTKCAYAC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CB5FCC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95 °C for 5 min - × 1 cycle; 95 °C for 30 s, 54 °C for 60 s, 72 °C for 1min - × 35 cycles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；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72 °C for 10min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E26E727">
            <w:pPr>
              <w:widowControl/>
              <w:jc w:val="center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[5]</w:t>
            </w:r>
          </w:p>
        </w:tc>
      </w:tr>
      <w:tr w14:paraId="5DCD0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A818C30">
            <w:pPr>
              <w:widowControl/>
              <w:jc w:val="left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 w14:paraId="66EBE8FF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nosZ-Ⅱ-R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 w14:paraId="03567D7F">
            <w:pPr>
              <w:widowControl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GCIGARCARAAITCBGTRC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819121B"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4D86CA6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1E0B3896">
      <w:pPr>
        <w:widowControl/>
        <w:autoSpaceDE w:val="0"/>
        <w:autoSpaceDN w:val="0"/>
        <w:adjustRightInd w:val="0"/>
        <w:jc w:val="left"/>
        <w:rPr>
          <w:rFonts w:ascii="Times New Roman" w:hAnsi="Times New Roman" w:eastAsia="等线" w:cs="Times New Roman"/>
          <w:b/>
          <w:bCs/>
          <w:kern w:val="0"/>
          <w:sz w:val="24"/>
          <w:szCs w:val="28"/>
        </w:rPr>
      </w:pPr>
    </w:p>
    <w:p w14:paraId="2F8691BC">
      <w:pPr>
        <w:widowControl/>
        <w:autoSpaceDE w:val="0"/>
        <w:autoSpaceDN w:val="0"/>
        <w:adjustRightInd w:val="0"/>
        <w:jc w:val="left"/>
        <w:rPr>
          <w:rFonts w:ascii="Times New Roman" w:hAnsi="Times New Roman" w:eastAsia="等线" w:cs="Times New Roman"/>
          <w:b/>
          <w:bCs/>
          <w:kern w:val="0"/>
          <w:sz w:val="24"/>
          <w:szCs w:val="28"/>
        </w:rPr>
      </w:pPr>
      <w:bookmarkStart w:id="6" w:name="OLE_LINK2"/>
      <w:r>
        <w:rPr>
          <w:rFonts w:ascii="Times New Roman" w:hAnsi="Times New Roman" w:eastAsia="等线" w:cs="Times New Roman"/>
          <w:b/>
          <w:bCs/>
          <w:kern w:val="0"/>
          <w:sz w:val="24"/>
          <w:szCs w:val="28"/>
        </w:rPr>
        <w:t>Reference</w:t>
      </w:r>
    </w:p>
    <w:p w14:paraId="1439D73C">
      <w:pPr>
        <w:autoSpaceDE w:val="0"/>
        <w:autoSpaceDN w:val="0"/>
        <w:adjustRightInd w:val="0"/>
        <w:ind w:left="720" w:hanging="720"/>
        <w:jc w:val="left"/>
        <w:rPr>
          <w:rFonts w:ascii="Times New Roman" w:hAnsi="Times New Roman" w:eastAsia="宋体" w:cs="Times New Roman"/>
          <w:kern w:val="0"/>
          <w:sz w:val="22"/>
          <w14:ligatures w14:val="standardContextual"/>
        </w:rPr>
      </w:pPr>
      <w:r>
        <w:rPr>
          <w:rFonts w:ascii="Times New Roman" w:hAnsi="Times New Roman" w:cs="Times New Roman"/>
        </w:rPr>
        <w:t>[1]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Throbäck IN, Enwall K, Jarvis Å, Hallin S. 2004. Reassessing PCR primers targeting nirS, nirK and nosZ genes for community surveys of denitrifying bacteria with DGGE. </w:t>
      </w:r>
      <w:r>
        <w:rPr>
          <w:rFonts w:ascii="Times New Roman" w:hAnsi="Times New Roman" w:eastAsia="宋体" w:cs="Times New Roman"/>
          <w:i/>
          <w:iCs/>
          <w:kern w:val="0"/>
          <w:sz w:val="22"/>
          <w14:ligatures w14:val="standardContextual"/>
        </w:rPr>
        <w:t>FEMS Microbiology Ecology</w:t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 49:401–417. https://doi.org/10.1016/j.femsec.2004.04.011 </w:t>
      </w:r>
    </w:p>
    <w:p w14:paraId="6CA794D1">
      <w:pPr>
        <w:autoSpaceDE w:val="0"/>
        <w:autoSpaceDN w:val="0"/>
        <w:adjustRightInd w:val="0"/>
        <w:ind w:left="720" w:hanging="720"/>
        <w:jc w:val="left"/>
        <w:rPr>
          <w:rFonts w:ascii="Times New Roman" w:hAnsi="Times New Roman" w:eastAsia="宋体" w:cs="Times New Roman"/>
          <w:kern w:val="0"/>
          <w:sz w:val="22"/>
          <w14:ligatures w14:val="standardContextual"/>
        </w:rPr>
      </w:pPr>
      <w:r>
        <w:rPr>
          <w:rFonts w:ascii="Times New Roman" w:hAnsi="Times New Roman" w:cs="Times New Roman"/>
        </w:rPr>
        <w:t>[2]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Hallin S, Lindgren P-E. 1999. PCR detection of genes encoding nitrite reductase in denitrifying bacteria. </w:t>
      </w:r>
      <w:r>
        <w:rPr>
          <w:rFonts w:ascii="Times New Roman" w:hAnsi="Times New Roman" w:eastAsia="宋体" w:cs="Times New Roman"/>
          <w:i/>
          <w:iCs/>
          <w:kern w:val="0"/>
          <w:sz w:val="22"/>
          <w14:ligatures w14:val="standardContextual"/>
        </w:rPr>
        <w:t>Applied and Environmental Microbiology</w:t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 65:1652–1657. </w:t>
      </w:r>
    </w:p>
    <w:p w14:paraId="04DC9887">
      <w:pPr>
        <w:autoSpaceDE w:val="0"/>
        <w:autoSpaceDN w:val="0"/>
        <w:adjustRightInd w:val="0"/>
        <w:ind w:left="720" w:hanging="720"/>
        <w:jc w:val="left"/>
        <w:rPr>
          <w:rFonts w:ascii="Times New Roman" w:hAnsi="Times New Roman" w:eastAsia="宋体" w:cs="Times New Roman"/>
          <w:kern w:val="0"/>
          <w:sz w:val="22"/>
          <w14:ligatures w14:val="standardContextual"/>
        </w:rPr>
      </w:pPr>
      <w:r>
        <w:rPr>
          <w:rFonts w:ascii="Times New Roman" w:hAnsi="Times New Roman" w:cs="Times New Roman"/>
        </w:rPr>
        <w:t>[3]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Wei W, Isobe K, Shiratori Y, Nishizawa T, Ohte N, et al. 2015. Development of PCR primers targeting fungal nirK to study fungal denitrification in the environment. </w:t>
      </w:r>
      <w:r>
        <w:rPr>
          <w:rFonts w:ascii="Times New Roman" w:hAnsi="Times New Roman" w:eastAsia="宋体" w:cs="Times New Roman"/>
          <w:i/>
          <w:iCs/>
          <w:kern w:val="0"/>
          <w:sz w:val="22"/>
          <w14:ligatures w14:val="standardContextual"/>
        </w:rPr>
        <w:t>Soil Biology and Biochemistry</w:t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 81:282–286. https://doi.org/10.1016/j.soilbio.2014.11.026</w:t>
      </w:r>
    </w:p>
    <w:p w14:paraId="5005EC24">
      <w:pPr>
        <w:autoSpaceDE w:val="0"/>
        <w:autoSpaceDN w:val="0"/>
        <w:adjustRightInd w:val="0"/>
        <w:ind w:left="720" w:hanging="720"/>
        <w:jc w:val="left"/>
        <w:rPr>
          <w:rFonts w:ascii="Times New Roman" w:hAnsi="Times New Roman" w:eastAsia="宋体" w:cs="Times New Roman"/>
          <w:kern w:val="0"/>
          <w:sz w:val="22"/>
          <w14:ligatures w14:val="standardContextual"/>
        </w:rPr>
      </w:pPr>
      <w:r>
        <w:rPr>
          <w:rFonts w:ascii="Times New Roman" w:hAnsi="Times New Roman" w:cs="Times New Roman"/>
        </w:rPr>
        <w:t>[4]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Zhang B, Penton CR, Yu Z, Xue C, Chen Q, et al. 2021. A new primer set for Clade I nosZ that recovers genes from a broader range of taxa. </w:t>
      </w:r>
      <w:r>
        <w:rPr>
          <w:rFonts w:ascii="Times New Roman" w:hAnsi="Times New Roman" w:eastAsia="宋体" w:cs="Times New Roman"/>
          <w:i/>
          <w:iCs/>
          <w:kern w:val="0"/>
          <w:sz w:val="22"/>
          <w14:ligatures w14:val="standardContextual"/>
        </w:rPr>
        <w:t>Biology and Fertility of Soils</w:t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 57:523–531. </w:t>
      </w:r>
      <w:r>
        <w:rPr>
          <w:rFonts w:hint="eastAsia" w:ascii="Times New Roman" w:hAnsi="Times New Roman" w:eastAsia="宋体" w:cs="Times New Roman"/>
          <w:kern w:val="0"/>
          <w:sz w:val="22"/>
          <w14:ligatures w14:val="standardContextual"/>
        </w:rPr>
        <w:t>https://doi.org/</w:t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>10.1007/s00374-021-01544-6</w:t>
      </w:r>
    </w:p>
    <w:p w14:paraId="0AA791E4">
      <w:pPr>
        <w:autoSpaceDE w:val="0"/>
        <w:autoSpaceDN w:val="0"/>
        <w:adjustRightInd w:val="0"/>
        <w:ind w:left="720" w:hanging="720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>[5]</w:t>
      </w:r>
      <w:r>
        <w:tab/>
      </w:r>
      <w:bookmarkEnd w:id="6"/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Jones CM, Graf DR, Bru D, Philippot L, Hallin S. 2013. The unaccounted yet abundant nitrous oxide-reducing microbial community: a potential nitrous oxide sink. </w:t>
      </w:r>
      <w:r>
        <w:rPr>
          <w:rFonts w:ascii="Times New Roman" w:hAnsi="Times New Roman" w:eastAsia="宋体" w:cs="Times New Roman"/>
          <w:i/>
          <w:iCs/>
          <w:kern w:val="0"/>
          <w:sz w:val="22"/>
          <w14:ligatures w14:val="standardContextual"/>
        </w:rPr>
        <w:t>The ISME Journal</w:t>
      </w:r>
      <w:r>
        <w:rPr>
          <w:rFonts w:ascii="Times New Roman" w:hAnsi="Times New Roman" w:eastAsia="宋体" w:cs="Times New Roman"/>
          <w:kern w:val="0"/>
          <w:sz w:val="22"/>
          <w14:ligatures w14:val="standardContextual"/>
        </w:rPr>
        <w:t xml:space="preserve"> 7:417–426. https://doi.org/10.1038/ismej.2012.125</w:t>
      </w:r>
    </w:p>
    <w:p w14:paraId="4A04934C">
      <w:pPr>
        <w:spacing w:line="480" w:lineRule="auto"/>
        <w:rPr>
          <w:rFonts w:ascii="Times New Roman" w:hAnsi="Times New Roman" w:cs="Times New Roman"/>
          <w:b/>
          <w:sz w:val="24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7" w:name="_GoBack"/>
    </w:p>
    <w:p w14:paraId="65B12DF7">
      <w:pPr>
        <w:spacing w:line="20" w:lineRule="exact"/>
        <w:rPr>
          <w:rFonts w:ascii="Times New Roman" w:hAnsi="Times New Roman" w:cs="Times New Roman"/>
          <w:bCs/>
          <w:sz w:val="24"/>
        </w:rPr>
      </w:pPr>
    </w:p>
    <w:bookmarkEnd w:id="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AMNI A+ Caecilia LT Std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czMrc0MzMyNrU0NDFT0lEKTi0uzszPAykwrAUAfkLLyiwAAAA="/>
  </w:docVars>
  <w:rsids>
    <w:rsidRoot w:val="00EF0828"/>
    <w:rsid w:val="00001B7F"/>
    <w:rsid w:val="00002E7F"/>
    <w:rsid w:val="000150DE"/>
    <w:rsid w:val="00016825"/>
    <w:rsid w:val="0006779E"/>
    <w:rsid w:val="0007583D"/>
    <w:rsid w:val="0008653C"/>
    <w:rsid w:val="000A47C5"/>
    <w:rsid w:val="000A6E63"/>
    <w:rsid w:val="000B167D"/>
    <w:rsid w:val="000F39FD"/>
    <w:rsid w:val="00156B4B"/>
    <w:rsid w:val="0016603E"/>
    <w:rsid w:val="001957C8"/>
    <w:rsid w:val="001A3CE1"/>
    <w:rsid w:val="001B3C92"/>
    <w:rsid w:val="001B5E28"/>
    <w:rsid w:val="001F1C35"/>
    <w:rsid w:val="00257B77"/>
    <w:rsid w:val="00264BEB"/>
    <w:rsid w:val="00270DE3"/>
    <w:rsid w:val="00283D10"/>
    <w:rsid w:val="00292245"/>
    <w:rsid w:val="00294DA2"/>
    <w:rsid w:val="002A54D7"/>
    <w:rsid w:val="002C6266"/>
    <w:rsid w:val="00306FEC"/>
    <w:rsid w:val="003101E6"/>
    <w:rsid w:val="00311536"/>
    <w:rsid w:val="003162BD"/>
    <w:rsid w:val="0032074F"/>
    <w:rsid w:val="003E4860"/>
    <w:rsid w:val="003F198C"/>
    <w:rsid w:val="004046A8"/>
    <w:rsid w:val="004459DF"/>
    <w:rsid w:val="00485D66"/>
    <w:rsid w:val="004E6E8E"/>
    <w:rsid w:val="004F3671"/>
    <w:rsid w:val="00510195"/>
    <w:rsid w:val="00592D70"/>
    <w:rsid w:val="005B59B4"/>
    <w:rsid w:val="005D4048"/>
    <w:rsid w:val="005D783E"/>
    <w:rsid w:val="00620232"/>
    <w:rsid w:val="00622397"/>
    <w:rsid w:val="00635D09"/>
    <w:rsid w:val="00644BAC"/>
    <w:rsid w:val="0066085D"/>
    <w:rsid w:val="00661447"/>
    <w:rsid w:val="00670D4C"/>
    <w:rsid w:val="00694029"/>
    <w:rsid w:val="00696946"/>
    <w:rsid w:val="006B0E97"/>
    <w:rsid w:val="006C1705"/>
    <w:rsid w:val="007212BA"/>
    <w:rsid w:val="00744F5F"/>
    <w:rsid w:val="00777AEA"/>
    <w:rsid w:val="007B7A08"/>
    <w:rsid w:val="007D1DB7"/>
    <w:rsid w:val="007F2BE8"/>
    <w:rsid w:val="00816053"/>
    <w:rsid w:val="0082391F"/>
    <w:rsid w:val="00854DCE"/>
    <w:rsid w:val="00854FA2"/>
    <w:rsid w:val="00857E6A"/>
    <w:rsid w:val="008B2918"/>
    <w:rsid w:val="008C541D"/>
    <w:rsid w:val="008D40A7"/>
    <w:rsid w:val="009049B6"/>
    <w:rsid w:val="0090531D"/>
    <w:rsid w:val="009326FF"/>
    <w:rsid w:val="00944BCE"/>
    <w:rsid w:val="00955B23"/>
    <w:rsid w:val="00996762"/>
    <w:rsid w:val="009D272A"/>
    <w:rsid w:val="009F5676"/>
    <w:rsid w:val="00A11A82"/>
    <w:rsid w:val="00A91810"/>
    <w:rsid w:val="00AA70D5"/>
    <w:rsid w:val="00AC218A"/>
    <w:rsid w:val="00B1547B"/>
    <w:rsid w:val="00B25F6E"/>
    <w:rsid w:val="00B27C62"/>
    <w:rsid w:val="00B668A5"/>
    <w:rsid w:val="00B70A5F"/>
    <w:rsid w:val="00B9714F"/>
    <w:rsid w:val="00BA4430"/>
    <w:rsid w:val="00BC4D0F"/>
    <w:rsid w:val="00BD3740"/>
    <w:rsid w:val="00BD5F87"/>
    <w:rsid w:val="00C05284"/>
    <w:rsid w:val="00C20BB0"/>
    <w:rsid w:val="00C23B08"/>
    <w:rsid w:val="00C30F0A"/>
    <w:rsid w:val="00C64A0D"/>
    <w:rsid w:val="00C725B9"/>
    <w:rsid w:val="00C72A61"/>
    <w:rsid w:val="00C90533"/>
    <w:rsid w:val="00CA0337"/>
    <w:rsid w:val="00CB65B7"/>
    <w:rsid w:val="00CC1A07"/>
    <w:rsid w:val="00CC57D3"/>
    <w:rsid w:val="00CE4275"/>
    <w:rsid w:val="00D051E8"/>
    <w:rsid w:val="00D13A29"/>
    <w:rsid w:val="00D6626E"/>
    <w:rsid w:val="00D95E2E"/>
    <w:rsid w:val="00D97C1F"/>
    <w:rsid w:val="00DF2C27"/>
    <w:rsid w:val="00DF2EED"/>
    <w:rsid w:val="00E147AA"/>
    <w:rsid w:val="00E6394C"/>
    <w:rsid w:val="00E67275"/>
    <w:rsid w:val="00E72905"/>
    <w:rsid w:val="00E84919"/>
    <w:rsid w:val="00E8499A"/>
    <w:rsid w:val="00EB293A"/>
    <w:rsid w:val="00ED4693"/>
    <w:rsid w:val="00EF0828"/>
    <w:rsid w:val="00F24482"/>
    <w:rsid w:val="00F35F21"/>
    <w:rsid w:val="00FA72B1"/>
    <w:rsid w:val="00FC46CC"/>
    <w:rsid w:val="00FF15E8"/>
    <w:rsid w:val="120A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5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annotation subject"/>
    <w:basedOn w:val="11"/>
    <w:next w:val="11"/>
    <w:link w:val="46"/>
    <w:semiHidden/>
    <w:unhideWhenUsed/>
    <w:uiPriority w:val="99"/>
    <w:rPr>
      <w:b/>
      <w:bCs/>
    </w:rPr>
  </w:style>
  <w:style w:type="table" w:styleId="18">
    <w:name w:val="Table Grid"/>
    <w:basedOn w:val="17"/>
    <w:qFormat/>
    <w:uiPriority w:val="39"/>
    <w:pPr>
      <w:spacing w:line="240" w:lineRule="auto"/>
      <w:jc w:val="left"/>
    </w:pPr>
    <w:rPr>
      <w:rFonts w:cs="Times New Roman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2">
    <w:name w:val="标题 1 字符"/>
    <w:basedOn w:val="19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3">
    <w:name w:val="标题 2 字符"/>
    <w:basedOn w:val="19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4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5">
    <w:name w:val="标题 4 字符"/>
    <w:basedOn w:val="19"/>
    <w:link w:val="5"/>
    <w:semiHidden/>
    <w:uiPriority w:val="9"/>
    <w:rPr>
      <w:rFonts w:asciiTheme="minorHAnsi" w:hAnsiTheme="minorHAnsi" w:eastAsiaTheme="minorEastAsia" w:cstheme="majorBidi"/>
      <w:color w:val="2F5597" w:themeColor="accent1" w:themeShade="BF"/>
      <w:sz w:val="28"/>
      <w:szCs w:val="28"/>
    </w:rPr>
  </w:style>
  <w:style w:type="character" w:customStyle="1" w:styleId="26">
    <w:name w:val="标题 5 字符"/>
    <w:basedOn w:val="19"/>
    <w:link w:val="6"/>
    <w:semiHidden/>
    <w:uiPriority w:val="9"/>
    <w:rPr>
      <w:rFonts w:asciiTheme="minorHAnsi" w:hAnsiTheme="minorHAnsi" w:eastAsiaTheme="minorEastAsia" w:cstheme="majorBidi"/>
      <w:color w:val="2F5597" w:themeColor="accent1" w:themeShade="BF"/>
    </w:rPr>
  </w:style>
  <w:style w:type="character" w:customStyle="1" w:styleId="27">
    <w:name w:val="标题 6 字符"/>
    <w:basedOn w:val="19"/>
    <w:link w:val="7"/>
    <w:semiHidden/>
    <w:uiPriority w:val="9"/>
    <w:rPr>
      <w:rFonts w:asciiTheme="minorHAnsi" w:hAnsiTheme="minorHAnsi" w:eastAsiaTheme="minorEastAsia" w:cstheme="majorBidi"/>
      <w:b/>
      <w:bCs/>
      <w:color w:val="2F5597" w:themeColor="accent1" w:themeShade="BF"/>
    </w:rPr>
  </w:style>
  <w:style w:type="character" w:customStyle="1" w:styleId="28">
    <w:name w:val="标题 7 字符"/>
    <w:basedOn w:val="19"/>
    <w:link w:val="8"/>
    <w:semiHidden/>
    <w:qFormat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19"/>
    <w:link w:val="9"/>
    <w:semiHidden/>
    <w:qFormat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19"/>
    <w:link w:val="10"/>
    <w:semiHidden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19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19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19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19"/>
    <w:qFormat/>
    <w:uiPriority w:val="21"/>
    <w:rPr>
      <w:i/>
      <w:iCs/>
      <w:color w:val="2F5597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8">
    <w:name w:val="明显引用 字符"/>
    <w:basedOn w:val="19"/>
    <w:link w:val="37"/>
    <w:qFormat/>
    <w:uiPriority w:val="30"/>
    <w:rPr>
      <w:i/>
      <w:iCs/>
      <w:color w:val="2F5597" w:themeColor="accent1" w:themeShade="BF"/>
    </w:rPr>
  </w:style>
  <w:style w:type="character" w:customStyle="1" w:styleId="39">
    <w:name w:val="Intense Reference"/>
    <w:basedOn w:val="19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0">
    <w:name w:val="页眉 字符"/>
    <w:basedOn w:val="19"/>
    <w:link w:val="13"/>
    <w:uiPriority w:val="99"/>
    <w:rPr>
      <w:sz w:val="18"/>
      <w:szCs w:val="18"/>
    </w:rPr>
  </w:style>
  <w:style w:type="character" w:customStyle="1" w:styleId="41">
    <w:name w:val="页脚 字符"/>
    <w:basedOn w:val="19"/>
    <w:link w:val="12"/>
    <w:qFormat/>
    <w:uiPriority w:val="99"/>
    <w:rPr>
      <w:sz w:val="18"/>
      <w:szCs w:val="18"/>
    </w:rPr>
  </w:style>
  <w:style w:type="paragraph" w:customStyle="1" w:styleId="42">
    <w:name w:val="Bibliography"/>
    <w:basedOn w:val="1"/>
    <w:next w:val="1"/>
    <w:unhideWhenUsed/>
    <w:uiPriority w:val="37"/>
  </w:style>
  <w:style w:type="character" w:customStyle="1" w:styleId="43">
    <w:name w:val="Unresolved Mention"/>
    <w:basedOn w:val="19"/>
    <w:semiHidden/>
    <w:unhideWhenUsed/>
    <w:uiPriority w:val="99"/>
    <w:rPr>
      <w:color w:val="605E5C"/>
      <w:shd w:val="clear" w:color="auto" w:fill="E1DFDD"/>
    </w:rPr>
  </w:style>
  <w:style w:type="paragraph" w:customStyle="1" w:styleId="44">
    <w:name w:val="Revision"/>
    <w:hidden/>
    <w:semiHidden/>
    <w:uiPriority w:val="99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character" w:customStyle="1" w:styleId="45">
    <w:name w:val="批注文字 字符"/>
    <w:basedOn w:val="19"/>
    <w:link w:val="11"/>
    <w:semiHidden/>
    <w:uiPriority w:val="99"/>
    <w:rPr>
      <w:rFonts w:asciiTheme="minorHAnsi" w:hAnsiTheme="minorHAnsi" w:eastAsiaTheme="minorEastAsia"/>
      <w:sz w:val="21"/>
      <w:szCs w:val="22"/>
      <w14:ligatures w14:val="none"/>
    </w:rPr>
  </w:style>
  <w:style w:type="character" w:customStyle="1" w:styleId="46">
    <w:name w:val="批注主题 字符"/>
    <w:basedOn w:val="45"/>
    <w:link w:val="16"/>
    <w:semiHidden/>
    <w:qFormat/>
    <w:uiPriority w:val="99"/>
    <w:rPr>
      <w:rFonts w:asciiTheme="minorHAnsi" w:hAnsiTheme="minorHAnsi" w:eastAsiaTheme="minorEastAsia"/>
      <w:b/>
      <w:bCs/>
      <w:sz w:val="21"/>
      <w:szCs w:val="2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tif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840</Words>
  <Characters>4479</Characters>
  <Lines>302</Lines>
  <Paragraphs>256</Paragraphs>
  <TotalTime>448</TotalTime>
  <ScaleCrop>false</ScaleCrop>
  <LinksUpToDate>false</LinksUpToDate>
  <CharactersWithSpaces>5105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2025-03-20T07:53:00Z</dcterms:created>
  <dc:creator>心 安</dc:creator>
  <cp:lastModifiedBy>Dong</cp:lastModifiedBy>
  <dcterms:modified xsi:type="dcterms:W3CDTF">2026-03-31T07:57:20Z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zotero-version="7.0.15"&gt;&lt;session id="ed0qXKKN"/&gt;&lt;style id="http://www.zotero.org/styles/soil-biology-and-biochemistry" hasBibliography="1" bibliographyStyleHasBeenSet="1"/&gt;&lt;prefs&gt;&lt;pref name="fieldType" value="Field"/&gt;&lt;/prefs&gt;&lt;/data&gt;</vt:lpwstr>
  </property>
  <property fmtid="{D5CDD505-2E9C-101B-9397-08002B2CF9AE}" pid="3" name="KSOTemplateDocerSaveRecord">
    <vt:lpwstr>eyJoZGlkIjoiN2M4YzNiMGEwNmIwNGYwMDBhMDZiNTIxOWIyYWE2MGMiLCJ1c2VySWQiOiI0MTIxMDk1MTgifQ==</vt:lpwstr>
  </property>
  <property fmtid="{D5CDD505-2E9C-101B-9397-08002B2CF9AE}" pid="4" name="KSOProductBuildVer">
    <vt:lpwstr>2052-12.1.0.25225</vt:lpwstr>
  </property>
  <property fmtid="{D5CDD505-2E9C-101B-9397-08002B2CF9AE}" pid="5" name="ICV">
    <vt:lpwstr>B80A1A590EFF44E089B22014FA90441C_12</vt:lpwstr>
  </property>
</Properties>
</file>