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863349">
      <w:pPr>
        <w:widowControl/>
        <w:spacing w:line="480" w:lineRule="auto"/>
        <w:rPr>
          <w:b/>
          <w:bCs/>
          <w:sz w:val="28"/>
          <w:szCs w:val="28"/>
        </w:rPr>
      </w:pPr>
      <w:r>
        <w:rPr>
          <w:rFonts w:hint="eastAsia"/>
          <w:b/>
          <w:bCs/>
          <w:sz w:val="28"/>
          <w:szCs w:val="28"/>
        </w:rPr>
        <w:t xml:space="preserve">Text S1. </w:t>
      </w:r>
    </w:p>
    <w:p w14:paraId="7B63D607">
      <w:pPr>
        <w:spacing w:before="156" w:beforeLines="50" w:line="480" w:lineRule="auto"/>
        <w:rPr>
          <w:b/>
          <w:bCs/>
          <w:sz w:val="28"/>
          <w:szCs w:val="28"/>
        </w:rPr>
      </w:pPr>
      <w:r>
        <w:rPr>
          <w:rFonts w:hint="eastAsia"/>
          <w:b/>
          <w:bCs/>
          <w:sz w:val="28"/>
          <w:szCs w:val="28"/>
        </w:rPr>
        <w:t>Detailed calculation of NH</w:t>
      </w:r>
      <w:r>
        <w:rPr>
          <w:rFonts w:hint="eastAsia"/>
          <w:b/>
          <w:bCs/>
          <w:sz w:val="28"/>
          <w:szCs w:val="28"/>
          <w:vertAlign w:val="subscript"/>
        </w:rPr>
        <w:t>3</w:t>
      </w:r>
      <w:r>
        <w:rPr>
          <w:rFonts w:hint="eastAsia"/>
          <w:b/>
          <w:bCs/>
          <w:sz w:val="28"/>
          <w:szCs w:val="28"/>
        </w:rPr>
        <w:t xml:space="preserve"> flux for primary monitoring techniques</w:t>
      </w:r>
    </w:p>
    <w:p w14:paraId="447EC27D">
      <w:pPr>
        <w:numPr>
          <w:ilvl w:val="0"/>
          <w:numId w:val="0"/>
        </w:numPr>
        <w:spacing w:before="156" w:beforeLines="50" w:line="480" w:lineRule="auto"/>
        <w:ind w:left="420" w:leftChars="0" w:hanging="420" w:firstLineChars="0"/>
        <w:rPr>
          <w:rFonts w:cs="Times New Roman"/>
          <w:b/>
          <w:bCs/>
          <w:sz w:val="28"/>
          <w:szCs w:val="28"/>
        </w:rPr>
      </w:pPr>
      <w:r>
        <w:rPr>
          <w:rFonts w:hint="default" w:ascii="Wingdings" w:hAnsi="Wingdings" w:cs="Times New Roman" w:eastAsiaTheme="minorEastAsia"/>
          <w:b/>
          <w:bCs/>
          <w:kern w:val="2"/>
          <w:sz w:val="28"/>
          <w:szCs w:val="28"/>
          <w:lang w:val="en-US" w:eastAsia="zh-CN" w:bidi="ar-SA"/>
        </w:rPr>
        <w:t></w:t>
      </w:r>
      <w:r>
        <w:rPr>
          <w:rFonts w:hint="eastAsia" w:cs="Times New Roman"/>
          <w:b/>
          <w:bCs/>
          <w:sz w:val="28"/>
          <w:szCs w:val="28"/>
        </w:rPr>
        <w:t>C</w:t>
      </w:r>
      <w:r>
        <w:rPr>
          <w:rFonts w:cs="Times New Roman"/>
          <w:b/>
          <w:bCs/>
          <w:sz w:val="28"/>
          <w:szCs w:val="28"/>
        </w:rPr>
        <w:t xml:space="preserve">losed </w:t>
      </w:r>
      <w:r>
        <w:rPr>
          <w:rFonts w:hint="eastAsia" w:cs="Times New Roman"/>
          <w:b/>
          <w:bCs/>
          <w:sz w:val="28"/>
          <w:szCs w:val="28"/>
        </w:rPr>
        <w:t xml:space="preserve">and vented </w:t>
      </w:r>
      <w:r>
        <w:rPr>
          <w:rFonts w:cs="Times New Roman"/>
          <w:b/>
          <w:bCs/>
          <w:sz w:val="28"/>
          <w:szCs w:val="28"/>
        </w:rPr>
        <w:t>chamber</w:t>
      </w:r>
      <w:r>
        <w:rPr>
          <w:rFonts w:hint="eastAsia" w:cs="Times New Roman"/>
          <w:b/>
          <w:bCs/>
          <w:sz w:val="28"/>
          <w:szCs w:val="28"/>
        </w:rPr>
        <w:t>s</w:t>
      </w:r>
    </w:p>
    <w:p w14:paraId="7FF3641B">
      <w:pPr>
        <w:spacing w:before="156" w:beforeLines="50" w:line="480" w:lineRule="auto"/>
        <w:rPr>
          <w:rFonts w:cs="Times New Roman"/>
          <w:sz w:val="28"/>
          <w:szCs w:val="28"/>
        </w:rPr>
      </w:pPr>
      <w:r>
        <w:rPr>
          <w:rFonts w:hint="eastAsia" w:cs="Times New Roman"/>
          <w:sz w:val="28"/>
          <w:szCs w:val="28"/>
        </w:rPr>
        <w:t>The closed chamber method utilizes</w:t>
      </w:r>
      <w:r>
        <w:rPr>
          <w:rFonts w:cs="Times New Roman"/>
          <w:b/>
          <w:sz w:val="28"/>
          <w:szCs w:val="28"/>
        </w:rPr>
        <w:t xml:space="preserve"> </w:t>
      </w:r>
      <w:r>
        <w:rPr>
          <w:rFonts w:cs="Times New Roman"/>
          <w:sz w:val="28"/>
          <w:szCs w:val="28"/>
        </w:rPr>
        <w:t xml:space="preserve">a sealed </w:t>
      </w:r>
      <w:r>
        <w:rPr>
          <w:rFonts w:hint="eastAsia" w:cs="Times New Roman"/>
          <w:sz w:val="28"/>
          <w:szCs w:val="28"/>
        </w:rPr>
        <w:t>enclosure with</w:t>
      </w:r>
      <w:r>
        <w:rPr>
          <w:rFonts w:cs="Times New Roman"/>
          <w:sz w:val="28"/>
          <w:szCs w:val="28"/>
        </w:rPr>
        <w:t xml:space="preserve"> an acid</w:t>
      </w:r>
      <w:r>
        <w:rPr>
          <w:rFonts w:hint="eastAsia" w:cs="Times New Roman"/>
          <w:sz w:val="28"/>
          <w:szCs w:val="28"/>
        </w:rPr>
        <w:t>ic trap, and t</w:t>
      </w:r>
      <w:r>
        <w:rPr>
          <w:rFonts w:hint="eastAsia" w:cs="Times New Roman"/>
          <w:color w:val="000000" w:themeColor="text1"/>
          <w:sz w:val="28"/>
          <w:szCs w:val="28"/>
          <w14:textFill>
            <w14:solidFill>
              <w14:schemeClr w14:val="tx1"/>
            </w14:solidFill>
          </w14:textFill>
        </w:rPr>
        <w:t>he v</w:t>
      </w:r>
      <w:r>
        <w:rPr>
          <w:rFonts w:cs="Times New Roman"/>
          <w:color w:val="000000" w:themeColor="text1"/>
          <w:sz w:val="28"/>
          <w:szCs w:val="28"/>
          <w14:textFill>
            <w14:solidFill>
              <w14:schemeClr w14:val="tx1"/>
            </w14:solidFill>
          </w14:textFill>
        </w:rPr>
        <w:t>ented</w:t>
      </w:r>
      <w:r>
        <w:rPr>
          <w:rFonts w:hint="eastAsia" w:cs="Times New Roman"/>
          <w:color w:val="000000" w:themeColor="text1"/>
          <w:sz w:val="28"/>
          <w:szCs w:val="28"/>
          <w14:textFill>
            <w14:solidFill>
              <w14:schemeClr w14:val="tx1"/>
            </w14:solidFill>
          </w14:textFill>
        </w:rPr>
        <w:t xml:space="preserve"> </w:t>
      </w:r>
      <w:r>
        <w:rPr>
          <w:rFonts w:cs="Times New Roman"/>
          <w:color w:val="000000" w:themeColor="text1"/>
          <w:sz w:val="28"/>
          <w:szCs w:val="28"/>
          <w14:textFill>
            <w14:solidFill>
              <w14:schemeClr w14:val="tx1"/>
            </w14:solidFill>
          </w14:textFill>
        </w:rPr>
        <w:t xml:space="preserve">chamber </w:t>
      </w:r>
      <w:r>
        <w:rPr>
          <w:rFonts w:hint="eastAsia" w:cs="Times New Roman"/>
          <w:color w:val="000000" w:themeColor="text1"/>
          <w:sz w:val="28"/>
          <w:szCs w:val="28"/>
          <w14:textFill>
            <w14:solidFill>
              <w14:schemeClr w14:val="tx1"/>
            </w14:solidFill>
          </w14:textFill>
        </w:rPr>
        <w:t>uses</w:t>
      </w:r>
      <w:r>
        <w:rPr>
          <w:rFonts w:cs="Times New Roman"/>
          <w:color w:val="000000" w:themeColor="text1"/>
          <w:sz w:val="28"/>
          <w:szCs w:val="28"/>
          <w14:textFill>
            <w14:solidFill>
              <w14:schemeClr w14:val="tx1"/>
            </w14:solidFill>
          </w14:textFill>
        </w:rPr>
        <w:t xml:space="preserve"> acid-soaked sponges </w:t>
      </w:r>
      <w:r>
        <w:rPr>
          <w:rFonts w:hint="eastAsia" w:cs="Times New Roman"/>
          <w:color w:val="000000" w:themeColor="text1"/>
          <w:sz w:val="28"/>
          <w:szCs w:val="28"/>
          <w14:textFill>
            <w14:solidFill>
              <w14:schemeClr w14:val="tx1"/>
            </w14:solidFill>
          </w14:textFill>
        </w:rPr>
        <w:t xml:space="preserve">to </w:t>
      </w:r>
      <w:r>
        <w:rPr>
          <w:rFonts w:cs="Times New Roman"/>
          <w:color w:val="000000" w:themeColor="text1"/>
          <w:sz w:val="28"/>
          <w:szCs w:val="28"/>
          <w14:textFill>
            <w14:solidFill>
              <w14:schemeClr w14:val="tx1"/>
            </w14:solidFill>
          </w14:textFill>
        </w:rPr>
        <w:t>capture NH</w:t>
      </w:r>
      <w:r>
        <w:rPr>
          <w:rFonts w:cs="Times New Roman"/>
          <w:color w:val="000000" w:themeColor="text1"/>
          <w:sz w:val="28"/>
          <w:szCs w:val="28"/>
          <w:vertAlign w:val="subscript"/>
          <w14:textFill>
            <w14:solidFill>
              <w14:schemeClr w14:val="tx1"/>
            </w14:solidFill>
          </w14:textFill>
        </w:rPr>
        <w:t>3</w:t>
      </w:r>
      <w:r>
        <w:rPr>
          <w:rFonts w:hint="eastAsia" w:cs="Times New Roman"/>
          <w:color w:val="000000" w:themeColor="text1"/>
          <w:sz w:val="28"/>
          <w:szCs w:val="28"/>
          <w:vertAlign w:val="superscript"/>
          <w14:textFill>
            <w14:solidFill>
              <w14:schemeClr w14:val="tx1"/>
            </w14:solidFill>
          </w14:textFill>
        </w:rPr>
        <w:t>[1]</w:t>
      </w:r>
      <w:r>
        <w:rPr>
          <w:rFonts w:cs="Times New Roman"/>
          <w:color w:val="000000" w:themeColor="text1"/>
          <w:sz w:val="28"/>
          <w:szCs w:val="28"/>
          <w14:textFill>
            <w14:solidFill>
              <w14:schemeClr w14:val="tx1"/>
            </w14:solidFill>
          </w14:textFill>
        </w:rPr>
        <w:t>.</w:t>
      </w:r>
    </w:p>
    <w:p w14:paraId="16C6B2BD">
      <w:pPr>
        <w:spacing w:before="156" w:beforeLines="50" w:line="480" w:lineRule="auto"/>
        <w:rPr>
          <w:rFonts w:cs="Times New Roman"/>
          <w:sz w:val="28"/>
          <w:szCs w:val="28"/>
        </w:rPr>
      </w:pPr>
      <w:r>
        <w:rPr>
          <w:rFonts w:cs="Times New Roman"/>
          <w:sz w:val="28"/>
          <w:szCs w:val="28"/>
        </w:rPr>
        <w:t>NH</w:t>
      </w:r>
      <w:r>
        <w:rPr>
          <w:rFonts w:cs="Times New Roman"/>
          <w:sz w:val="28"/>
          <w:szCs w:val="28"/>
          <w:vertAlign w:val="subscript"/>
        </w:rPr>
        <w:t>3</w:t>
      </w:r>
      <w:r>
        <w:rPr>
          <w:rFonts w:cs="Times New Roman"/>
          <w:sz w:val="28"/>
          <w:szCs w:val="28"/>
        </w:rPr>
        <w:t xml:space="preserve"> emission flux (mg N m</w:t>
      </w:r>
      <w:r>
        <w:rPr>
          <w:rFonts w:eastAsia="宋体" w:cs="Times New Roman"/>
          <w:sz w:val="28"/>
          <w:szCs w:val="28"/>
          <w:vertAlign w:val="superscript"/>
        </w:rPr>
        <w:t>−</w:t>
      </w:r>
      <w:r>
        <w:rPr>
          <w:rFonts w:cs="Times New Roman"/>
          <w:sz w:val="28"/>
          <w:szCs w:val="28"/>
          <w:vertAlign w:val="superscript"/>
        </w:rPr>
        <w:t>2</w:t>
      </w:r>
      <w:r>
        <w:rPr>
          <w:rFonts w:cs="Times New Roman"/>
          <w:sz w:val="28"/>
          <w:szCs w:val="28"/>
        </w:rPr>
        <w:t xml:space="preserve"> h</w:t>
      </w:r>
      <w:r>
        <w:rPr>
          <w:rFonts w:eastAsia="宋体" w:cs="Times New Roman"/>
          <w:sz w:val="28"/>
          <w:szCs w:val="28"/>
          <w:vertAlign w:val="superscript"/>
        </w:rPr>
        <w:t>−</w:t>
      </w:r>
      <w:r>
        <w:rPr>
          <w:rFonts w:cs="Times New Roman"/>
          <w:sz w:val="28"/>
          <w:szCs w:val="28"/>
          <w:vertAlign w:val="superscript"/>
        </w:rPr>
        <w:t>1</w:t>
      </w:r>
      <w:r>
        <w:rPr>
          <w:rFonts w:cs="Times New Roman"/>
          <w:sz w:val="28"/>
          <w:szCs w:val="28"/>
        </w:rPr>
        <w:t>) is calculated by the following formula:</w:t>
      </w:r>
    </w:p>
    <w:p w14:paraId="7A6C3E85">
      <w:pPr>
        <w:spacing w:line="480" w:lineRule="auto"/>
        <w:jc w:val="center"/>
        <w:rPr>
          <w:rFonts w:cs="Times New Roman"/>
          <w:sz w:val="28"/>
          <w:szCs w:val="28"/>
        </w:rPr>
      </w:pPr>
      <m:oMathPara>
        <m:oMath>
          <m:r>
            <m:rPr/>
            <w:rPr>
              <w:rFonts w:ascii="Cambria Math" w:hAnsi="Cambria Math" w:cs="Times New Roman"/>
              <w:sz w:val="28"/>
              <w:szCs w:val="28"/>
            </w:rPr>
            <m:t>F=</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m:rPr/>
                    <w:rPr>
                      <w:rFonts w:ascii="Cambria Math" w:hAnsi="Cambria Math" w:cs="Times New Roman"/>
                      <w:sz w:val="28"/>
                      <w:szCs w:val="28"/>
                    </w:rPr>
                    <m:t>M</m:t>
                  </m:r>
                  <m:ctrlPr>
                    <w:rPr>
                      <w:rFonts w:ascii="Cambria Math" w:hAnsi="Cambria Math" w:cs="Times New Roman"/>
                      <w:i/>
                      <w:sz w:val="28"/>
                      <w:szCs w:val="28"/>
                    </w:rPr>
                  </m:ctrlPr>
                </m:e>
                <m:sub>
                  <m:r>
                    <m:rPr/>
                    <w:rPr>
                      <w:rFonts w:ascii="Cambria Math" w:hAnsi="Cambria Math" w:cs="Times New Roman"/>
                      <w:sz w:val="28"/>
                      <w:szCs w:val="28"/>
                    </w:rPr>
                    <m:t>f</m:t>
                  </m:r>
                  <m:ctrlPr>
                    <w:rPr>
                      <w:rFonts w:ascii="Cambria Math" w:hAnsi="Cambria Math" w:cs="Times New Roman"/>
                      <w:i/>
                      <w:sz w:val="28"/>
                      <w:szCs w:val="28"/>
                    </w:rPr>
                  </m:ctrlPr>
                </m:sub>
              </m:sSub>
              <m:r>
                <m:rPr/>
                <w:rPr>
                  <w:rFonts w:ascii="Cambria Math" w:hAnsi="Cambria Math" w:cs="Times New Roman"/>
                  <w:sz w:val="28"/>
                  <w:szCs w:val="28"/>
                </w:rPr>
                <m:t>−</m:t>
              </m:r>
              <m:sSub>
                <m:sSubPr>
                  <m:ctrlPr>
                    <w:rPr>
                      <w:rFonts w:ascii="Cambria Math" w:hAnsi="Cambria Math" w:cs="Times New Roman"/>
                      <w:i/>
                      <w:sz w:val="28"/>
                      <w:szCs w:val="28"/>
                    </w:rPr>
                  </m:ctrlPr>
                </m:sSubPr>
                <m:e>
                  <m:r>
                    <m:rPr/>
                    <w:rPr>
                      <w:rFonts w:ascii="Cambria Math" w:hAnsi="Cambria Math" w:cs="Times New Roman"/>
                      <w:sz w:val="28"/>
                      <w:szCs w:val="28"/>
                    </w:rPr>
                    <m:t>M</m:t>
                  </m:r>
                  <m:ctrlPr>
                    <w:rPr>
                      <w:rFonts w:ascii="Cambria Math" w:hAnsi="Cambria Math" w:cs="Times New Roman"/>
                      <w:i/>
                      <w:sz w:val="28"/>
                      <w:szCs w:val="28"/>
                    </w:rPr>
                  </m:ctrlPr>
                </m:e>
                <m:sub>
                  <m:r>
                    <m:rPr/>
                    <w:rPr>
                      <w:rFonts w:ascii="Cambria Math" w:hAnsi="Cambria Math" w:cs="Times New Roman"/>
                      <w:sz w:val="28"/>
                      <w:szCs w:val="28"/>
                    </w:rPr>
                    <m:t>b</m:t>
                  </m:r>
                  <m:ctrlPr>
                    <w:rPr>
                      <w:rFonts w:ascii="Cambria Math" w:hAnsi="Cambria Math" w:cs="Times New Roman"/>
                      <w:i/>
                      <w:sz w:val="28"/>
                      <w:szCs w:val="28"/>
                    </w:rPr>
                  </m:ctrlPr>
                </m:sub>
              </m:sSub>
              <m:ctrlPr>
                <w:rPr>
                  <w:rFonts w:ascii="Cambria Math" w:hAnsi="Cambria Math" w:cs="Times New Roman"/>
                  <w:i/>
                  <w:sz w:val="28"/>
                  <w:szCs w:val="28"/>
                </w:rPr>
              </m:ctrlPr>
            </m:num>
            <m:den>
              <m:r>
                <m:rPr/>
                <w:rPr>
                  <w:rFonts w:ascii="Cambria Math" w:hAnsi="Cambria Math" w:cs="Times New Roman"/>
                  <w:sz w:val="28"/>
                  <w:szCs w:val="28"/>
                </w:rPr>
                <m:t>A×t</m:t>
              </m:r>
              <m:ctrlPr>
                <w:rPr>
                  <w:rFonts w:ascii="Cambria Math" w:hAnsi="Cambria Math" w:cs="Times New Roman"/>
                  <w:i/>
                  <w:sz w:val="28"/>
                  <w:szCs w:val="28"/>
                </w:rPr>
              </m:ctrlPr>
            </m:den>
          </m:f>
        </m:oMath>
      </m:oMathPara>
    </w:p>
    <w:p w14:paraId="53397263">
      <w:pPr>
        <w:spacing w:line="480" w:lineRule="auto"/>
        <w:rPr>
          <w:rFonts w:cs="Times New Roman"/>
          <w:sz w:val="28"/>
          <w:szCs w:val="28"/>
        </w:rPr>
      </w:pPr>
      <w:r>
        <w:rPr>
          <w:rFonts w:cs="Times New Roman"/>
          <w:sz w:val="28"/>
          <w:szCs w:val="28"/>
        </w:rPr>
        <w:t xml:space="preserve">where </w:t>
      </w:r>
      <w:r>
        <w:rPr>
          <w:rFonts w:cs="Times New Roman"/>
          <w:i/>
          <w:iCs/>
          <w:sz w:val="28"/>
          <w:szCs w:val="28"/>
        </w:rPr>
        <w:t>M</w:t>
      </w:r>
      <w:r>
        <w:rPr>
          <w:rFonts w:cs="Times New Roman"/>
          <w:i/>
          <w:iCs/>
          <w:sz w:val="28"/>
          <w:szCs w:val="28"/>
          <w:vertAlign w:val="subscript"/>
        </w:rPr>
        <w:t>f</w:t>
      </w:r>
      <w:r>
        <w:rPr>
          <w:rFonts w:cs="Times New Roman"/>
          <w:sz w:val="28"/>
          <w:szCs w:val="28"/>
        </w:rPr>
        <w:t xml:space="preserve"> (mg N) is NH</w:t>
      </w:r>
      <w:r>
        <w:rPr>
          <w:rFonts w:cs="Times New Roman"/>
          <w:sz w:val="28"/>
          <w:szCs w:val="28"/>
          <w:vertAlign w:val="subscript"/>
        </w:rPr>
        <w:t>4</w:t>
      </w:r>
      <w:r>
        <w:rPr>
          <w:rFonts w:cs="Times New Roman"/>
          <w:sz w:val="28"/>
          <w:szCs w:val="28"/>
          <w:vertAlign w:val="superscript"/>
        </w:rPr>
        <w:t>+</w:t>
      </w:r>
      <w:r>
        <w:rPr>
          <w:rFonts w:hint="eastAsia" w:cs="Times New Roman"/>
          <w:sz w:val="28"/>
          <w:szCs w:val="28"/>
        </w:rPr>
        <w:t>-</w:t>
      </w:r>
      <w:r>
        <w:rPr>
          <w:rFonts w:cs="Times New Roman"/>
          <w:sz w:val="28"/>
          <w:szCs w:val="28"/>
        </w:rPr>
        <w:t>N content in</w:t>
      </w:r>
      <w:r>
        <w:rPr>
          <w:rFonts w:hint="eastAsia" w:cs="Times New Roman"/>
          <w:sz w:val="28"/>
          <w:szCs w:val="28"/>
        </w:rPr>
        <w:t xml:space="preserve"> the acidic solution</w:t>
      </w:r>
      <w:r>
        <w:rPr>
          <w:rFonts w:cs="Times New Roman"/>
          <w:sz w:val="28"/>
          <w:szCs w:val="28"/>
        </w:rPr>
        <w:t xml:space="preserve"> </w:t>
      </w:r>
      <w:r>
        <w:rPr>
          <w:rFonts w:hint="eastAsia" w:cs="Times New Roman"/>
          <w:sz w:val="28"/>
          <w:szCs w:val="28"/>
        </w:rPr>
        <w:t xml:space="preserve">(closed chamber) or the </w:t>
      </w:r>
      <w:r>
        <w:rPr>
          <w:rFonts w:cs="Times New Roman"/>
          <w:sz w:val="28"/>
          <w:szCs w:val="28"/>
        </w:rPr>
        <w:t>lower sponge</w:t>
      </w:r>
      <w:r>
        <w:rPr>
          <w:rFonts w:hint="eastAsia" w:cs="Times New Roman"/>
          <w:sz w:val="28"/>
          <w:szCs w:val="28"/>
        </w:rPr>
        <w:t xml:space="preserve"> (vented chamber)</w:t>
      </w:r>
      <w:r>
        <w:rPr>
          <w:rFonts w:cs="Times New Roman"/>
          <w:sz w:val="28"/>
          <w:szCs w:val="28"/>
        </w:rPr>
        <w:t xml:space="preserve"> </w:t>
      </w:r>
      <w:r>
        <w:rPr>
          <w:rFonts w:hint="eastAsia" w:cs="Times New Roman"/>
          <w:sz w:val="28"/>
          <w:szCs w:val="28"/>
        </w:rPr>
        <w:t>for</w:t>
      </w:r>
      <w:r>
        <w:rPr>
          <w:rFonts w:cs="Times New Roman"/>
          <w:sz w:val="28"/>
          <w:szCs w:val="28"/>
        </w:rPr>
        <w:t xml:space="preserve"> N-applied </w:t>
      </w:r>
      <w:r>
        <w:rPr>
          <w:rFonts w:hint="eastAsia" w:cs="Times New Roman"/>
          <w:sz w:val="28"/>
          <w:szCs w:val="28"/>
        </w:rPr>
        <w:t>plots</w:t>
      </w:r>
      <w:r>
        <w:rPr>
          <w:rFonts w:cs="Times New Roman"/>
          <w:sz w:val="28"/>
          <w:szCs w:val="28"/>
        </w:rPr>
        <w:t xml:space="preserve">; </w:t>
      </w:r>
      <w:r>
        <w:rPr>
          <w:rFonts w:cs="Times New Roman"/>
          <w:i/>
          <w:iCs/>
          <w:sz w:val="28"/>
          <w:szCs w:val="28"/>
        </w:rPr>
        <w:t>M</w:t>
      </w:r>
      <w:r>
        <w:rPr>
          <w:rFonts w:cs="Times New Roman"/>
          <w:i/>
          <w:iCs/>
          <w:sz w:val="28"/>
          <w:szCs w:val="28"/>
          <w:vertAlign w:val="subscript"/>
        </w:rPr>
        <w:t>b</w:t>
      </w:r>
      <w:r>
        <w:rPr>
          <w:rFonts w:cs="Times New Roman"/>
          <w:i/>
          <w:iCs/>
          <w:sz w:val="28"/>
          <w:szCs w:val="28"/>
        </w:rPr>
        <w:t xml:space="preserve"> </w:t>
      </w:r>
      <w:r>
        <w:rPr>
          <w:rFonts w:cs="Times New Roman"/>
          <w:sz w:val="28"/>
          <w:szCs w:val="28"/>
        </w:rPr>
        <w:t>(mg N) is the NH</w:t>
      </w:r>
      <w:r>
        <w:rPr>
          <w:rFonts w:cs="Times New Roman"/>
          <w:sz w:val="28"/>
          <w:szCs w:val="28"/>
          <w:vertAlign w:val="subscript"/>
        </w:rPr>
        <w:t>4</w:t>
      </w:r>
      <w:r>
        <w:rPr>
          <w:rFonts w:cs="Times New Roman"/>
          <w:sz w:val="28"/>
          <w:szCs w:val="28"/>
          <w:vertAlign w:val="superscript"/>
        </w:rPr>
        <w:t>+</w:t>
      </w:r>
      <w:r>
        <w:rPr>
          <w:rFonts w:hint="eastAsia" w:cs="Times New Roman"/>
          <w:sz w:val="28"/>
          <w:szCs w:val="28"/>
        </w:rPr>
        <w:t>-</w:t>
      </w:r>
      <w:r>
        <w:rPr>
          <w:rFonts w:cs="Times New Roman"/>
          <w:sz w:val="28"/>
          <w:szCs w:val="28"/>
        </w:rPr>
        <w:t xml:space="preserve">N content in sponge before it was placed in field; </w:t>
      </w:r>
      <w:r>
        <w:rPr>
          <w:rFonts w:cs="Times New Roman"/>
          <w:i/>
          <w:iCs/>
          <w:sz w:val="28"/>
          <w:szCs w:val="28"/>
        </w:rPr>
        <w:t>A</w:t>
      </w:r>
      <w:r>
        <w:rPr>
          <w:rFonts w:cs="Times New Roman"/>
          <w:sz w:val="28"/>
          <w:szCs w:val="28"/>
        </w:rPr>
        <w:t xml:space="preserve"> (m</w:t>
      </w:r>
      <w:r>
        <w:rPr>
          <w:rFonts w:cs="Times New Roman"/>
          <w:sz w:val="28"/>
          <w:szCs w:val="28"/>
          <w:vertAlign w:val="superscript"/>
        </w:rPr>
        <w:t>2</w:t>
      </w:r>
      <w:r>
        <w:rPr>
          <w:rFonts w:cs="Times New Roman"/>
          <w:sz w:val="28"/>
          <w:szCs w:val="28"/>
        </w:rPr>
        <w:t xml:space="preserve">) is the inner area of the chamber. </w:t>
      </w:r>
      <w:r>
        <w:rPr>
          <w:rFonts w:cs="Times New Roman"/>
          <w:i/>
          <w:iCs/>
          <w:sz w:val="28"/>
          <w:szCs w:val="28"/>
        </w:rPr>
        <w:t>t</w:t>
      </w:r>
      <w:r>
        <w:rPr>
          <w:rFonts w:cs="Times New Roman"/>
          <w:sz w:val="28"/>
          <w:szCs w:val="28"/>
        </w:rPr>
        <w:t xml:space="preserve"> (h) is the dur</w:t>
      </w:r>
      <w:r>
        <w:rPr>
          <w:rFonts w:hint="eastAsia" w:cs="Times New Roman"/>
          <w:sz w:val="28"/>
          <w:szCs w:val="28"/>
        </w:rPr>
        <w:t>ation</w:t>
      </w:r>
      <w:r>
        <w:rPr>
          <w:rFonts w:cs="Times New Roman"/>
          <w:sz w:val="28"/>
          <w:szCs w:val="28"/>
        </w:rPr>
        <w:t xml:space="preserve"> the sponge i</w:t>
      </w:r>
      <w:r>
        <w:rPr>
          <w:rFonts w:hint="eastAsia" w:cs="Times New Roman"/>
          <w:sz w:val="28"/>
          <w:szCs w:val="28"/>
        </w:rPr>
        <w:t>s placed</w:t>
      </w:r>
      <w:r>
        <w:rPr>
          <w:rFonts w:cs="Times New Roman"/>
          <w:sz w:val="28"/>
          <w:szCs w:val="28"/>
        </w:rPr>
        <w:t xml:space="preserve"> </w:t>
      </w:r>
      <w:r>
        <w:rPr>
          <w:rFonts w:hint="eastAsia" w:cs="Times New Roman"/>
          <w:sz w:val="28"/>
          <w:szCs w:val="28"/>
        </w:rPr>
        <w:t xml:space="preserve">in </w:t>
      </w:r>
      <w:r>
        <w:rPr>
          <w:rFonts w:cs="Times New Roman"/>
          <w:sz w:val="28"/>
          <w:szCs w:val="28"/>
        </w:rPr>
        <w:t>the field.</w:t>
      </w:r>
    </w:p>
    <w:p w14:paraId="1B2F26AD">
      <w:pPr>
        <w:numPr>
          <w:ilvl w:val="0"/>
          <w:numId w:val="0"/>
        </w:numPr>
        <w:spacing w:before="156" w:beforeLines="50" w:line="480" w:lineRule="auto"/>
        <w:ind w:left="420" w:leftChars="0" w:hanging="420" w:firstLineChars="0"/>
        <w:rPr>
          <w:rFonts w:cs="Times New Roman"/>
          <w:sz w:val="28"/>
          <w:szCs w:val="28"/>
        </w:rPr>
      </w:pPr>
      <w:r>
        <w:rPr>
          <w:rFonts w:hint="default" w:ascii="Wingdings" w:hAnsi="Wingdings" w:cs="Times New Roman" w:eastAsiaTheme="minorEastAsia"/>
          <w:kern w:val="2"/>
          <w:sz w:val="28"/>
          <w:szCs w:val="28"/>
          <w:lang w:val="en-US" w:eastAsia="zh-CN" w:bidi="ar-SA"/>
        </w:rPr>
        <w:t></w:t>
      </w:r>
      <w:r>
        <w:rPr>
          <w:rFonts w:cs="Times New Roman"/>
          <w:b/>
          <w:bCs/>
          <w:sz w:val="28"/>
          <w:szCs w:val="28"/>
        </w:rPr>
        <w:t>Dräger-Tube</w:t>
      </w:r>
      <w:r>
        <w:rPr>
          <w:rFonts w:hint="eastAsia" w:cs="Times New Roman"/>
          <w:b/>
          <w:bCs/>
          <w:sz w:val="28"/>
          <w:szCs w:val="28"/>
        </w:rPr>
        <w:t xml:space="preserve">s </w:t>
      </w:r>
    </w:p>
    <w:p w14:paraId="570F5B5C">
      <w:pPr>
        <w:spacing w:line="480" w:lineRule="auto"/>
        <w:rPr>
          <w:rFonts w:cs="Times New Roman"/>
          <w:color w:val="000000" w:themeColor="text1"/>
          <w:sz w:val="28"/>
          <w:szCs w:val="28"/>
          <w14:textFill>
            <w14:solidFill>
              <w14:schemeClr w14:val="tx1"/>
            </w14:solidFill>
          </w14:textFill>
        </w:rPr>
      </w:pPr>
      <w:r>
        <w:rPr>
          <w:rFonts w:cs="Times New Roman"/>
          <w:sz w:val="28"/>
          <w:szCs w:val="28"/>
        </w:rPr>
        <w:t xml:space="preserve">Ambient air is </w:t>
      </w:r>
      <w:r>
        <w:rPr>
          <w:rFonts w:hint="eastAsia" w:cs="Times New Roman"/>
          <w:sz w:val="28"/>
          <w:szCs w:val="28"/>
        </w:rPr>
        <w:t>drawn</w:t>
      </w:r>
      <w:r>
        <w:rPr>
          <w:rFonts w:cs="Times New Roman"/>
          <w:sz w:val="28"/>
          <w:szCs w:val="28"/>
        </w:rPr>
        <w:t xml:space="preserve"> through four chambers by a hand pump. The air </w:t>
      </w:r>
      <w:r>
        <w:rPr>
          <w:rFonts w:cs="Times New Roman"/>
          <w:color w:val="000000" w:themeColor="text1"/>
          <w:sz w:val="28"/>
          <w:szCs w:val="28"/>
          <w14:textFill>
            <w14:solidFill>
              <w14:schemeClr w14:val="tx1"/>
            </w14:solidFill>
          </w14:textFill>
        </w:rPr>
        <w:t>is enriched with NH</w:t>
      </w:r>
      <w:r>
        <w:rPr>
          <w:rFonts w:cs="Times New Roman"/>
          <w:color w:val="000000" w:themeColor="text1"/>
          <w:sz w:val="28"/>
          <w:szCs w:val="28"/>
          <w:vertAlign w:val="subscript"/>
          <w14:textFill>
            <w14:solidFill>
              <w14:schemeClr w14:val="tx1"/>
            </w14:solidFill>
          </w14:textFill>
        </w:rPr>
        <w:t>3</w:t>
      </w:r>
      <w:r>
        <w:rPr>
          <w:rFonts w:cs="Times New Roman"/>
          <w:color w:val="000000" w:themeColor="text1"/>
          <w:sz w:val="28"/>
          <w:szCs w:val="28"/>
          <w14:textFill>
            <w14:solidFill>
              <w14:schemeClr w14:val="tx1"/>
            </w14:solidFill>
          </w14:textFill>
        </w:rPr>
        <w:t xml:space="preserve"> emitted from the soil surface. The air is then led through Teflon tubing to an NH</w:t>
      </w:r>
      <w:r>
        <w:rPr>
          <w:rFonts w:cs="Times New Roman"/>
          <w:color w:val="000000" w:themeColor="text1"/>
          <w:sz w:val="28"/>
          <w:szCs w:val="28"/>
          <w:vertAlign w:val="subscript"/>
          <w14:textFill>
            <w14:solidFill>
              <w14:schemeClr w14:val="tx1"/>
            </w14:solidFill>
          </w14:textFill>
        </w:rPr>
        <w:t>3</w:t>
      </w:r>
      <w:r>
        <w:rPr>
          <w:rFonts w:cs="Times New Roman"/>
          <w:color w:val="000000" w:themeColor="text1"/>
          <w:sz w:val="28"/>
          <w:szCs w:val="28"/>
          <w14:textFill>
            <w14:solidFill>
              <w14:schemeClr w14:val="tx1"/>
            </w14:solidFill>
          </w14:textFill>
        </w:rPr>
        <w:t xml:space="preserve"> sensitive Dräger gas analysis detector tube which immediately displays the NH</w:t>
      </w:r>
      <w:r>
        <w:rPr>
          <w:rFonts w:cs="Times New Roman"/>
          <w:color w:val="000000" w:themeColor="text1"/>
          <w:sz w:val="28"/>
          <w:szCs w:val="28"/>
          <w:vertAlign w:val="subscript"/>
          <w14:textFill>
            <w14:solidFill>
              <w14:schemeClr w14:val="tx1"/>
            </w14:solidFill>
          </w14:textFill>
        </w:rPr>
        <w:t>3</w:t>
      </w:r>
      <w:r>
        <w:rPr>
          <w:rFonts w:cs="Times New Roman"/>
          <w:color w:val="000000" w:themeColor="text1"/>
          <w:sz w:val="28"/>
          <w:szCs w:val="28"/>
          <w14:textFill>
            <w14:solidFill>
              <w14:schemeClr w14:val="tx1"/>
            </w14:solidFill>
          </w14:textFill>
        </w:rPr>
        <w:t xml:space="preserve"> concentration. The NH</w:t>
      </w:r>
      <w:r>
        <w:rPr>
          <w:rFonts w:cs="Times New Roman"/>
          <w:color w:val="000000" w:themeColor="text1"/>
          <w:sz w:val="28"/>
          <w:szCs w:val="28"/>
          <w:vertAlign w:val="subscript"/>
          <w14:textFill>
            <w14:solidFill>
              <w14:schemeClr w14:val="tx1"/>
            </w14:solidFill>
          </w14:textFill>
        </w:rPr>
        <w:t>3</w:t>
      </w:r>
      <w:r>
        <w:rPr>
          <w:rFonts w:cs="Times New Roman"/>
          <w:color w:val="000000" w:themeColor="text1"/>
          <w:sz w:val="28"/>
          <w:szCs w:val="28"/>
          <w14:textFill>
            <w14:solidFill>
              <w14:schemeClr w14:val="tx1"/>
            </w14:solidFill>
          </w14:textFill>
        </w:rPr>
        <w:t xml:space="preserve"> fluxes (mg N m</w:t>
      </w:r>
      <w:r>
        <w:rPr>
          <w:rFonts w:eastAsia="宋体" w:cs="Times New Roman"/>
          <w:sz w:val="28"/>
          <w:szCs w:val="28"/>
          <w:vertAlign w:val="superscript"/>
        </w:rPr>
        <w:t>−</w:t>
      </w:r>
      <w:r>
        <w:rPr>
          <w:rFonts w:cs="Times New Roman"/>
          <w:color w:val="000000" w:themeColor="text1"/>
          <w:sz w:val="28"/>
          <w:szCs w:val="28"/>
          <w:vertAlign w:val="superscript"/>
          <w14:textFill>
            <w14:solidFill>
              <w14:schemeClr w14:val="tx1"/>
            </w14:solidFill>
          </w14:textFill>
        </w:rPr>
        <w:t>2</w:t>
      </w:r>
      <w:r>
        <w:rPr>
          <w:rFonts w:cs="Times New Roman"/>
          <w:color w:val="000000" w:themeColor="text1"/>
          <w:sz w:val="28"/>
          <w:szCs w:val="28"/>
          <w14:textFill>
            <w14:solidFill>
              <w14:schemeClr w14:val="tx1"/>
            </w14:solidFill>
          </w14:textFill>
        </w:rPr>
        <w:t xml:space="preserve"> h</w:t>
      </w:r>
      <w:r>
        <w:rPr>
          <w:rFonts w:eastAsia="宋体" w:cs="Times New Roman"/>
          <w:sz w:val="28"/>
          <w:szCs w:val="28"/>
          <w:vertAlign w:val="superscript"/>
        </w:rPr>
        <w:t>−</w:t>
      </w:r>
      <w:r>
        <w:rPr>
          <w:rFonts w:cs="Times New Roman"/>
          <w:color w:val="000000" w:themeColor="text1"/>
          <w:sz w:val="28"/>
          <w:szCs w:val="28"/>
          <w:vertAlign w:val="superscript"/>
          <w14:textFill>
            <w14:solidFill>
              <w14:schemeClr w14:val="tx1"/>
            </w14:solidFill>
          </w14:textFill>
        </w:rPr>
        <w:t>1</w:t>
      </w:r>
      <w:r>
        <w:rPr>
          <w:rFonts w:cs="Times New Roman"/>
          <w:color w:val="000000" w:themeColor="text1"/>
          <w:sz w:val="28"/>
          <w:szCs w:val="28"/>
          <w14:textFill>
            <w14:solidFill>
              <w14:schemeClr w14:val="tx1"/>
            </w14:solidFill>
          </w14:textFill>
        </w:rPr>
        <w:t>) were calculated according to the following formula:</w:t>
      </w:r>
    </w:p>
    <w:p w14:paraId="35DDA805">
      <w:pPr>
        <w:spacing w:line="480" w:lineRule="auto"/>
        <w:jc w:val="center"/>
        <w:rPr>
          <w:rFonts w:cs="Times New Roman"/>
          <w:color w:val="000000" w:themeColor="text1"/>
          <w:sz w:val="28"/>
          <w:szCs w:val="28"/>
          <w14:textFill>
            <w14:solidFill>
              <w14:schemeClr w14:val="tx1"/>
            </w14:solidFill>
          </w14:textFill>
        </w:rPr>
      </w:pPr>
      <m:oMathPara>
        <m:oMath>
          <m:r>
            <m:rPr/>
            <w:rPr>
              <w:rFonts w:ascii="Cambria Math" w:hAnsi="Cambria Math" w:cs="Times New Roman"/>
              <w:color w:val="000000" w:themeColor="text1"/>
              <w:sz w:val="28"/>
              <w:szCs w:val="28"/>
              <w14:textFill>
                <w14:solidFill>
                  <w14:schemeClr w14:val="tx1"/>
                </w14:solidFill>
              </w14:textFill>
            </w:rPr>
            <m:t>F=V×C×</m:t>
          </m:r>
          <m:sSup>
            <m:sSupPr>
              <m:ctrlPr>
                <w:rPr>
                  <w:rFonts w:ascii="Cambria Math" w:hAnsi="Cambria Math" w:cs="Times New Roman"/>
                  <w:i/>
                  <w:color w:val="000000" w:themeColor="text1"/>
                  <w:sz w:val="28"/>
                  <w:szCs w:val="28"/>
                  <w14:textFill>
                    <w14:solidFill>
                      <w14:schemeClr w14:val="tx1"/>
                    </w14:solidFill>
                  </w14:textFill>
                </w:rPr>
              </m:ctrlPr>
            </m:sSupPr>
            <m:e>
              <m:r>
                <m:rPr/>
                <w:rPr>
                  <w:rFonts w:ascii="Cambria Math" w:hAnsi="Cambria Math" w:cs="Times New Roman"/>
                  <w:color w:val="000000" w:themeColor="text1"/>
                  <w:sz w:val="28"/>
                  <w:szCs w:val="28"/>
                  <w14:textFill>
                    <w14:solidFill>
                      <w14:schemeClr w14:val="tx1"/>
                    </w14:solidFill>
                  </w14:textFill>
                </w:rPr>
                <m:t>10</m:t>
              </m:r>
              <m:ctrlPr>
                <w:rPr>
                  <w:rFonts w:ascii="Cambria Math" w:hAnsi="Cambria Math" w:cs="Times New Roman"/>
                  <w:i/>
                  <w:color w:val="000000" w:themeColor="text1"/>
                  <w:sz w:val="28"/>
                  <w:szCs w:val="28"/>
                  <w14:textFill>
                    <w14:solidFill>
                      <w14:schemeClr w14:val="tx1"/>
                    </w14:solidFill>
                  </w14:textFill>
                </w:rPr>
              </m:ctrlPr>
            </m:e>
            <m:sup>
              <m:r>
                <m:rPr/>
                <w:rPr>
                  <w:rFonts w:ascii="Cambria Math" w:hAnsi="Cambria Math" w:cs="Times New Roman"/>
                  <w:color w:val="000000" w:themeColor="text1"/>
                  <w:sz w:val="28"/>
                  <w:szCs w:val="28"/>
                  <w14:textFill>
                    <w14:solidFill>
                      <w14:schemeClr w14:val="tx1"/>
                    </w14:solidFill>
                  </w14:textFill>
                </w:rPr>
                <m:t>−6</m:t>
              </m:r>
              <m:ctrlPr>
                <w:rPr>
                  <w:rFonts w:ascii="Cambria Math" w:hAnsi="Cambria Math" w:cs="Times New Roman"/>
                  <w:i/>
                  <w:color w:val="000000" w:themeColor="text1"/>
                  <w:sz w:val="28"/>
                  <w:szCs w:val="28"/>
                  <w14:textFill>
                    <w14:solidFill>
                      <w14:schemeClr w14:val="tx1"/>
                    </w14:solidFill>
                  </w14:textFill>
                </w:rPr>
              </m:ctrlPr>
            </m:sup>
          </m:sSup>
          <m:r>
            <m:rPr/>
            <w:rPr>
              <w:rFonts w:ascii="Cambria Math" w:hAnsi="Cambria Math" w:cs="Times New Roman"/>
              <w:color w:val="000000" w:themeColor="text1"/>
              <w:sz w:val="28"/>
              <w:szCs w:val="28"/>
              <w14:textFill>
                <w14:solidFill>
                  <w14:schemeClr w14:val="tx1"/>
                </w14:solidFill>
              </w14:textFill>
            </w:rPr>
            <m:t>×</m:t>
          </m:r>
          <m:sSub>
            <m:sSubPr>
              <m:ctrlPr>
                <w:rPr>
                  <w:rFonts w:ascii="Cambria Math" w:hAnsi="Cambria Math" w:cs="Times New Roman"/>
                  <w:i/>
                  <w:color w:val="000000" w:themeColor="text1"/>
                  <w:sz w:val="28"/>
                  <w:szCs w:val="28"/>
                  <w14:textFill>
                    <w14:solidFill>
                      <w14:schemeClr w14:val="tx1"/>
                    </w14:solidFill>
                  </w14:textFill>
                </w:rPr>
              </m:ctrlPr>
            </m:sSubPr>
            <m:e>
              <m:r>
                <m:rPr/>
                <w:rPr>
                  <w:rFonts w:ascii="Cambria Math" w:hAnsi="Cambria Math" w:cs="Times New Roman"/>
                  <w:color w:val="000000" w:themeColor="text1"/>
                  <w:sz w:val="28"/>
                  <w:szCs w:val="28"/>
                  <w14:textFill>
                    <w14:solidFill>
                      <w14:schemeClr w14:val="tx1"/>
                    </w14:solidFill>
                  </w14:textFill>
                </w:rPr>
                <m:t>ρ</m:t>
              </m:r>
              <m:ctrlPr>
                <w:rPr>
                  <w:rFonts w:ascii="Cambria Math" w:hAnsi="Cambria Math" w:cs="Times New Roman"/>
                  <w:i/>
                  <w:color w:val="000000" w:themeColor="text1"/>
                  <w:sz w:val="28"/>
                  <w:szCs w:val="28"/>
                  <w14:textFill>
                    <w14:solidFill>
                      <w14:schemeClr w14:val="tx1"/>
                    </w14:solidFill>
                  </w14:textFill>
                </w:rPr>
              </m:ctrlPr>
            </m:e>
            <m:sub>
              <m:r>
                <m:rPr/>
                <w:rPr>
                  <w:rFonts w:ascii="Cambria Math" w:hAnsi="Cambria Math" w:cs="Times New Roman"/>
                  <w:color w:val="000000" w:themeColor="text1"/>
                  <w:sz w:val="28"/>
                  <w:szCs w:val="28"/>
                  <w14:textFill>
                    <w14:solidFill>
                      <w14:schemeClr w14:val="tx1"/>
                    </w14:solidFill>
                  </w14:textFill>
                </w:rPr>
                <m:t>NH3</m:t>
              </m:r>
              <m:ctrlPr>
                <w:rPr>
                  <w:rFonts w:ascii="Cambria Math" w:hAnsi="Cambria Math" w:cs="Times New Roman"/>
                  <w:i/>
                  <w:color w:val="000000" w:themeColor="text1"/>
                  <w:sz w:val="28"/>
                  <w:szCs w:val="28"/>
                  <w14:textFill>
                    <w14:solidFill>
                      <w14:schemeClr w14:val="tx1"/>
                    </w14:solidFill>
                  </w14:textFill>
                </w:rPr>
              </m:ctrlPr>
            </m:sub>
          </m:sSub>
          <m:r>
            <m:rPr/>
            <w:rPr>
              <w:rFonts w:ascii="Cambria Math" w:hAnsi="Cambria Math" w:cs="Times New Roman"/>
              <w:color w:val="000000" w:themeColor="text1"/>
              <w:sz w:val="28"/>
              <w:szCs w:val="28"/>
              <w14:textFill>
                <w14:solidFill>
                  <w14:schemeClr w14:val="tx1"/>
                </w14:solidFill>
              </w14:textFill>
            </w:rPr>
            <m:t>×</m:t>
          </m:r>
          <m:sSub>
            <m:sSubPr>
              <m:ctrlPr>
                <w:rPr>
                  <w:rFonts w:ascii="Cambria Math" w:hAnsi="Cambria Math" w:cs="Times New Roman"/>
                  <w:i/>
                  <w:color w:val="000000" w:themeColor="text1"/>
                  <w:sz w:val="28"/>
                  <w:szCs w:val="28"/>
                  <w14:textFill>
                    <w14:solidFill>
                      <w14:schemeClr w14:val="tx1"/>
                    </w14:solidFill>
                  </w14:textFill>
                </w:rPr>
              </m:ctrlPr>
            </m:sSubPr>
            <m:e>
              <m:r>
                <m:rPr/>
                <w:rPr>
                  <w:rFonts w:ascii="Cambria Math" w:hAnsi="Cambria Math" w:cs="Times New Roman"/>
                  <w:color w:val="000000" w:themeColor="text1"/>
                  <w:sz w:val="28"/>
                  <w:szCs w:val="28"/>
                  <w14:textFill>
                    <w14:solidFill>
                      <w14:schemeClr w14:val="tx1"/>
                    </w14:solidFill>
                  </w14:textFill>
                </w:rPr>
                <m:t>U</m:t>
              </m:r>
              <m:ctrlPr>
                <w:rPr>
                  <w:rFonts w:ascii="Cambria Math" w:hAnsi="Cambria Math" w:cs="Times New Roman"/>
                  <w:i/>
                  <w:color w:val="000000" w:themeColor="text1"/>
                  <w:sz w:val="28"/>
                  <w:szCs w:val="28"/>
                  <w14:textFill>
                    <w14:solidFill>
                      <w14:schemeClr w14:val="tx1"/>
                    </w14:solidFill>
                  </w14:textFill>
                </w:rPr>
              </m:ctrlPr>
            </m:e>
            <m:sub>
              <m:r>
                <m:rPr/>
                <w:rPr>
                  <w:rFonts w:ascii="Cambria Math" w:hAnsi="Cambria Math" w:cs="Times New Roman"/>
                  <w:color w:val="000000" w:themeColor="text1"/>
                  <w:sz w:val="28"/>
                  <w:szCs w:val="28"/>
                  <w14:textFill>
                    <w14:solidFill>
                      <w14:schemeClr w14:val="tx1"/>
                    </w14:solidFill>
                  </w14:textFill>
                </w:rPr>
                <m:t>N</m:t>
              </m:r>
              <m:ctrlPr>
                <w:rPr>
                  <w:rFonts w:ascii="Cambria Math" w:hAnsi="Cambria Math" w:cs="Times New Roman"/>
                  <w:i/>
                  <w:color w:val="000000" w:themeColor="text1"/>
                  <w:sz w:val="28"/>
                  <w:szCs w:val="28"/>
                  <w14:textFill>
                    <w14:solidFill>
                      <w14:schemeClr w14:val="tx1"/>
                    </w14:solidFill>
                  </w14:textFill>
                </w:rPr>
              </m:ctrlPr>
            </m:sub>
          </m:sSub>
          <m:r>
            <m:rPr/>
            <w:rPr>
              <w:rFonts w:ascii="Cambria Math" w:hAnsi="Cambria Math" w:cs="Times New Roman"/>
              <w:color w:val="000000" w:themeColor="text1"/>
              <w:sz w:val="28"/>
              <w:szCs w:val="28"/>
              <w14:textFill>
                <w14:solidFill>
                  <w14:schemeClr w14:val="tx1"/>
                </w14:solidFill>
              </w14:textFill>
            </w:rPr>
            <m:t>×</m:t>
          </m:r>
          <m:sSub>
            <m:sSubPr>
              <m:ctrlPr>
                <w:rPr>
                  <w:rFonts w:ascii="Cambria Math" w:hAnsi="Cambria Math" w:cs="Times New Roman"/>
                  <w:i/>
                  <w:color w:val="000000" w:themeColor="text1"/>
                  <w:sz w:val="28"/>
                  <w:szCs w:val="28"/>
                  <w14:textFill>
                    <w14:solidFill>
                      <w14:schemeClr w14:val="tx1"/>
                    </w14:solidFill>
                  </w14:textFill>
                </w:rPr>
              </m:ctrlPr>
            </m:sSubPr>
            <m:e>
              <m:r>
                <m:rPr/>
                <w:rPr>
                  <w:rFonts w:ascii="Cambria Math" w:hAnsi="Cambria Math" w:cs="Times New Roman"/>
                  <w:color w:val="000000" w:themeColor="text1"/>
                  <w:sz w:val="28"/>
                  <w:szCs w:val="28"/>
                  <w14:textFill>
                    <w14:solidFill>
                      <w14:schemeClr w14:val="tx1"/>
                    </w14:solidFill>
                  </w14:textFill>
                </w:rPr>
                <m:t>U</m:t>
              </m:r>
              <m:ctrlPr>
                <w:rPr>
                  <w:rFonts w:ascii="Cambria Math" w:hAnsi="Cambria Math" w:cs="Times New Roman"/>
                  <w:i/>
                  <w:color w:val="000000" w:themeColor="text1"/>
                  <w:sz w:val="28"/>
                  <w:szCs w:val="28"/>
                  <w14:textFill>
                    <w14:solidFill>
                      <w14:schemeClr w14:val="tx1"/>
                    </w14:solidFill>
                  </w14:textFill>
                </w:rPr>
              </m:ctrlPr>
            </m:e>
            <m:sub>
              <m:r>
                <m:rPr/>
                <w:rPr>
                  <w:rFonts w:ascii="Cambria Math" w:hAnsi="Cambria Math" w:cs="Times New Roman"/>
                  <w:color w:val="000000" w:themeColor="text1"/>
                  <w:sz w:val="28"/>
                  <w:szCs w:val="28"/>
                  <w14:textFill>
                    <w14:solidFill>
                      <w14:schemeClr w14:val="tx1"/>
                    </w14:solidFill>
                  </w14:textFill>
                </w:rPr>
                <m:t>F</m:t>
              </m:r>
              <m:ctrlPr>
                <w:rPr>
                  <w:rFonts w:ascii="Cambria Math" w:hAnsi="Cambria Math" w:cs="Times New Roman"/>
                  <w:i/>
                  <w:color w:val="000000" w:themeColor="text1"/>
                  <w:sz w:val="28"/>
                  <w:szCs w:val="28"/>
                  <w14:textFill>
                    <w14:solidFill>
                      <w14:schemeClr w14:val="tx1"/>
                    </w14:solidFill>
                  </w14:textFill>
                </w:rPr>
              </m:ctrlPr>
            </m:sub>
          </m:sSub>
          <m:r>
            <m:rPr/>
            <w:rPr>
              <w:rFonts w:ascii="Cambria Math" w:hAnsi="Cambria Math" w:cs="Times New Roman"/>
              <w:color w:val="000000" w:themeColor="text1"/>
              <w:sz w:val="28"/>
              <w:szCs w:val="28"/>
              <w14:textFill>
                <w14:solidFill>
                  <w14:schemeClr w14:val="tx1"/>
                </w14:solidFill>
              </w14:textFill>
            </w:rPr>
            <m:t>×</m:t>
          </m:r>
          <m:sSub>
            <m:sSubPr>
              <m:ctrlPr>
                <w:rPr>
                  <w:rFonts w:ascii="Cambria Math" w:hAnsi="Cambria Math" w:cs="Times New Roman"/>
                  <w:i/>
                  <w:color w:val="000000" w:themeColor="text1"/>
                  <w:sz w:val="28"/>
                  <w:szCs w:val="28"/>
                  <w14:textFill>
                    <w14:solidFill>
                      <w14:schemeClr w14:val="tx1"/>
                    </w14:solidFill>
                  </w14:textFill>
                </w:rPr>
              </m:ctrlPr>
            </m:sSubPr>
            <m:e>
              <m:r>
                <m:rPr/>
                <w:rPr>
                  <w:rFonts w:ascii="Cambria Math" w:hAnsi="Cambria Math" w:cs="Times New Roman"/>
                  <w:color w:val="000000" w:themeColor="text1"/>
                  <w:sz w:val="28"/>
                  <w:szCs w:val="28"/>
                  <w14:textFill>
                    <w14:solidFill>
                      <w14:schemeClr w14:val="tx1"/>
                    </w14:solidFill>
                  </w14:textFill>
                </w:rPr>
                <m:t>U</m:t>
              </m:r>
              <m:ctrlPr>
                <w:rPr>
                  <w:rFonts w:ascii="Cambria Math" w:hAnsi="Cambria Math" w:cs="Times New Roman"/>
                  <w:i/>
                  <w:color w:val="000000" w:themeColor="text1"/>
                  <w:sz w:val="28"/>
                  <w:szCs w:val="28"/>
                  <w14:textFill>
                    <w14:solidFill>
                      <w14:schemeClr w14:val="tx1"/>
                    </w14:solidFill>
                  </w14:textFill>
                </w:rPr>
              </m:ctrlPr>
            </m:e>
            <m:sub>
              <m:r>
                <m:rPr/>
                <w:rPr>
                  <w:rFonts w:ascii="Cambria Math" w:hAnsi="Cambria Math" w:cs="Times New Roman"/>
                  <w:color w:val="000000" w:themeColor="text1"/>
                  <w:sz w:val="28"/>
                  <w:szCs w:val="28"/>
                  <w14:textFill>
                    <w14:solidFill>
                      <w14:schemeClr w14:val="tx1"/>
                    </w14:solidFill>
                  </w14:textFill>
                </w:rPr>
                <m:t>Z</m:t>
              </m:r>
              <m:ctrlPr>
                <w:rPr>
                  <w:rFonts w:ascii="Cambria Math" w:hAnsi="Cambria Math" w:cs="Times New Roman"/>
                  <w:i/>
                  <w:color w:val="000000" w:themeColor="text1"/>
                  <w:sz w:val="28"/>
                  <w:szCs w:val="28"/>
                  <w14:textFill>
                    <w14:solidFill>
                      <w14:schemeClr w14:val="tx1"/>
                    </w14:solidFill>
                  </w14:textFill>
                </w:rPr>
              </m:ctrlPr>
            </m:sub>
          </m:sSub>
        </m:oMath>
      </m:oMathPara>
    </w:p>
    <w:p w14:paraId="5EB55875">
      <w:pPr>
        <w:widowControl/>
        <w:spacing w:line="480" w:lineRule="auto"/>
        <w:rPr>
          <w:rFonts w:cs="Times New Roman"/>
          <w:sz w:val="28"/>
          <w:szCs w:val="28"/>
        </w:rPr>
      </w:pPr>
      <w:r>
        <w:rPr>
          <w:rFonts w:cs="Times New Roman"/>
          <w:color w:val="000000" w:themeColor="text1"/>
          <w:sz w:val="28"/>
          <w:szCs w:val="28"/>
          <w14:textFill>
            <w14:solidFill>
              <w14:schemeClr w14:val="tx1"/>
            </w14:solidFill>
          </w14:textFill>
        </w:rPr>
        <w:t xml:space="preserve">where </w:t>
      </w:r>
      <w:r>
        <w:rPr>
          <w:rFonts w:hint="eastAsia" w:cs="Times New Roman"/>
          <w:i/>
          <w:iCs/>
          <w:color w:val="000000" w:themeColor="text1"/>
          <w:sz w:val="28"/>
          <w:szCs w:val="28"/>
          <w14:textFill>
            <w14:solidFill>
              <w14:schemeClr w14:val="tx1"/>
            </w14:solidFill>
          </w14:textFill>
        </w:rPr>
        <w:t>V</w:t>
      </w:r>
      <w:r>
        <w:rPr>
          <w:rFonts w:cs="Times New Roman"/>
          <w:color w:val="000000" w:themeColor="text1"/>
          <w:sz w:val="28"/>
          <w:szCs w:val="28"/>
          <w14:textFill>
            <w14:solidFill>
              <w14:schemeClr w14:val="tx1"/>
            </w14:solidFill>
          </w14:textFill>
        </w:rPr>
        <w:t xml:space="preserve"> is air volume sucked through the chambers; </w:t>
      </w:r>
      <w:r>
        <w:rPr>
          <w:rFonts w:hint="eastAsia" w:cs="Times New Roman"/>
          <w:i/>
          <w:iCs/>
          <w:color w:val="000000" w:themeColor="text1"/>
          <w:sz w:val="28"/>
          <w:szCs w:val="28"/>
          <w14:textFill>
            <w14:solidFill>
              <w14:schemeClr w14:val="tx1"/>
            </w14:solidFill>
          </w14:textFill>
        </w:rPr>
        <w:t>C</w:t>
      </w:r>
      <w:r>
        <w:rPr>
          <w:rFonts w:cs="Times New Roman"/>
          <w:color w:val="000000" w:themeColor="text1"/>
          <w:sz w:val="28"/>
          <w:szCs w:val="28"/>
          <w14:textFill>
            <w14:solidFill>
              <w14:schemeClr w14:val="tx1"/>
            </w14:solidFill>
          </w14:textFill>
        </w:rPr>
        <w:t xml:space="preserve"> is the value of NH</w:t>
      </w:r>
      <w:r>
        <w:rPr>
          <w:rFonts w:cs="Times New Roman"/>
          <w:color w:val="000000" w:themeColor="text1"/>
          <w:sz w:val="28"/>
          <w:szCs w:val="28"/>
          <w:vertAlign w:val="subscript"/>
          <w14:textFill>
            <w14:solidFill>
              <w14:schemeClr w14:val="tx1"/>
            </w14:solidFill>
          </w14:textFill>
        </w:rPr>
        <w:t>3</w:t>
      </w:r>
      <w:r>
        <w:rPr>
          <w:rFonts w:cs="Times New Roman"/>
          <w:color w:val="000000" w:themeColor="text1"/>
          <w:sz w:val="28"/>
          <w:szCs w:val="28"/>
          <w14:textFill>
            <w14:solidFill>
              <w14:schemeClr w14:val="tx1"/>
            </w14:solidFill>
          </w14:textFill>
        </w:rPr>
        <w:t xml:space="preserve"> vol. concentration (ppm); </w:t>
      </w:r>
      <w:r>
        <w:rPr>
          <w:rFonts w:cs="Times New Roman"/>
          <w:i/>
          <w:iCs/>
          <w:color w:val="000000" w:themeColor="text1"/>
          <w:sz w:val="28"/>
          <w:szCs w:val="28"/>
          <w14:textFill>
            <w14:solidFill>
              <w14:schemeClr w14:val="tx1"/>
            </w14:solidFill>
          </w14:textFill>
        </w:rPr>
        <w:t>ρ</w:t>
      </w:r>
      <w:r>
        <w:rPr>
          <w:rFonts w:cs="Times New Roman"/>
          <w:i/>
          <w:iCs/>
          <w:color w:val="000000" w:themeColor="text1"/>
          <w:sz w:val="28"/>
          <w:szCs w:val="28"/>
          <w:vertAlign w:val="subscript"/>
          <w14:textFill>
            <w14:solidFill>
              <w14:schemeClr w14:val="tx1"/>
            </w14:solidFill>
          </w14:textFill>
        </w:rPr>
        <w:t>NH3</w:t>
      </w:r>
      <w:r>
        <w:rPr>
          <w:rFonts w:cs="Times New Roman"/>
          <w:color w:val="000000" w:themeColor="text1"/>
          <w:sz w:val="28"/>
          <w:szCs w:val="28"/>
          <w:vertAlign w:val="subscript"/>
          <w14:textFill>
            <w14:solidFill>
              <w14:schemeClr w14:val="tx1"/>
            </w14:solidFill>
          </w14:textFill>
        </w:rPr>
        <w:t xml:space="preserve"> </w:t>
      </w:r>
      <w:r>
        <w:rPr>
          <w:rFonts w:cs="Times New Roman"/>
          <w:color w:val="000000" w:themeColor="text1"/>
          <w:sz w:val="28"/>
          <w:szCs w:val="28"/>
          <w14:textFill>
            <w14:solidFill>
              <w14:schemeClr w14:val="tx1"/>
            </w14:solidFill>
          </w14:textFill>
        </w:rPr>
        <w:t>is temper</w:t>
      </w:r>
      <w:r>
        <w:rPr>
          <w:rFonts w:cs="Times New Roman"/>
          <w:sz w:val="28"/>
          <w:szCs w:val="28"/>
        </w:rPr>
        <w:t>ature-dependent density of NH</w:t>
      </w:r>
      <w:r>
        <w:rPr>
          <w:rFonts w:cs="Times New Roman"/>
          <w:sz w:val="28"/>
          <w:szCs w:val="28"/>
          <w:vertAlign w:val="subscript"/>
        </w:rPr>
        <w:t>3</w:t>
      </w:r>
      <w:r>
        <w:rPr>
          <w:rFonts w:cs="Times New Roman"/>
          <w:sz w:val="28"/>
          <w:szCs w:val="28"/>
        </w:rPr>
        <w:t xml:space="preserve"> (mg L</w:t>
      </w:r>
      <w:r>
        <w:rPr>
          <w:rFonts w:eastAsia="宋体" w:cs="Times New Roman"/>
          <w:sz w:val="28"/>
          <w:szCs w:val="28"/>
          <w:vertAlign w:val="superscript"/>
        </w:rPr>
        <w:t>−</w:t>
      </w:r>
      <w:r>
        <w:rPr>
          <w:rFonts w:cs="Times New Roman"/>
          <w:sz w:val="28"/>
          <w:szCs w:val="28"/>
          <w:vertAlign w:val="superscript"/>
        </w:rPr>
        <w:t>1</w:t>
      </w:r>
      <w:r>
        <w:rPr>
          <w:rFonts w:cs="Times New Roman"/>
          <w:sz w:val="28"/>
          <w:szCs w:val="28"/>
        </w:rPr>
        <w:t xml:space="preserve">); </w:t>
      </w:r>
      <w:r>
        <w:rPr>
          <w:rFonts w:cs="Times New Roman"/>
          <w:i/>
          <w:iCs/>
          <w:sz w:val="28"/>
          <w:szCs w:val="28"/>
        </w:rPr>
        <w:t>U</w:t>
      </w:r>
      <w:r>
        <w:rPr>
          <w:rFonts w:cs="Times New Roman"/>
          <w:i/>
          <w:iCs/>
          <w:sz w:val="28"/>
          <w:szCs w:val="28"/>
          <w:vertAlign w:val="subscript"/>
        </w:rPr>
        <w:t>N</w:t>
      </w:r>
      <w:r>
        <w:rPr>
          <w:rFonts w:cs="Times New Roman"/>
          <w:i/>
          <w:iCs/>
          <w:sz w:val="28"/>
          <w:szCs w:val="28"/>
        </w:rPr>
        <w:t xml:space="preserve"> </w:t>
      </w:r>
      <w:r>
        <w:rPr>
          <w:rFonts w:cs="Times New Roman"/>
          <w:sz w:val="28"/>
          <w:szCs w:val="28"/>
        </w:rPr>
        <w:t>is molecular weight conversion factor of NH</w:t>
      </w:r>
      <w:r>
        <w:rPr>
          <w:rFonts w:cs="Times New Roman"/>
          <w:sz w:val="28"/>
          <w:szCs w:val="28"/>
          <w:vertAlign w:val="subscript"/>
        </w:rPr>
        <w:t>3</w:t>
      </w:r>
      <w:r>
        <w:rPr>
          <w:rFonts w:cs="Times New Roman"/>
          <w:sz w:val="28"/>
          <w:szCs w:val="28"/>
        </w:rPr>
        <w:t xml:space="preserve"> to N; U</w:t>
      </w:r>
      <w:r>
        <w:rPr>
          <w:rFonts w:cs="Times New Roman"/>
          <w:sz w:val="28"/>
          <w:szCs w:val="28"/>
          <w:vertAlign w:val="subscript"/>
        </w:rPr>
        <w:t>F</w:t>
      </w:r>
      <w:r>
        <w:rPr>
          <w:rFonts w:cs="Times New Roman"/>
          <w:sz w:val="28"/>
          <w:szCs w:val="28"/>
        </w:rPr>
        <w:t xml:space="preserve"> is surface area conversion factor (m</w:t>
      </w:r>
      <w:r>
        <w:rPr>
          <w:rFonts w:eastAsia="宋体" w:cs="Times New Roman"/>
          <w:sz w:val="28"/>
          <w:szCs w:val="28"/>
          <w:vertAlign w:val="superscript"/>
        </w:rPr>
        <w:t>−</w:t>
      </w:r>
      <w:r>
        <w:rPr>
          <w:rFonts w:cs="Times New Roman"/>
          <w:sz w:val="28"/>
          <w:szCs w:val="28"/>
          <w:vertAlign w:val="superscript"/>
        </w:rPr>
        <w:t>2</w:t>
      </w:r>
      <w:r>
        <w:rPr>
          <w:rFonts w:cs="Times New Roman"/>
          <w:sz w:val="28"/>
          <w:szCs w:val="28"/>
        </w:rPr>
        <w:t xml:space="preserve">); </w:t>
      </w:r>
      <w:r>
        <w:rPr>
          <w:rFonts w:cs="Times New Roman"/>
          <w:i/>
          <w:iCs/>
          <w:sz w:val="28"/>
          <w:szCs w:val="28"/>
        </w:rPr>
        <w:t>U</w:t>
      </w:r>
      <w:r>
        <w:rPr>
          <w:rFonts w:cs="Times New Roman"/>
          <w:i/>
          <w:iCs/>
          <w:sz w:val="28"/>
          <w:szCs w:val="28"/>
          <w:vertAlign w:val="subscript"/>
        </w:rPr>
        <w:t>Z</w:t>
      </w:r>
      <w:r>
        <w:rPr>
          <w:rFonts w:cs="Times New Roman"/>
          <w:sz w:val="28"/>
          <w:szCs w:val="28"/>
        </w:rPr>
        <w:t xml:space="preserve"> is time conversion factor (h</w:t>
      </w:r>
      <w:r>
        <w:rPr>
          <w:rFonts w:eastAsia="宋体" w:cs="Times New Roman"/>
          <w:sz w:val="28"/>
          <w:szCs w:val="28"/>
          <w:vertAlign w:val="superscript"/>
        </w:rPr>
        <w:t>−</w:t>
      </w:r>
      <w:r>
        <w:rPr>
          <w:rFonts w:cs="Times New Roman"/>
          <w:sz w:val="28"/>
          <w:szCs w:val="28"/>
          <w:vertAlign w:val="superscript"/>
        </w:rPr>
        <w:t>1</w:t>
      </w:r>
      <w:r>
        <w:rPr>
          <w:rFonts w:cs="Times New Roman"/>
          <w:sz w:val="28"/>
          <w:szCs w:val="28"/>
        </w:rPr>
        <w:t>). Since the air exchange rate in the chamber is very low (1 vol. min</w:t>
      </w:r>
      <w:r>
        <w:rPr>
          <w:rFonts w:eastAsia="宋体" w:cs="Times New Roman"/>
          <w:sz w:val="28"/>
          <w:szCs w:val="28"/>
          <w:vertAlign w:val="superscript"/>
        </w:rPr>
        <w:t>−</w:t>
      </w:r>
      <w:r>
        <w:rPr>
          <w:rFonts w:cs="Times New Roman"/>
          <w:sz w:val="28"/>
          <w:szCs w:val="28"/>
          <w:vertAlign w:val="superscript"/>
        </w:rPr>
        <w:t>1</w:t>
      </w:r>
      <w:r>
        <w:rPr>
          <w:rFonts w:cs="Times New Roman"/>
          <w:sz w:val="28"/>
          <w:szCs w:val="28"/>
        </w:rPr>
        <w:t>) , the actual NH</w:t>
      </w:r>
      <w:r>
        <w:rPr>
          <w:rFonts w:cs="Times New Roman"/>
          <w:sz w:val="28"/>
          <w:szCs w:val="28"/>
          <w:vertAlign w:val="subscript"/>
        </w:rPr>
        <w:t>3</w:t>
      </w:r>
      <w:r>
        <w:rPr>
          <w:rFonts w:cs="Times New Roman"/>
          <w:sz w:val="28"/>
          <w:szCs w:val="28"/>
        </w:rPr>
        <w:t xml:space="preserve"> emission is underestimated, and the calibration should be conducted</w:t>
      </w:r>
      <w:r>
        <w:rPr>
          <w:rFonts w:hint="eastAsia" w:cs="Times New Roman"/>
          <w:sz w:val="28"/>
          <w:szCs w:val="28"/>
        </w:rPr>
        <w:t xml:space="preserve"> as described by Pacholski et al.</w:t>
      </w:r>
      <w:r>
        <w:rPr>
          <w:rFonts w:hint="eastAsia" w:cs="Times New Roman"/>
          <w:sz w:val="28"/>
          <w:szCs w:val="28"/>
          <w:vertAlign w:val="superscript"/>
        </w:rPr>
        <w:t>[2]</w:t>
      </w:r>
      <w:r>
        <w:rPr>
          <w:rFonts w:hint="eastAsia" w:cs="Times New Roman"/>
          <w:sz w:val="28"/>
          <w:szCs w:val="28"/>
        </w:rPr>
        <w:t>.</w:t>
      </w:r>
    </w:p>
    <w:p w14:paraId="1FCB32B0">
      <w:pPr>
        <w:widowControl/>
        <w:numPr>
          <w:ilvl w:val="0"/>
          <w:numId w:val="0"/>
        </w:numPr>
        <w:spacing w:line="480" w:lineRule="auto"/>
        <w:ind w:left="420" w:leftChars="0" w:hanging="420" w:firstLineChars="0"/>
        <w:rPr>
          <w:rFonts w:cs="Times New Roman"/>
          <w:sz w:val="28"/>
          <w:szCs w:val="28"/>
        </w:rPr>
      </w:pPr>
      <w:r>
        <w:rPr>
          <w:rFonts w:hint="default" w:ascii="Wingdings" w:hAnsi="Wingdings" w:cs="Times New Roman" w:eastAsiaTheme="minorEastAsia"/>
          <w:kern w:val="2"/>
          <w:sz w:val="28"/>
          <w:szCs w:val="28"/>
          <w:lang w:val="en-US" w:eastAsia="zh-CN" w:bidi="ar-SA"/>
        </w:rPr>
        <w:t></w:t>
      </w:r>
      <w:r>
        <w:rPr>
          <w:rFonts w:hint="eastAsia" w:cs="Times New Roman"/>
          <w:b/>
          <w:bCs/>
          <w:sz w:val="28"/>
          <w:szCs w:val="28"/>
        </w:rPr>
        <w:t>D</w:t>
      </w:r>
      <w:r>
        <w:rPr>
          <w:rFonts w:cs="Times New Roman"/>
          <w:b/>
          <w:bCs/>
          <w:sz w:val="28"/>
          <w:szCs w:val="28"/>
        </w:rPr>
        <w:t>ynamic chamber</w:t>
      </w:r>
      <w:r>
        <w:rPr>
          <w:rFonts w:hint="eastAsia" w:cs="Times New Roman"/>
          <w:b/>
          <w:bCs/>
          <w:sz w:val="28"/>
          <w:szCs w:val="28"/>
        </w:rPr>
        <w:t>s</w:t>
      </w:r>
    </w:p>
    <w:p w14:paraId="4E0E93DC">
      <w:pPr>
        <w:spacing w:before="156" w:beforeLines="50" w:line="480" w:lineRule="auto"/>
        <w:rPr>
          <w:rFonts w:cs="Times New Roman"/>
          <w:color w:val="000000" w:themeColor="text1"/>
          <w:sz w:val="28"/>
          <w:szCs w:val="28"/>
          <w14:textFill>
            <w14:solidFill>
              <w14:schemeClr w14:val="tx1"/>
            </w14:solidFill>
          </w14:textFill>
        </w:rPr>
      </w:pPr>
      <w:r>
        <w:rPr>
          <w:rFonts w:hint="eastAsia" w:cs="Times New Roman"/>
          <w:sz w:val="28"/>
          <w:szCs w:val="28"/>
        </w:rPr>
        <w:t>A</w:t>
      </w:r>
      <w:r>
        <w:rPr>
          <w:rFonts w:cs="Times New Roman"/>
          <w:sz w:val="28"/>
          <w:szCs w:val="28"/>
        </w:rPr>
        <w:t xml:space="preserve">ir is drawn through the chamber at a known rate by a vacuum pump, and the exhausted </w:t>
      </w:r>
      <w:r>
        <w:rPr>
          <w:rFonts w:cs="Times New Roman"/>
          <w:color w:val="000000" w:themeColor="text1"/>
          <w:sz w:val="28"/>
          <w:szCs w:val="28"/>
          <w14:textFill>
            <w14:solidFill>
              <w14:schemeClr w14:val="tx1"/>
            </w14:solidFill>
          </w14:textFill>
        </w:rPr>
        <w:t xml:space="preserve">air is passed through acid </w:t>
      </w:r>
      <w:r>
        <w:rPr>
          <w:rFonts w:hint="eastAsia" w:cs="Times New Roman"/>
          <w:color w:val="000000" w:themeColor="text1"/>
          <w:sz w:val="28"/>
          <w:szCs w:val="28"/>
          <w14:textFill>
            <w14:solidFill>
              <w14:schemeClr w14:val="tx1"/>
            </w14:solidFill>
          </w14:textFill>
        </w:rPr>
        <w:t>solution</w:t>
      </w:r>
      <w:r>
        <w:rPr>
          <w:rFonts w:cs="Times New Roman"/>
          <w:color w:val="000000" w:themeColor="text1"/>
          <w:sz w:val="28"/>
          <w:szCs w:val="28"/>
          <w14:textFill>
            <w14:solidFill>
              <w14:schemeClr w14:val="tx1"/>
            </w14:solidFill>
          </w14:textFill>
        </w:rPr>
        <w:t xml:space="preserve"> to trap NH</w:t>
      </w:r>
      <w:r>
        <w:rPr>
          <w:rFonts w:cs="Times New Roman"/>
          <w:color w:val="000000" w:themeColor="text1"/>
          <w:sz w:val="28"/>
          <w:szCs w:val="28"/>
          <w:vertAlign w:val="subscript"/>
          <w14:textFill>
            <w14:solidFill>
              <w14:schemeClr w14:val="tx1"/>
            </w14:solidFill>
          </w14:textFill>
        </w:rPr>
        <w:t>3</w:t>
      </w:r>
      <w:r>
        <w:rPr>
          <w:rFonts w:cs="Times New Roman"/>
          <w:color w:val="000000" w:themeColor="text1"/>
          <w:sz w:val="28"/>
          <w:szCs w:val="28"/>
          <w14:textFill>
            <w14:solidFill>
              <w14:schemeClr w14:val="tx1"/>
            </w14:solidFill>
          </w14:textFill>
        </w:rPr>
        <w:t>. The concentration of NH</w:t>
      </w:r>
      <w:r>
        <w:rPr>
          <w:rFonts w:hint="eastAsia" w:cs="Times New Roman"/>
          <w:color w:val="000000" w:themeColor="text1"/>
          <w:sz w:val="28"/>
          <w:szCs w:val="28"/>
          <w:vertAlign w:val="subscript"/>
          <w14:textFill>
            <w14:solidFill>
              <w14:schemeClr w14:val="tx1"/>
            </w14:solidFill>
          </w14:textFill>
        </w:rPr>
        <w:t>4</w:t>
      </w:r>
      <w:r>
        <w:rPr>
          <w:rFonts w:hint="eastAsia" w:cs="Times New Roman"/>
          <w:color w:val="000000" w:themeColor="text1"/>
          <w:sz w:val="28"/>
          <w:szCs w:val="28"/>
          <w:vertAlign w:val="superscript"/>
          <w14:textFill>
            <w14:solidFill>
              <w14:schemeClr w14:val="tx1"/>
            </w14:solidFill>
          </w14:textFill>
        </w:rPr>
        <w:t>+</w:t>
      </w:r>
      <w:r>
        <w:rPr>
          <w:rFonts w:cs="Times New Roman"/>
          <w:color w:val="000000" w:themeColor="text1"/>
          <w:sz w:val="28"/>
          <w:szCs w:val="28"/>
          <w14:textFill>
            <w14:solidFill>
              <w14:schemeClr w14:val="tx1"/>
            </w14:solidFill>
          </w14:textFill>
        </w:rPr>
        <w:t>‒N in the absorption liquid is then measured to calculate the NH</w:t>
      </w:r>
      <w:r>
        <w:rPr>
          <w:rFonts w:cs="Times New Roman"/>
          <w:color w:val="000000" w:themeColor="text1"/>
          <w:sz w:val="28"/>
          <w:szCs w:val="28"/>
          <w:vertAlign w:val="subscript"/>
          <w14:textFill>
            <w14:solidFill>
              <w14:schemeClr w14:val="tx1"/>
            </w14:solidFill>
          </w14:textFill>
        </w:rPr>
        <w:t>3</w:t>
      </w:r>
      <w:r>
        <w:rPr>
          <w:rFonts w:cs="Times New Roman"/>
          <w:color w:val="000000" w:themeColor="text1"/>
          <w:sz w:val="28"/>
          <w:szCs w:val="28"/>
          <w14:textFill>
            <w14:solidFill>
              <w14:schemeClr w14:val="tx1"/>
            </w14:solidFill>
          </w14:textFill>
        </w:rPr>
        <w:t xml:space="preserve"> emission fluxes. The NH</w:t>
      </w:r>
      <w:r>
        <w:rPr>
          <w:rFonts w:cs="Times New Roman"/>
          <w:color w:val="000000" w:themeColor="text1"/>
          <w:sz w:val="28"/>
          <w:szCs w:val="28"/>
          <w:vertAlign w:val="subscript"/>
          <w14:textFill>
            <w14:solidFill>
              <w14:schemeClr w14:val="tx1"/>
            </w14:solidFill>
          </w14:textFill>
        </w:rPr>
        <w:t>3</w:t>
      </w:r>
      <w:r>
        <w:rPr>
          <w:rFonts w:cs="Times New Roman"/>
          <w:color w:val="000000" w:themeColor="text1"/>
          <w:sz w:val="28"/>
          <w:szCs w:val="28"/>
          <w14:textFill>
            <w14:solidFill>
              <w14:schemeClr w14:val="tx1"/>
            </w14:solidFill>
          </w14:textFill>
        </w:rPr>
        <w:t xml:space="preserve"> fluxes (kg N ha</w:t>
      </w:r>
      <w:r>
        <w:rPr>
          <w:rFonts w:eastAsia="宋体" w:cs="Times New Roman"/>
          <w:sz w:val="28"/>
          <w:szCs w:val="28"/>
          <w:vertAlign w:val="superscript"/>
        </w:rPr>
        <w:t>−</w:t>
      </w:r>
      <w:r>
        <w:rPr>
          <w:rFonts w:cs="Times New Roman"/>
          <w:color w:val="000000" w:themeColor="text1"/>
          <w:sz w:val="28"/>
          <w:szCs w:val="28"/>
          <w:vertAlign w:val="superscript"/>
          <w14:textFill>
            <w14:solidFill>
              <w14:schemeClr w14:val="tx1"/>
            </w14:solidFill>
          </w14:textFill>
        </w:rPr>
        <w:t>1</w:t>
      </w:r>
      <w:r>
        <w:rPr>
          <w:rFonts w:cs="Times New Roman"/>
          <w:color w:val="000000" w:themeColor="text1"/>
          <w:sz w:val="28"/>
          <w:szCs w:val="28"/>
          <w14:textFill>
            <w14:solidFill>
              <w14:schemeClr w14:val="tx1"/>
            </w14:solidFill>
          </w14:textFill>
        </w:rPr>
        <w:t xml:space="preserve"> d</w:t>
      </w:r>
      <w:r>
        <w:rPr>
          <w:rFonts w:eastAsia="宋体" w:cs="Times New Roman"/>
          <w:sz w:val="28"/>
          <w:szCs w:val="28"/>
          <w:vertAlign w:val="superscript"/>
        </w:rPr>
        <w:t>−</w:t>
      </w:r>
      <w:r>
        <w:rPr>
          <w:rFonts w:cs="Times New Roman"/>
          <w:color w:val="000000" w:themeColor="text1"/>
          <w:sz w:val="28"/>
          <w:szCs w:val="28"/>
          <w:vertAlign w:val="superscript"/>
          <w14:textFill>
            <w14:solidFill>
              <w14:schemeClr w14:val="tx1"/>
            </w14:solidFill>
          </w14:textFill>
        </w:rPr>
        <w:t>1</w:t>
      </w:r>
      <w:r>
        <w:rPr>
          <w:rFonts w:cs="Times New Roman"/>
          <w:color w:val="000000" w:themeColor="text1"/>
          <w:sz w:val="28"/>
          <w:szCs w:val="28"/>
          <w14:textFill>
            <w14:solidFill>
              <w14:schemeClr w14:val="tx1"/>
            </w14:solidFill>
          </w14:textFill>
        </w:rPr>
        <w:t xml:space="preserve">) were calculated using the following equation: </w:t>
      </w:r>
    </w:p>
    <w:p w14:paraId="7D63EB15">
      <w:pPr>
        <w:spacing w:line="480" w:lineRule="auto"/>
        <w:jc w:val="center"/>
        <w:rPr>
          <w:rFonts w:cs="Times New Roman"/>
          <w:sz w:val="28"/>
          <w:szCs w:val="28"/>
        </w:rPr>
      </w:pPr>
      <m:oMathPara>
        <m:oMath>
          <m:r>
            <m:rPr/>
            <w:rPr>
              <w:rFonts w:ascii="Cambria Math" w:hAnsi="Cambria Math" w:cs="Times New Roman"/>
              <w:sz w:val="28"/>
              <w:szCs w:val="28"/>
            </w:rPr>
            <m:t>F=</m:t>
          </m:r>
          <m:f>
            <m:fPr>
              <m:ctrlPr>
                <w:rPr>
                  <w:rFonts w:ascii="Cambria Math" w:hAnsi="Cambria Math" w:cs="Times New Roman"/>
                  <w:i/>
                  <w:sz w:val="28"/>
                  <w:szCs w:val="28"/>
                </w:rPr>
              </m:ctrlPr>
            </m:fPr>
            <m:num>
              <m:r>
                <m:rPr/>
                <w:rPr>
                  <w:rFonts w:ascii="Cambria Math" w:hAnsi="Cambria Math" w:cs="Times New Roman"/>
                  <w:sz w:val="28"/>
                  <w:szCs w:val="28"/>
                </w:rPr>
                <m:t>C×V×</m:t>
              </m:r>
              <m:sSup>
                <m:sSupPr>
                  <m:ctrlPr>
                    <w:rPr>
                      <w:rFonts w:ascii="Cambria Math" w:hAnsi="Cambria Math" w:cs="Times New Roman"/>
                      <w:i/>
                      <w:sz w:val="28"/>
                      <w:szCs w:val="28"/>
                    </w:rPr>
                  </m:ctrlPr>
                </m:sSupPr>
                <m:e>
                  <m:r>
                    <m:rPr/>
                    <w:rPr>
                      <w:rFonts w:ascii="Cambria Math" w:hAnsi="Cambria Math" w:cs="Times New Roman"/>
                      <w:sz w:val="28"/>
                      <w:szCs w:val="28"/>
                    </w:rPr>
                    <m:t>10</m:t>
                  </m:r>
                  <m:ctrlPr>
                    <w:rPr>
                      <w:rFonts w:ascii="Cambria Math" w:hAnsi="Cambria Math" w:cs="Times New Roman"/>
                      <w:i/>
                      <w:sz w:val="28"/>
                      <w:szCs w:val="28"/>
                    </w:rPr>
                  </m:ctrlPr>
                </m:e>
                <m:sup>
                  <m:r>
                    <m:rPr/>
                    <w:rPr>
                      <w:rFonts w:ascii="Cambria Math" w:hAnsi="Cambria Math" w:cs="Times New Roman"/>
                      <w:sz w:val="28"/>
                      <w:szCs w:val="28"/>
                    </w:rPr>
                    <m:t>−2</m:t>
                  </m:r>
                  <m:ctrlPr>
                    <w:rPr>
                      <w:rFonts w:ascii="Cambria Math" w:hAnsi="Cambria Math" w:cs="Times New Roman"/>
                      <w:i/>
                      <w:sz w:val="28"/>
                      <w:szCs w:val="28"/>
                    </w:rPr>
                  </m:ctrlPr>
                </m:sup>
              </m:sSup>
              <m:ctrlPr>
                <w:rPr>
                  <w:rFonts w:ascii="Cambria Math" w:hAnsi="Cambria Math" w:cs="Times New Roman"/>
                  <w:i/>
                  <w:sz w:val="28"/>
                  <w:szCs w:val="28"/>
                </w:rPr>
              </m:ctrlPr>
            </m:num>
            <m:den>
              <m:r>
                <m:rPr/>
                <w:rPr>
                  <w:rFonts w:ascii="Cambria Math" w:hAnsi="Cambria Math" w:cs="Times New Roman"/>
                  <w:sz w:val="28"/>
                  <w:szCs w:val="28"/>
                </w:rPr>
                <m:t>π×</m:t>
              </m:r>
              <m:sSup>
                <m:sSupPr>
                  <m:ctrlPr>
                    <w:rPr>
                      <w:rFonts w:ascii="Cambria Math" w:hAnsi="Cambria Math" w:cs="Times New Roman"/>
                      <w:i/>
                      <w:sz w:val="28"/>
                      <w:szCs w:val="28"/>
                    </w:rPr>
                  </m:ctrlPr>
                </m:sSupPr>
                <m:e>
                  <m:r>
                    <m:rPr/>
                    <w:rPr>
                      <w:rFonts w:ascii="Cambria Math" w:hAnsi="Cambria Math" w:cs="Times New Roman"/>
                      <w:sz w:val="28"/>
                      <w:szCs w:val="28"/>
                    </w:rPr>
                    <m:t>r</m:t>
                  </m:r>
                  <m:ctrlPr>
                    <w:rPr>
                      <w:rFonts w:ascii="Cambria Math" w:hAnsi="Cambria Math" w:cs="Times New Roman"/>
                      <w:i/>
                      <w:sz w:val="28"/>
                      <w:szCs w:val="28"/>
                    </w:rPr>
                  </m:ctrlPr>
                </m:e>
                <m:sup>
                  <m:r>
                    <m:rPr/>
                    <w:rPr>
                      <w:rFonts w:ascii="Cambria Math" w:hAnsi="Cambria Math" w:cs="Times New Roman"/>
                      <w:sz w:val="28"/>
                      <w:szCs w:val="28"/>
                    </w:rPr>
                    <m:t>2</m:t>
                  </m:r>
                  <m:ctrlPr>
                    <w:rPr>
                      <w:rFonts w:ascii="Cambria Math" w:hAnsi="Cambria Math" w:cs="Times New Roman"/>
                      <w:i/>
                      <w:sz w:val="28"/>
                      <w:szCs w:val="28"/>
                    </w:rPr>
                  </m:ctrlPr>
                </m:sup>
              </m:sSup>
              <m:r>
                <m:rPr/>
                <w:rPr>
                  <w:rFonts w:ascii="Cambria Math" w:hAnsi="Cambria Math" w:cs="Times New Roman"/>
                  <w:sz w:val="28"/>
                  <w:szCs w:val="28"/>
                </w:rPr>
                <m:t>×(t/24)</m:t>
              </m:r>
              <m:ctrlPr>
                <w:rPr>
                  <w:rFonts w:ascii="Cambria Math" w:hAnsi="Cambria Math" w:cs="Times New Roman"/>
                  <w:i/>
                  <w:sz w:val="28"/>
                  <w:szCs w:val="28"/>
                </w:rPr>
              </m:ctrlPr>
            </m:den>
          </m:f>
        </m:oMath>
      </m:oMathPara>
    </w:p>
    <w:p w14:paraId="7A04CD3F">
      <w:pPr>
        <w:spacing w:line="480" w:lineRule="auto"/>
        <w:rPr>
          <w:rFonts w:cs="Times New Roman"/>
          <w:color w:val="000000" w:themeColor="text1"/>
          <w:sz w:val="28"/>
          <w:szCs w:val="28"/>
          <w14:textFill>
            <w14:solidFill>
              <w14:schemeClr w14:val="tx1"/>
            </w14:solidFill>
          </w14:textFill>
        </w:rPr>
      </w:pPr>
      <w:r>
        <w:rPr>
          <w:rFonts w:cs="Times New Roman"/>
          <w:sz w:val="28"/>
          <w:szCs w:val="28"/>
        </w:rPr>
        <w:t xml:space="preserve">where </w:t>
      </w:r>
      <w:r>
        <w:rPr>
          <w:rFonts w:cs="Times New Roman"/>
          <w:i/>
          <w:iCs/>
          <w:sz w:val="28"/>
          <w:szCs w:val="28"/>
        </w:rPr>
        <w:t>C</w:t>
      </w:r>
      <w:r>
        <w:rPr>
          <w:rFonts w:cs="Times New Roman"/>
          <w:sz w:val="28"/>
          <w:szCs w:val="28"/>
        </w:rPr>
        <w:t xml:space="preserve"> is the NH</w:t>
      </w:r>
      <w:r>
        <w:rPr>
          <w:rFonts w:cs="Times New Roman"/>
          <w:sz w:val="28"/>
          <w:szCs w:val="28"/>
          <w:vertAlign w:val="subscript"/>
        </w:rPr>
        <w:t>4</w:t>
      </w:r>
      <w:r>
        <w:rPr>
          <w:rFonts w:cs="Times New Roman"/>
          <w:sz w:val="28"/>
          <w:szCs w:val="28"/>
          <w:vertAlign w:val="superscript"/>
        </w:rPr>
        <w:t>+</w:t>
      </w:r>
      <w:r>
        <w:rPr>
          <w:rFonts w:hint="eastAsia" w:cs="Times New Roman"/>
          <w:sz w:val="28"/>
          <w:szCs w:val="28"/>
        </w:rPr>
        <w:t>-</w:t>
      </w:r>
      <w:r>
        <w:rPr>
          <w:rFonts w:cs="Times New Roman"/>
          <w:sz w:val="28"/>
          <w:szCs w:val="28"/>
        </w:rPr>
        <w:t>N concentration in the absorption solution (mg N L</w:t>
      </w:r>
      <w:r>
        <w:rPr>
          <w:rFonts w:eastAsia="宋体" w:cs="Times New Roman"/>
          <w:sz w:val="28"/>
          <w:szCs w:val="28"/>
          <w:vertAlign w:val="superscript"/>
        </w:rPr>
        <w:t>−</w:t>
      </w:r>
      <w:r>
        <w:rPr>
          <w:rFonts w:cs="Times New Roman"/>
          <w:sz w:val="28"/>
          <w:szCs w:val="28"/>
          <w:vertAlign w:val="superscript"/>
        </w:rPr>
        <w:t>1</w:t>
      </w:r>
      <w:r>
        <w:rPr>
          <w:rFonts w:cs="Times New Roman"/>
          <w:sz w:val="28"/>
          <w:szCs w:val="28"/>
        </w:rPr>
        <w:t xml:space="preserve">); </w:t>
      </w:r>
      <w:r>
        <w:rPr>
          <w:rFonts w:cs="Times New Roman"/>
          <w:i/>
          <w:iCs/>
          <w:sz w:val="28"/>
          <w:szCs w:val="28"/>
        </w:rPr>
        <w:t xml:space="preserve">V </w:t>
      </w:r>
      <w:r>
        <w:rPr>
          <w:rFonts w:cs="Times New Roman"/>
          <w:sz w:val="28"/>
          <w:szCs w:val="28"/>
        </w:rPr>
        <w:t xml:space="preserve">is the volume of the absorption solution after measurement (L); </w:t>
      </w:r>
      <w:r>
        <w:rPr>
          <w:rFonts w:cs="Times New Roman"/>
          <w:i/>
          <w:iCs/>
          <w:sz w:val="28"/>
          <w:szCs w:val="28"/>
        </w:rPr>
        <w:t xml:space="preserve">t </w:t>
      </w:r>
      <w:r>
        <w:rPr>
          <w:rFonts w:cs="Times New Roman"/>
          <w:sz w:val="28"/>
          <w:szCs w:val="28"/>
        </w:rPr>
        <w:t>is the duration of collection (h); a</w:t>
      </w:r>
      <w:r>
        <w:rPr>
          <w:rFonts w:cs="Times New Roman"/>
          <w:color w:val="000000" w:themeColor="text1"/>
          <w:sz w:val="28"/>
          <w:szCs w:val="28"/>
          <w14:textFill>
            <w14:solidFill>
              <w14:schemeClr w14:val="tx1"/>
            </w14:solidFill>
          </w14:textFill>
        </w:rPr>
        <w:t xml:space="preserve">nd </w:t>
      </w:r>
      <w:r>
        <w:rPr>
          <w:rFonts w:cs="Times New Roman"/>
          <w:i/>
          <w:iCs/>
          <w:color w:val="000000" w:themeColor="text1"/>
          <w:sz w:val="28"/>
          <w:szCs w:val="28"/>
          <w14:textFill>
            <w14:solidFill>
              <w14:schemeClr w14:val="tx1"/>
            </w14:solidFill>
          </w14:textFill>
        </w:rPr>
        <w:t>r</w:t>
      </w:r>
      <w:r>
        <w:rPr>
          <w:rFonts w:cs="Times New Roman"/>
          <w:color w:val="000000" w:themeColor="text1"/>
          <w:sz w:val="28"/>
          <w:szCs w:val="28"/>
          <w14:textFill>
            <w14:solidFill>
              <w14:schemeClr w14:val="tx1"/>
            </w14:solidFill>
          </w14:textFill>
        </w:rPr>
        <w:t xml:space="preserve"> is the chamber radius (m).  </w:t>
      </w:r>
    </w:p>
    <w:p w14:paraId="3F83839F">
      <w:pPr>
        <w:widowControl/>
        <w:numPr>
          <w:ilvl w:val="0"/>
          <w:numId w:val="0"/>
        </w:numPr>
        <w:spacing w:line="480" w:lineRule="auto"/>
        <w:ind w:left="420" w:leftChars="0" w:hanging="420" w:firstLineChars="0"/>
        <w:rPr>
          <w:rFonts w:cs="Times New Roman"/>
          <w:b/>
          <w:bCs/>
          <w:sz w:val="28"/>
          <w:szCs w:val="28"/>
        </w:rPr>
      </w:pPr>
      <w:r>
        <w:rPr>
          <w:rFonts w:hint="default" w:ascii="Wingdings" w:hAnsi="Wingdings" w:cs="Times New Roman" w:eastAsiaTheme="minorEastAsia"/>
          <w:b/>
          <w:bCs/>
          <w:kern w:val="2"/>
          <w:sz w:val="28"/>
          <w:szCs w:val="28"/>
          <w:lang w:val="en-US" w:eastAsia="zh-CN" w:bidi="ar-SA"/>
        </w:rPr>
        <w:t></w:t>
      </w:r>
      <w:r>
        <w:rPr>
          <w:rFonts w:hint="eastAsia" w:cs="Times New Roman"/>
          <w:b/>
          <w:bCs/>
          <w:sz w:val="28"/>
          <w:szCs w:val="28"/>
        </w:rPr>
        <w:t>Wind tunnel</w:t>
      </w:r>
    </w:p>
    <w:p w14:paraId="6DEF7033">
      <w:pPr>
        <w:spacing w:before="156" w:beforeLines="50" w:line="480" w:lineRule="auto"/>
        <w:rPr>
          <w:rFonts w:cs="Times New Roman"/>
          <w:color w:val="000000" w:themeColor="text1"/>
          <w:sz w:val="28"/>
          <w:szCs w:val="28"/>
          <w14:textFill>
            <w14:solidFill>
              <w14:schemeClr w14:val="tx1"/>
            </w14:solidFill>
          </w14:textFill>
        </w:rPr>
      </w:pPr>
      <w:r>
        <w:rPr>
          <w:rFonts w:hint="eastAsia" w:cs="Times New Roman"/>
          <w:sz w:val="28"/>
          <w:szCs w:val="28"/>
        </w:rPr>
        <w:t>W</w:t>
      </w:r>
      <w:r>
        <w:rPr>
          <w:rFonts w:cs="Times New Roman"/>
          <w:sz w:val="28"/>
          <w:szCs w:val="28"/>
        </w:rPr>
        <w:t xml:space="preserve">ind speed inside the tunnel </w:t>
      </w:r>
      <w:r>
        <w:rPr>
          <w:rFonts w:hint="eastAsia" w:cs="Times New Roman"/>
          <w:sz w:val="28"/>
          <w:szCs w:val="28"/>
        </w:rPr>
        <w:t xml:space="preserve">is </w:t>
      </w:r>
      <w:r>
        <w:rPr>
          <w:rFonts w:cs="Times New Roman"/>
          <w:sz w:val="28"/>
          <w:szCs w:val="28"/>
        </w:rPr>
        <w:t>adjust</w:t>
      </w:r>
      <w:r>
        <w:rPr>
          <w:rFonts w:hint="eastAsia" w:cs="Times New Roman"/>
          <w:sz w:val="28"/>
          <w:szCs w:val="28"/>
        </w:rPr>
        <w:t xml:space="preserve">ed </w:t>
      </w:r>
      <w:r>
        <w:rPr>
          <w:rFonts w:cs="Times New Roman"/>
          <w:sz w:val="28"/>
          <w:szCs w:val="28"/>
        </w:rPr>
        <w:t xml:space="preserve">to match the external environment through an automatic </w:t>
      </w:r>
      <w:r>
        <w:rPr>
          <w:rFonts w:hint="eastAsia" w:cs="Times New Roman"/>
          <w:sz w:val="28"/>
          <w:szCs w:val="28"/>
        </w:rPr>
        <w:t>fan</w:t>
      </w:r>
      <w:r>
        <w:rPr>
          <w:rFonts w:cs="Times New Roman"/>
          <w:sz w:val="28"/>
          <w:szCs w:val="28"/>
        </w:rPr>
        <w:t xml:space="preserve"> system, ensuring that factors such as temperature, humidity, and light inside and outside the tunnel remain relatively consistent. Compared to the </w:t>
      </w:r>
      <w:r>
        <w:rPr>
          <w:rFonts w:hint="eastAsia" w:cs="Times New Roman"/>
          <w:sz w:val="28"/>
          <w:szCs w:val="28"/>
        </w:rPr>
        <w:t>static and dynamic</w:t>
      </w:r>
      <w:r>
        <w:rPr>
          <w:rFonts w:cs="Times New Roman"/>
          <w:sz w:val="28"/>
          <w:szCs w:val="28"/>
        </w:rPr>
        <w:t xml:space="preserve"> chamber method</w:t>
      </w:r>
      <w:r>
        <w:rPr>
          <w:rFonts w:hint="eastAsia" w:cs="Times New Roman"/>
          <w:sz w:val="28"/>
          <w:szCs w:val="28"/>
        </w:rPr>
        <w:t>s</w:t>
      </w:r>
      <w:r>
        <w:rPr>
          <w:rFonts w:cs="Times New Roman"/>
          <w:sz w:val="28"/>
          <w:szCs w:val="28"/>
        </w:rPr>
        <w:t>, it enhances the microclimatic conditions of the experimental area while retaining the chamber method’s advantage of suitability</w:t>
      </w:r>
      <w:r>
        <w:rPr>
          <w:rFonts w:cs="Times New Roman"/>
          <w:color w:val="000000" w:themeColor="text1"/>
          <w:sz w:val="28"/>
          <w:szCs w:val="28"/>
          <w14:textFill>
            <w14:solidFill>
              <w14:schemeClr w14:val="tx1"/>
            </w14:solidFill>
          </w14:textFill>
        </w:rPr>
        <w:t xml:space="preserve"> for small-scale, multi-treatment comparative experimental studies</w:t>
      </w:r>
      <w:r>
        <w:rPr>
          <w:rFonts w:hint="eastAsia" w:cs="Times New Roman"/>
          <w:color w:val="000000" w:themeColor="text1"/>
          <w:sz w:val="28"/>
          <w:szCs w:val="28"/>
          <w:vertAlign w:val="superscript"/>
          <w14:textFill>
            <w14:solidFill>
              <w14:schemeClr w14:val="tx1"/>
            </w14:solidFill>
          </w14:textFill>
        </w:rPr>
        <w:t>[3-7]</w:t>
      </w:r>
      <w:r>
        <w:rPr>
          <w:rFonts w:cs="Times New Roman"/>
          <w:color w:val="000000" w:themeColor="text1"/>
          <w:sz w:val="28"/>
          <w:szCs w:val="28"/>
          <w14:textFill>
            <w14:solidFill>
              <w14:schemeClr w14:val="tx1"/>
            </w14:solidFill>
          </w14:textFill>
        </w:rPr>
        <w:t>. A half-cylinder or rectangular tunnel is placed over the soil surface, and a fan fo</w:t>
      </w:r>
      <w:r>
        <w:rPr>
          <w:rFonts w:cs="Times New Roman"/>
          <w:sz w:val="28"/>
          <w:szCs w:val="28"/>
        </w:rPr>
        <w:t>rces air through it at controlled speeds to simulate specific aerodynamic conditions. Driven by the fan, the air flow stably flows through the wind tunnel. NH</w:t>
      </w:r>
      <w:r>
        <w:rPr>
          <w:rFonts w:cs="Times New Roman"/>
          <w:sz w:val="28"/>
          <w:szCs w:val="28"/>
          <w:vertAlign w:val="subscript"/>
        </w:rPr>
        <w:t>3</w:t>
      </w:r>
      <w:r>
        <w:rPr>
          <w:rFonts w:cs="Times New Roman"/>
          <w:sz w:val="28"/>
          <w:szCs w:val="28"/>
        </w:rPr>
        <w:t xml:space="preserve"> emission flux is obtained by measuring the mass difference of NH</w:t>
      </w:r>
      <w:r>
        <w:rPr>
          <w:rFonts w:cs="Times New Roman"/>
          <w:sz w:val="28"/>
          <w:szCs w:val="28"/>
          <w:vertAlign w:val="subscript"/>
        </w:rPr>
        <w:t>3</w:t>
      </w:r>
      <w:r>
        <w:rPr>
          <w:rFonts w:cs="Times New Roman"/>
          <w:sz w:val="28"/>
          <w:szCs w:val="28"/>
        </w:rPr>
        <w:t xml:space="preserve"> before and after the wind tunnel intake. The NH</w:t>
      </w:r>
      <w:r>
        <w:rPr>
          <w:rFonts w:cs="Times New Roman"/>
          <w:sz w:val="28"/>
          <w:szCs w:val="28"/>
          <w:vertAlign w:val="subscript"/>
        </w:rPr>
        <w:t>3</w:t>
      </w:r>
      <w:r>
        <w:rPr>
          <w:rFonts w:cs="Times New Roman"/>
          <w:sz w:val="28"/>
          <w:szCs w:val="28"/>
        </w:rPr>
        <w:t xml:space="preserve"> emission fluxes (g N m</w:t>
      </w:r>
      <w:r>
        <w:rPr>
          <w:rFonts w:eastAsia="宋体" w:cs="Times New Roman"/>
          <w:sz w:val="28"/>
          <w:szCs w:val="28"/>
          <w:vertAlign w:val="superscript"/>
        </w:rPr>
        <w:t>−</w:t>
      </w:r>
      <w:r>
        <w:rPr>
          <w:rFonts w:cs="Times New Roman"/>
          <w:sz w:val="28"/>
          <w:szCs w:val="28"/>
          <w:vertAlign w:val="superscript"/>
        </w:rPr>
        <w:t>2</w:t>
      </w:r>
      <w:r>
        <w:rPr>
          <w:rFonts w:cs="Times New Roman"/>
          <w:sz w:val="28"/>
          <w:szCs w:val="28"/>
        </w:rPr>
        <w:t xml:space="preserve"> min</w:t>
      </w:r>
      <w:r>
        <w:rPr>
          <w:rFonts w:eastAsia="宋体" w:cs="Times New Roman"/>
          <w:sz w:val="28"/>
          <w:szCs w:val="28"/>
          <w:vertAlign w:val="superscript"/>
        </w:rPr>
        <w:t>−</w:t>
      </w:r>
      <w:r>
        <w:rPr>
          <w:rFonts w:cs="Times New Roman"/>
          <w:sz w:val="28"/>
          <w:szCs w:val="28"/>
          <w:vertAlign w:val="superscript"/>
        </w:rPr>
        <w:t>1</w:t>
      </w:r>
      <w:r>
        <w:rPr>
          <w:rFonts w:cs="Times New Roman"/>
          <w:sz w:val="28"/>
          <w:szCs w:val="28"/>
        </w:rPr>
        <w:t>) w</w:t>
      </w:r>
      <w:r>
        <w:rPr>
          <w:rFonts w:hint="eastAsia" w:cs="Times New Roman"/>
          <w:sz w:val="28"/>
          <w:szCs w:val="28"/>
        </w:rPr>
        <w:t>ere</w:t>
      </w:r>
      <w:r>
        <w:rPr>
          <w:rFonts w:cs="Times New Roman"/>
          <w:sz w:val="28"/>
          <w:szCs w:val="28"/>
        </w:rPr>
        <w:t xml:space="preserve"> calculated</w:t>
      </w:r>
      <w:r>
        <w:rPr>
          <w:rFonts w:cs="Times New Roman"/>
          <w:color w:val="000000" w:themeColor="text1"/>
          <w:sz w:val="28"/>
          <w:szCs w:val="28"/>
          <w14:textFill>
            <w14:solidFill>
              <w14:schemeClr w14:val="tx1"/>
            </w14:solidFill>
          </w14:textFill>
        </w:rPr>
        <w:t xml:space="preserve"> using the </w:t>
      </w:r>
      <w:r>
        <w:rPr>
          <w:rFonts w:hint="eastAsia" w:cs="Times New Roman"/>
          <w:color w:val="000000" w:themeColor="text1"/>
          <w:sz w:val="28"/>
          <w:szCs w:val="28"/>
          <w14:textFill>
            <w14:solidFill>
              <w14:schemeClr w14:val="tx1"/>
            </w14:solidFill>
          </w14:textFill>
        </w:rPr>
        <w:t>following e</w:t>
      </w:r>
      <w:r>
        <w:rPr>
          <w:rFonts w:cs="Times New Roman"/>
          <w:color w:val="000000" w:themeColor="text1"/>
          <w:sz w:val="28"/>
          <w:szCs w:val="28"/>
          <w14:textFill>
            <w14:solidFill>
              <w14:schemeClr w14:val="tx1"/>
            </w14:solidFill>
          </w14:textFill>
        </w:rPr>
        <w:t xml:space="preserve">quations </w:t>
      </w:r>
      <w:r>
        <w:rPr>
          <w:rFonts w:hint="eastAsia" w:cs="Times New Roman"/>
          <w:color w:val="000000" w:themeColor="text1"/>
          <w:sz w:val="28"/>
          <w:szCs w:val="28"/>
          <w:vertAlign w:val="superscript"/>
          <w14:textFill>
            <w14:solidFill>
              <w14:schemeClr w14:val="tx1"/>
            </w14:solidFill>
          </w14:textFill>
        </w:rPr>
        <w:t>[8]</w:t>
      </w:r>
      <w:r>
        <w:rPr>
          <w:rFonts w:cs="Times New Roman"/>
          <w:color w:val="000000" w:themeColor="text1"/>
          <w:sz w:val="28"/>
          <w:szCs w:val="28"/>
          <w14:textFill>
            <w14:solidFill>
              <w14:schemeClr w14:val="tx1"/>
            </w14:solidFill>
          </w14:textFill>
        </w:rPr>
        <w:t>:</w:t>
      </w:r>
    </w:p>
    <w:p w14:paraId="398F6711">
      <w:pPr>
        <w:spacing w:line="480" w:lineRule="auto"/>
        <w:jc w:val="center"/>
        <w:rPr>
          <w:rFonts w:cs="Times New Roman"/>
          <w:color w:val="000000" w:themeColor="text1"/>
          <w:sz w:val="28"/>
          <w:szCs w:val="28"/>
          <w14:textFill>
            <w14:solidFill>
              <w14:schemeClr w14:val="tx1"/>
            </w14:solidFill>
          </w14:textFill>
        </w:rPr>
      </w:pPr>
      <m:oMathPara>
        <m:oMath>
          <m:r>
            <m:rPr/>
            <w:rPr>
              <w:rFonts w:ascii="Cambria Math" w:hAnsi="Cambria Math" w:cs="Times New Roman"/>
              <w:color w:val="000000" w:themeColor="text1"/>
              <w:sz w:val="28"/>
              <w:szCs w:val="28"/>
              <w14:textFill>
                <w14:solidFill>
                  <w14:schemeClr w14:val="tx1"/>
                </w14:solidFill>
              </w14:textFill>
            </w:rPr>
            <m:t>F=</m:t>
          </m:r>
          <m:f>
            <m:fPr>
              <m:ctrlPr>
                <w:rPr>
                  <w:rFonts w:ascii="Cambria Math" w:hAnsi="Cambria Math" w:cs="Times New Roman"/>
                  <w:i/>
                  <w:color w:val="000000" w:themeColor="text1"/>
                  <w:sz w:val="28"/>
                  <w:szCs w:val="28"/>
                  <w14:textFill>
                    <w14:solidFill>
                      <w14:schemeClr w14:val="tx1"/>
                    </w14:solidFill>
                  </w14:textFill>
                </w:rPr>
              </m:ctrlPr>
            </m:fPr>
            <m:num>
              <m:r>
                <m:rPr/>
                <w:rPr>
                  <w:rFonts w:ascii="Cambria Math" w:hAnsi="Cambria Math" w:cs="Times New Roman"/>
                  <w:color w:val="000000" w:themeColor="text1"/>
                  <w:sz w:val="28"/>
                  <w:szCs w:val="28"/>
                  <w14:textFill>
                    <w14:solidFill>
                      <w14:schemeClr w14:val="tx1"/>
                    </w14:solidFill>
                  </w14:textFill>
                </w:rPr>
                <m:t>C×q</m:t>
              </m:r>
              <m:ctrlPr>
                <w:rPr>
                  <w:rFonts w:ascii="Cambria Math" w:hAnsi="Cambria Math" w:cs="Times New Roman"/>
                  <w:i/>
                  <w:color w:val="000000" w:themeColor="text1"/>
                  <w:sz w:val="28"/>
                  <w:szCs w:val="28"/>
                  <w14:textFill>
                    <w14:solidFill>
                      <w14:schemeClr w14:val="tx1"/>
                    </w14:solidFill>
                  </w14:textFill>
                </w:rPr>
              </m:ctrlPr>
            </m:num>
            <m:den>
              <m:r>
                <m:rPr/>
                <w:rPr>
                  <w:rFonts w:ascii="Cambria Math" w:hAnsi="Cambria Math" w:cs="Times New Roman"/>
                  <w:color w:val="000000" w:themeColor="text1"/>
                  <w:sz w:val="28"/>
                  <w:szCs w:val="28"/>
                  <w14:textFill>
                    <w14:solidFill>
                      <w14:schemeClr w14:val="tx1"/>
                    </w14:solidFill>
                  </w14:textFill>
                </w:rPr>
                <m:t>A</m:t>
              </m:r>
              <m:ctrlPr>
                <w:rPr>
                  <w:rFonts w:ascii="Cambria Math" w:hAnsi="Cambria Math" w:cs="Times New Roman"/>
                  <w:i/>
                  <w:color w:val="000000" w:themeColor="text1"/>
                  <w:sz w:val="28"/>
                  <w:szCs w:val="28"/>
                  <w14:textFill>
                    <w14:solidFill>
                      <w14:schemeClr w14:val="tx1"/>
                    </w14:solidFill>
                  </w14:textFill>
                </w:rPr>
              </m:ctrlPr>
            </m:den>
          </m:f>
        </m:oMath>
      </m:oMathPara>
    </w:p>
    <w:p w14:paraId="34DEBD9A">
      <w:pPr>
        <w:spacing w:line="480" w:lineRule="auto"/>
        <w:rPr>
          <w:rFonts w:cs="Times New Roman"/>
          <w:sz w:val="28"/>
          <w:szCs w:val="28"/>
        </w:rPr>
      </w:pPr>
      <w:r>
        <w:rPr>
          <w:rFonts w:cs="Times New Roman"/>
          <w:color w:val="000000" w:themeColor="text1"/>
          <w:sz w:val="28"/>
          <w:szCs w:val="28"/>
          <w14:textFill>
            <w14:solidFill>
              <w14:schemeClr w14:val="tx1"/>
            </w14:solidFill>
          </w14:textFill>
        </w:rPr>
        <w:t xml:space="preserve">where </w:t>
      </w:r>
      <w:r>
        <w:rPr>
          <w:rFonts w:cs="Times New Roman"/>
          <w:i/>
          <w:iCs/>
          <w:color w:val="000000" w:themeColor="text1"/>
          <w:sz w:val="28"/>
          <w:szCs w:val="28"/>
          <w14:textFill>
            <w14:solidFill>
              <w14:schemeClr w14:val="tx1"/>
            </w14:solidFill>
          </w14:textFill>
        </w:rPr>
        <w:t>C</w:t>
      </w:r>
      <w:r>
        <w:rPr>
          <w:rFonts w:cs="Times New Roman"/>
          <w:color w:val="000000" w:themeColor="text1"/>
          <w:sz w:val="28"/>
          <w:szCs w:val="28"/>
          <w14:textFill>
            <w14:solidFill>
              <w14:schemeClr w14:val="tx1"/>
            </w14:solidFill>
          </w14:textFill>
        </w:rPr>
        <w:t xml:space="preserve"> is the NH</w:t>
      </w:r>
      <w:r>
        <w:rPr>
          <w:rFonts w:cs="Times New Roman"/>
          <w:color w:val="000000" w:themeColor="text1"/>
          <w:sz w:val="28"/>
          <w:szCs w:val="28"/>
          <w:vertAlign w:val="subscript"/>
          <w14:textFill>
            <w14:solidFill>
              <w14:schemeClr w14:val="tx1"/>
            </w14:solidFill>
          </w14:textFill>
        </w:rPr>
        <w:t>3</w:t>
      </w:r>
      <w:r>
        <w:rPr>
          <w:rFonts w:cs="Times New Roman"/>
          <w:color w:val="000000" w:themeColor="text1"/>
          <w:sz w:val="28"/>
          <w:szCs w:val="28"/>
          <w14:textFill>
            <w14:solidFill>
              <w14:schemeClr w14:val="tx1"/>
            </w14:solidFill>
          </w14:textFill>
        </w:rPr>
        <w:t xml:space="preserve"> concentration (g L</w:t>
      </w:r>
      <w:r>
        <w:rPr>
          <w:rFonts w:eastAsia="宋体" w:cs="Times New Roman"/>
          <w:sz w:val="28"/>
          <w:szCs w:val="28"/>
          <w:vertAlign w:val="superscript"/>
        </w:rPr>
        <w:t>−</w:t>
      </w:r>
      <w:r>
        <w:rPr>
          <w:rFonts w:cs="Times New Roman"/>
          <w:color w:val="000000" w:themeColor="text1"/>
          <w:sz w:val="28"/>
          <w:szCs w:val="28"/>
          <w:vertAlign w:val="superscript"/>
          <w14:textFill>
            <w14:solidFill>
              <w14:schemeClr w14:val="tx1"/>
            </w14:solidFill>
          </w14:textFill>
        </w:rPr>
        <w:t>1</w:t>
      </w:r>
      <w:r>
        <w:rPr>
          <w:rFonts w:cs="Times New Roman"/>
          <w:color w:val="000000" w:themeColor="text1"/>
          <w:sz w:val="28"/>
          <w:szCs w:val="28"/>
          <w14:textFill>
            <w14:solidFill>
              <w14:schemeClr w14:val="tx1"/>
            </w14:solidFill>
          </w14:textFill>
        </w:rPr>
        <w:t xml:space="preserve">), </w:t>
      </w:r>
      <w:r>
        <w:rPr>
          <w:rFonts w:cs="Times New Roman"/>
          <w:i/>
          <w:iCs/>
          <w:color w:val="000000" w:themeColor="text1"/>
          <w:sz w:val="28"/>
          <w:szCs w:val="28"/>
          <w14:textFill>
            <w14:solidFill>
              <w14:schemeClr w14:val="tx1"/>
            </w14:solidFill>
          </w14:textFill>
        </w:rPr>
        <w:t>q</w:t>
      </w:r>
      <w:r>
        <w:rPr>
          <w:rFonts w:cs="Times New Roman"/>
          <w:color w:val="000000" w:themeColor="text1"/>
          <w:sz w:val="28"/>
          <w:szCs w:val="28"/>
          <w14:textFill>
            <w14:solidFill>
              <w14:schemeClr w14:val="tx1"/>
            </w14:solidFill>
          </w14:textFill>
        </w:rPr>
        <w:t xml:space="preserve"> is the volumetri</w:t>
      </w:r>
      <w:r>
        <w:rPr>
          <w:rFonts w:cs="Times New Roman"/>
          <w:sz w:val="28"/>
          <w:szCs w:val="28"/>
        </w:rPr>
        <w:t>c air flow rate (L min</w:t>
      </w:r>
      <w:r>
        <w:rPr>
          <w:rFonts w:eastAsia="宋体" w:cs="Times New Roman"/>
          <w:sz w:val="28"/>
          <w:szCs w:val="28"/>
          <w:vertAlign w:val="superscript"/>
        </w:rPr>
        <w:t>−</w:t>
      </w:r>
      <w:r>
        <w:rPr>
          <w:rFonts w:cs="Times New Roman"/>
          <w:sz w:val="28"/>
          <w:szCs w:val="28"/>
          <w:vertAlign w:val="superscript"/>
        </w:rPr>
        <w:t>1</w:t>
      </w:r>
      <w:r>
        <w:rPr>
          <w:rFonts w:cs="Times New Roman"/>
          <w:sz w:val="28"/>
          <w:szCs w:val="28"/>
        </w:rPr>
        <w:t xml:space="preserve">), and </w:t>
      </w:r>
      <w:r>
        <w:rPr>
          <w:rFonts w:cs="Times New Roman"/>
          <w:i/>
          <w:iCs/>
          <w:sz w:val="28"/>
          <w:szCs w:val="28"/>
        </w:rPr>
        <w:t>A</w:t>
      </w:r>
      <w:r>
        <w:rPr>
          <w:rFonts w:cs="Times New Roman"/>
          <w:sz w:val="28"/>
          <w:szCs w:val="28"/>
        </w:rPr>
        <w:t xml:space="preserve"> is the area of the soil surface within the tunnel (m</w:t>
      </w:r>
      <w:r>
        <w:rPr>
          <w:rFonts w:cs="Times New Roman"/>
          <w:sz w:val="28"/>
          <w:szCs w:val="28"/>
          <w:vertAlign w:val="superscript"/>
        </w:rPr>
        <w:t>2</w:t>
      </w:r>
      <w:r>
        <w:rPr>
          <w:rFonts w:cs="Times New Roman"/>
          <w:sz w:val="28"/>
          <w:szCs w:val="28"/>
        </w:rPr>
        <w:t xml:space="preserve">). </w:t>
      </w:r>
    </w:p>
    <w:p w14:paraId="5439F22A">
      <w:pPr>
        <w:spacing w:line="480" w:lineRule="auto"/>
        <w:jc w:val="center"/>
        <w:rPr>
          <w:rFonts w:cs="Times New Roman"/>
          <w:sz w:val="28"/>
          <w:szCs w:val="28"/>
        </w:rPr>
      </w:pPr>
      <m:oMathPara>
        <m:oMath>
          <m:r>
            <m:rPr/>
            <w:rPr>
              <w:rFonts w:ascii="Cambria Math" w:hAnsi="Cambria Math" w:cs="Times New Roman"/>
              <w:sz w:val="28"/>
              <w:szCs w:val="28"/>
            </w:rPr>
            <m:t>C=(</m:t>
          </m:r>
          <m:sSub>
            <m:sSubPr>
              <m:ctrlPr>
                <w:rPr>
                  <w:rFonts w:ascii="Cambria Math" w:hAnsi="Cambria Math" w:cs="Times New Roman"/>
                  <w:i/>
                  <w:sz w:val="28"/>
                  <w:szCs w:val="28"/>
                </w:rPr>
              </m:ctrlPr>
            </m:sSubPr>
            <m:e>
              <m:r>
                <m:rPr/>
                <w:rPr>
                  <w:rFonts w:ascii="Cambria Math" w:hAnsi="Cambria Math" w:cs="Times New Roman"/>
                  <w:sz w:val="28"/>
                  <w:szCs w:val="28"/>
                </w:rPr>
                <m:t>C</m:t>
              </m:r>
              <m:ctrlPr>
                <w:rPr>
                  <w:rFonts w:ascii="Cambria Math" w:hAnsi="Cambria Math" w:cs="Times New Roman"/>
                  <w:i/>
                  <w:sz w:val="28"/>
                  <w:szCs w:val="28"/>
                </w:rPr>
              </m:ctrlPr>
            </m:e>
            <m:sub>
              <m:r>
                <m:rPr/>
                <w:rPr>
                  <w:rFonts w:ascii="Cambria Math" w:hAnsi="Cambria Math" w:cs="Times New Roman"/>
                  <w:sz w:val="28"/>
                  <w:szCs w:val="28"/>
                </w:rPr>
                <m:t>0</m:t>
              </m:r>
              <m:ctrlPr>
                <w:rPr>
                  <w:rFonts w:ascii="Cambria Math" w:hAnsi="Cambria Math" w:cs="Times New Roman"/>
                  <w:i/>
                  <w:sz w:val="28"/>
                  <w:szCs w:val="28"/>
                </w:rPr>
              </m:ctrlPr>
            </m:sub>
          </m:sSub>
          <m:r>
            <m:rPr/>
            <w:rPr>
              <w:rFonts w:ascii="Cambria Math" w:hAnsi="Cambria Math" w:cs="Times New Roman"/>
              <w:sz w:val="28"/>
              <w:szCs w:val="28"/>
            </w:rPr>
            <m:t>−</m:t>
          </m:r>
          <m:sSub>
            <m:sSubPr>
              <m:ctrlPr>
                <w:rPr>
                  <w:rFonts w:ascii="Cambria Math" w:hAnsi="Cambria Math" w:cs="Times New Roman"/>
                  <w:i/>
                  <w:sz w:val="28"/>
                  <w:szCs w:val="28"/>
                </w:rPr>
              </m:ctrlPr>
            </m:sSubPr>
            <m:e>
              <m:r>
                <m:rPr/>
                <w:rPr>
                  <w:rFonts w:ascii="Cambria Math" w:hAnsi="Cambria Math" w:cs="Times New Roman"/>
                  <w:sz w:val="28"/>
                  <w:szCs w:val="28"/>
                </w:rPr>
                <m:t>C</m:t>
              </m:r>
              <m:ctrlPr>
                <w:rPr>
                  <w:rFonts w:ascii="Cambria Math" w:hAnsi="Cambria Math" w:cs="Times New Roman"/>
                  <w:i/>
                  <w:sz w:val="28"/>
                  <w:szCs w:val="28"/>
                </w:rPr>
              </m:ctrlPr>
            </m:e>
            <m:sub>
              <m:r>
                <m:rPr/>
                <w:rPr>
                  <w:rFonts w:ascii="Cambria Math" w:hAnsi="Cambria Math" w:cs="Times New Roman"/>
                  <w:sz w:val="28"/>
                  <w:szCs w:val="28"/>
                </w:rPr>
                <m:t>i</m:t>
              </m:r>
              <m:ctrlPr>
                <w:rPr>
                  <w:rFonts w:ascii="Cambria Math" w:hAnsi="Cambria Math" w:cs="Times New Roman"/>
                  <w:i/>
                  <w:sz w:val="28"/>
                  <w:szCs w:val="28"/>
                </w:rPr>
              </m:ctrlPr>
            </m:sub>
          </m:sSub>
          <m:r>
            <m:rPr/>
            <w:rPr>
              <w:rFonts w:ascii="Cambria Math" w:hAnsi="Cambria Math" w:cs="Times New Roman"/>
              <w:sz w:val="28"/>
              <w:szCs w:val="28"/>
            </w:rPr>
            <m:t>)×</m:t>
          </m:r>
          <m:f>
            <m:fPr>
              <m:ctrlPr>
                <w:rPr>
                  <w:rFonts w:ascii="Cambria Math" w:hAnsi="Cambria Math" w:cs="Times New Roman"/>
                  <w:i/>
                  <w:sz w:val="28"/>
                  <w:szCs w:val="28"/>
                </w:rPr>
              </m:ctrlPr>
            </m:fPr>
            <m:num>
              <m:r>
                <m:rPr/>
                <w:rPr>
                  <w:rFonts w:ascii="Cambria Math" w:hAnsi="Cambria Math" w:cs="Times New Roman"/>
                  <w:sz w:val="28"/>
                  <w:szCs w:val="28"/>
                </w:rPr>
                <m:t>P×M</m:t>
              </m:r>
              <m:ctrlPr>
                <w:rPr>
                  <w:rFonts w:ascii="Cambria Math" w:hAnsi="Cambria Math" w:cs="Times New Roman"/>
                  <w:i/>
                  <w:sz w:val="28"/>
                  <w:szCs w:val="28"/>
                </w:rPr>
              </m:ctrlPr>
            </m:num>
            <m:den>
              <m:r>
                <m:rPr/>
                <w:rPr>
                  <w:rFonts w:ascii="Cambria Math" w:hAnsi="Cambria Math" w:cs="Times New Roman"/>
                  <w:sz w:val="28"/>
                  <w:szCs w:val="28"/>
                </w:rPr>
                <m:t>R×T</m:t>
              </m:r>
              <m:ctrlPr>
                <w:rPr>
                  <w:rFonts w:ascii="Cambria Math" w:hAnsi="Cambria Math" w:cs="Times New Roman"/>
                  <w:i/>
                  <w:sz w:val="28"/>
                  <w:szCs w:val="28"/>
                </w:rPr>
              </m:ctrlPr>
            </m:den>
          </m:f>
        </m:oMath>
      </m:oMathPara>
    </w:p>
    <w:p w14:paraId="0F16A7A4">
      <w:pPr>
        <w:spacing w:line="480" w:lineRule="auto"/>
        <w:rPr>
          <w:rFonts w:cs="Times New Roman"/>
          <w:sz w:val="28"/>
          <w:szCs w:val="28"/>
        </w:rPr>
      </w:pPr>
      <w:r>
        <w:rPr>
          <w:rFonts w:cs="Times New Roman"/>
          <w:i/>
          <w:iCs/>
          <w:sz w:val="28"/>
          <w:szCs w:val="28"/>
        </w:rPr>
        <w:t>P</w:t>
      </w:r>
      <w:r>
        <w:rPr>
          <w:rFonts w:cs="Times New Roman"/>
          <w:sz w:val="28"/>
          <w:szCs w:val="28"/>
        </w:rPr>
        <w:t xml:space="preserve"> is the air pressure (1 atm), </w:t>
      </w:r>
      <w:r>
        <w:rPr>
          <w:rFonts w:cs="Times New Roman"/>
          <w:i/>
          <w:iCs/>
          <w:sz w:val="28"/>
          <w:szCs w:val="28"/>
        </w:rPr>
        <w:t>R</w:t>
      </w:r>
      <w:r>
        <w:rPr>
          <w:rFonts w:cs="Times New Roman"/>
          <w:sz w:val="28"/>
          <w:szCs w:val="28"/>
        </w:rPr>
        <w:t xml:space="preserve"> is the gas constant (0.08206 L atm K</w:t>
      </w:r>
      <w:r>
        <w:rPr>
          <w:rFonts w:eastAsia="宋体" w:cs="Times New Roman"/>
          <w:sz w:val="28"/>
          <w:szCs w:val="28"/>
          <w:vertAlign w:val="superscript"/>
        </w:rPr>
        <w:t>−</w:t>
      </w:r>
      <w:r>
        <w:rPr>
          <w:rFonts w:cs="Times New Roman"/>
          <w:sz w:val="28"/>
          <w:szCs w:val="28"/>
          <w:vertAlign w:val="superscript"/>
        </w:rPr>
        <w:t>1</w:t>
      </w:r>
      <w:r>
        <w:rPr>
          <w:rFonts w:cs="Times New Roman"/>
          <w:sz w:val="28"/>
          <w:szCs w:val="28"/>
        </w:rPr>
        <w:t xml:space="preserve"> mol</w:t>
      </w:r>
      <w:r>
        <w:rPr>
          <w:rFonts w:eastAsia="宋体" w:cs="Times New Roman"/>
          <w:sz w:val="28"/>
          <w:szCs w:val="28"/>
          <w:vertAlign w:val="superscript"/>
        </w:rPr>
        <w:t>−</w:t>
      </w:r>
      <w:r>
        <w:rPr>
          <w:rFonts w:cs="Times New Roman"/>
          <w:sz w:val="28"/>
          <w:szCs w:val="28"/>
          <w:vertAlign w:val="superscript"/>
        </w:rPr>
        <w:t>1</w:t>
      </w:r>
      <w:r>
        <w:rPr>
          <w:rFonts w:cs="Times New Roman"/>
          <w:sz w:val="28"/>
          <w:szCs w:val="28"/>
        </w:rPr>
        <w:t xml:space="preserve">), </w:t>
      </w:r>
      <w:r>
        <w:rPr>
          <w:rFonts w:cs="Times New Roman"/>
          <w:i/>
          <w:iCs/>
          <w:sz w:val="28"/>
          <w:szCs w:val="28"/>
        </w:rPr>
        <w:t xml:space="preserve">T </w:t>
      </w:r>
      <w:r>
        <w:rPr>
          <w:rFonts w:cs="Times New Roman"/>
          <w:sz w:val="28"/>
          <w:szCs w:val="28"/>
        </w:rPr>
        <w:t xml:space="preserve">is the temperature (K), </w:t>
      </w:r>
      <w:r>
        <w:rPr>
          <w:rFonts w:hint="eastAsia" w:cs="Times New Roman"/>
          <w:i/>
          <w:iCs/>
          <w:sz w:val="28"/>
          <w:szCs w:val="28"/>
        </w:rPr>
        <w:t>C</w:t>
      </w:r>
      <w:r>
        <w:rPr>
          <w:rFonts w:cs="Times New Roman"/>
          <w:i/>
          <w:iCs/>
          <w:sz w:val="28"/>
          <w:szCs w:val="28"/>
          <w:vertAlign w:val="subscript"/>
        </w:rPr>
        <w:t>o</w:t>
      </w:r>
      <w:r>
        <w:rPr>
          <w:rFonts w:cs="Times New Roman"/>
          <w:sz w:val="28"/>
          <w:szCs w:val="28"/>
        </w:rPr>
        <w:t xml:space="preserve"> is the outlet concentration (ppb), </w:t>
      </w:r>
      <w:r>
        <w:rPr>
          <w:rFonts w:hint="eastAsia" w:cs="Times New Roman"/>
          <w:i/>
          <w:iCs/>
          <w:sz w:val="28"/>
          <w:szCs w:val="28"/>
        </w:rPr>
        <w:t>C</w:t>
      </w:r>
      <w:r>
        <w:rPr>
          <w:rFonts w:cs="Times New Roman"/>
          <w:i/>
          <w:iCs/>
          <w:sz w:val="28"/>
          <w:szCs w:val="28"/>
          <w:vertAlign w:val="subscript"/>
        </w:rPr>
        <w:t>i</w:t>
      </w:r>
      <w:r>
        <w:rPr>
          <w:rFonts w:cs="Times New Roman"/>
          <w:sz w:val="28"/>
          <w:szCs w:val="28"/>
        </w:rPr>
        <w:t xml:space="preserve"> is the inlet concentration (ppb), and </w:t>
      </w:r>
      <w:r>
        <w:rPr>
          <w:rFonts w:cs="Times New Roman"/>
          <w:i/>
          <w:iCs/>
          <w:sz w:val="28"/>
          <w:szCs w:val="28"/>
        </w:rPr>
        <w:t>M</w:t>
      </w:r>
      <w:r>
        <w:rPr>
          <w:rFonts w:cs="Times New Roman"/>
          <w:sz w:val="28"/>
          <w:szCs w:val="28"/>
        </w:rPr>
        <w:t xml:space="preserve"> is the molar mass of </w:t>
      </w:r>
      <w:r>
        <w:rPr>
          <w:rFonts w:hint="eastAsia" w:cs="Times New Roman"/>
          <w:sz w:val="28"/>
          <w:szCs w:val="28"/>
        </w:rPr>
        <w:t>NH</w:t>
      </w:r>
      <w:r>
        <w:rPr>
          <w:rFonts w:hint="eastAsia" w:cs="Times New Roman"/>
          <w:sz w:val="28"/>
          <w:szCs w:val="28"/>
          <w:vertAlign w:val="subscript"/>
        </w:rPr>
        <w:t>3</w:t>
      </w:r>
      <w:r>
        <w:rPr>
          <w:rFonts w:cs="Times New Roman"/>
          <w:sz w:val="28"/>
          <w:szCs w:val="28"/>
        </w:rPr>
        <w:t xml:space="preserve"> (17.03 g mol</w:t>
      </w:r>
      <w:r>
        <w:rPr>
          <w:rFonts w:eastAsia="宋体" w:cs="Times New Roman"/>
          <w:sz w:val="28"/>
          <w:szCs w:val="28"/>
          <w:vertAlign w:val="superscript"/>
        </w:rPr>
        <w:t>−</w:t>
      </w:r>
      <w:r>
        <w:rPr>
          <w:rFonts w:cs="Times New Roman"/>
          <w:sz w:val="28"/>
          <w:szCs w:val="28"/>
          <w:vertAlign w:val="superscript"/>
        </w:rPr>
        <w:t>1</w:t>
      </w:r>
      <w:r>
        <w:rPr>
          <w:rFonts w:cs="Times New Roman"/>
          <w:sz w:val="28"/>
          <w:szCs w:val="28"/>
        </w:rPr>
        <w:t>).</w:t>
      </w:r>
    </w:p>
    <w:p w14:paraId="45757E69">
      <w:pPr>
        <w:widowControl/>
        <w:spacing w:line="480" w:lineRule="auto"/>
        <w:rPr>
          <w:sz w:val="28"/>
          <w:szCs w:val="28"/>
        </w:rPr>
      </w:pPr>
      <w:r>
        <w:rPr>
          <w:rFonts w:cs="Times New Roman"/>
          <w:sz w:val="28"/>
          <w:szCs w:val="28"/>
        </w:rPr>
        <w:t>This method has some drawbacks, for instance, the equipment is complex and expensive</w:t>
      </w:r>
      <w:r>
        <w:rPr>
          <w:rFonts w:hint="eastAsia" w:cs="Times New Roman"/>
          <w:sz w:val="28"/>
          <w:szCs w:val="28"/>
        </w:rPr>
        <w:t>, t</w:t>
      </w:r>
      <w:r>
        <w:rPr>
          <w:rFonts w:cs="Times New Roman"/>
          <w:sz w:val="28"/>
          <w:szCs w:val="28"/>
        </w:rPr>
        <w:t>he operation is cumbersome</w:t>
      </w:r>
      <w:r>
        <w:rPr>
          <w:rFonts w:hint="eastAsia" w:cs="Times New Roman"/>
          <w:sz w:val="28"/>
          <w:szCs w:val="28"/>
        </w:rPr>
        <w:t>, and</w:t>
      </w:r>
      <w:r>
        <w:rPr>
          <w:rFonts w:cs="Times New Roman"/>
          <w:sz w:val="28"/>
          <w:szCs w:val="28"/>
        </w:rPr>
        <w:t xml:space="preserve"> </w:t>
      </w:r>
      <w:r>
        <w:rPr>
          <w:rFonts w:hint="eastAsia" w:cs="Times New Roman"/>
          <w:sz w:val="28"/>
          <w:szCs w:val="28"/>
        </w:rPr>
        <w:t>i</w:t>
      </w:r>
      <w:r>
        <w:rPr>
          <w:rFonts w:cs="Times New Roman"/>
          <w:sz w:val="28"/>
          <w:szCs w:val="28"/>
        </w:rPr>
        <w:t>mportantly, the wind tunnel method cannot simulate calm wind conditions or precipitation. When wind speeds fall below 0.3 m</w:t>
      </w:r>
      <w:r>
        <w:rPr>
          <w:rFonts w:hint="eastAsia" w:cs="Times New Roman"/>
          <w:sz w:val="28"/>
          <w:szCs w:val="28"/>
        </w:rPr>
        <w:t xml:space="preserve"> </w:t>
      </w:r>
      <w:r>
        <w:rPr>
          <w:rFonts w:cs="Times New Roman"/>
          <w:sz w:val="28"/>
          <w:szCs w:val="28"/>
        </w:rPr>
        <w:t>s</w:t>
      </w:r>
      <w:r>
        <w:rPr>
          <w:rFonts w:eastAsia="宋体" w:cs="Times New Roman"/>
          <w:sz w:val="28"/>
          <w:szCs w:val="28"/>
          <w:vertAlign w:val="superscript"/>
        </w:rPr>
        <w:t>−</w:t>
      </w:r>
      <w:r>
        <w:rPr>
          <w:rFonts w:cs="Times New Roman"/>
          <w:sz w:val="28"/>
          <w:szCs w:val="28"/>
          <w:vertAlign w:val="superscript"/>
        </w:rPr>
        <w:t>1</w:t>
      </w:r>
      <w:r>
        <w:rPr>
          <w:rFonts w:cs="Times New Roman"/>
          <w:sz w:val="28"/>
          <w:szCs w:val="28"/>
        </w:rPr>
        <w:t xml:space="preserve">, measurement errors tend to increase. </w:t>
      </w:r>
    </w:p>
    <w:p w14:paraId="0AFCF898">
      <w:pPr>
        <w:widowControl/>
        <w:numPr>
          <w:ilvl w:val="0"/>
          <w:numId w:val="0"/>
        </w:numPr>
        <w:spacing w:line="480" w:lineRule="auto"/>
        <w:ind w:left="420" w:leftChars="0" w:hanging="420" w:firstLineChars="0"/>
        <w:rPr>
          <w:sz w:val="28"/>
          <w:szCs w:val="28"/>
        </w:rPr>
      </w:pPr>
      <w:r>
        <w:rPr>
          <w:rFonts w:hint="default" w:ascii="Wingdings" w:hAnsi="Wingdings" w:eastAsiaTheme="minorEastAsia" w:cstheme="minorBidi"/>
          <w:kern w:val="2"/>
          <w:sz w:val="28"/>
          <w:szCs w:val="28"/>
          <w:lang w:val="en-US" w:eastAsia="zh-CN" w:bidi="ar-SA"/>
        </w:rPr>
        <w:t></w:t>
      </w:r>
      <w:r>
        <w:rPr>
          <w:rFonts w:hint="eastAsia" w:cs="Times New Roman"/>
          <w:b/>
          <w:bCs/>
          <w:sz w:val="28"/>
          <w:szCs w:val="28"/>
        </w:rPr>
        <w:t>I</w:t>
      </w:r>
      <w:r>
        <w:rPr>
          <w:rFonts w:cs="Times New Roman"/>
          <w:b/>
          <w:bCs/>
          <w:sz w:val="28"/>
          <w:szCs w:val="28"/>
        </w:rPr>
        <w:t>ntegrated horizontal flux (IHF)</w:t>
      </w:r>
    </w:p>
    <w:p w14:paraId="1D88006E">
      <w:pPr>
        <w:spacing w:line="480" w:lineRule="auto"/>
        <w:rPr>
          <w:rFonts w:cs="Times New Roman"/>
          <w:sz w:val="28"/>
          <w:szCs w:val="28"/>
        </w:rPr>
      </w:pPr>
      <w:r>
        <w:rPr>
          <w:rFonts w:hint="eastAsia" w:cs="Times New Roman"/>
          <w:sz w:val="28"/>
          <w:szCs w:val="28"/>
        </w:rPr>
        <w:t>T</w:t>
      </w:r>
      <w:r>
        <w:rPr>
          <w:rFonts w:cs="Times New Roman"/>
          <w:sz w:val="28"/>
          <w:szCs w:val="28"/>
        </w:rPr>
        <w:t>he vertical NH</w:t>
      </w:r>
      <w:r>
        <w:rPr>
          <w:rFonts w:cs="Times New Roman"/>
          <w:sz w:val="28"/>
          <w:szCs w:val="28"/>
          <w:vertAlign w:val="subscript"/>
        </w:rPr>
        <w:t>3</w:t>
      </w:r>
      <w:r>
        <w:rPr>
          <w:rFonts w:cs="Times New Roman"/>
          <w:sz w:val="28"/>
          <w:szCs w:val="28"/>
        </w:rPr>
        <w:t xml:space="preserve"> flux in a region equals to the integration of horizontal NH</w:t>
      </w:r>
      <w:r>
        <w:rPr>
          <w:rFonts w:cs="Times New Roman"/>
          <w:sz w:val="28"/>
          <w:szCs w:val="28"/>
          <w:vertAlign w:val="subscript"/>
        </w:rPr>
        <w:t>3</w:t>
      </w:r>
      <w:r>
        <w:rPr>
          <w:rFonts w:cs="Times New Roman"/>
          <w:sz w:val="28"/>
          <w:szCs w:val="28"/>
        </w:rPr>
        <w:t xml:space="preserve"> fluxes across a vertical cross-section on a rod</w:t>
      </w:r>
      <w:r>
        <w:rPr>
          <w:rFonts w:hint="eastAsia" w:cs="Times New Roman"/>
          <w:sz w:val="28"/>
          <w:szCs w:val="28"/>
          <w:vertAlign w:val="superscript"/>
        </w:rPr>
        <w:t>[9,10]</w:t>
      </w:r>
      <w:r>
        <w:rPr>
          <w:rFonts w:cs="Times New Roman"/>
          <w:sz w:val="28"/>
          <w:szCs w:val="28"/>
        </w:rPr>
        <w:t>. This method is suitable only for measuring NH</w:t>
      </w:r>
      <w:r>
        <w:rPr>
          <w:rFonts w:cs="Times New Roman"/>
          <w:sz w:val="28"/>
          <w:szCs w:val="28"/>
          <w:vertAlign w:val="subscript"/>
        </w:rPr>
        <w:t>3</w:t>
      </w:r>
      <w:r>
        <w:rPr>
          <w:rFonts w:cs="Times New Roman"/>
          <w:sz w:val="28"/>
          <w:szCs w:val="28"/>
        </w:rPr>
        <w:t xml:space="preserve"> emissions following N fertilization in cropland. At any given height, the horizontal NH</w:t>
      </w:r>
      <w:r>
        <w:rPr>
          <w:rFonts w:cs="Times New Roman"/>
          <w:sz w:val="28"/>
          <w:szCs w:val="28"/>
          <w:vertAlign w:val="subscript"/>
        </w:rPr>
        <w:t>3</w:t>
      </w:r>
      <w:r>
        <w:rPr>
          <w:rFonts w:cs="Times New Roman"/>
          <w:sz w:val="28"/>
          <w:szCs w:val="28"/>
        </w:rPr>
        <w:t xml:space="preserve"> flux is the product of wind speed and NH</w:t>
      </w:r>
      <w:r>
        <w:rPr>
          <w:rFonts w:cs="Times New Roman"/>
          <w:sz w:val="28"/>
          <w:szCs w:val="28"/>
          <w:vertAlign w:val="subscript"/>
        </w:rPr>
        <w:t>3</w:t>
      </w:r>
      <w:r>
        <w:rPr>
          <w:rFonts w:cs="Times New Roman"/>
          <w:sz w:val="28"/>
          <w:szCs w:val="28"/>
        </w:rPr>
        <w:t xml:space="preserve"> concentration. A gaseous NH</w:t>
      </w:r>
      <w:r>
        <w:rPr>
          <w:rFonts w:cs="Times New Roman"/>
          <w:sz w:val="28"/>
          <w:szCs w:val="28"/>
          <w:vertAlign w:val="subscript"/>
        </w:rPr>
        <w:t>3</w:t>
      </w:r>
      <w:r>
        <w:rPr>
          <w:rFonts w:cs="Times New Roman"/>
          <w:sz w:val="28"/>
          <w:szCs w:val="28"/>
        </w:rPr>
        <w:t xml:space="preserve"> absorption device and an anemometer were placed at different heights on a </w:t>
      </w:r>
      <w:r>
        <w:rPr>
          <w:rFonts w:hint="eastAsia" w:cs="Times New Roman"/>
          <w:sz w:val="28"/>
          <w:szCs w:val="28"/>
        </w:rPr>
        <w:t>mast</w:t>
      </w:r>
      <w:r>
        <w:rPr>
          <w:rFonts w:cs="Times New Roman"/>
          <w:sz w:val="28"/>
          <w:szCs w:val="28"/>
        </w:rPr>
        <w:t xml:space="preserve"> positioned at the center of the circular area, ensuring that the NH</w:t>
      </w:r>
      <w:r>
        <w:rPr>
          <w:rFonts w:cs="Times New Roman"/>
          <w:sz w:val="28"/>
          <w:szCs w:val="28"/>
          <w:vertAlign w:val="subscript"/>
        </w:rPr>
        <w:t>3</w:t>
      </w:r>
      <w:r>
        <w:rPr>
          <w:rFonts w:cs="Times New Roman"/>
          <w:sz w:val="28"/>
          <w:szCs w:val="28"/>
        </w:rPr>
        <w:t xml:space="preserve"> concentration at the highest point approximates the background concentration.</w:t>
      </w:r>
    </w:p>
    <w:p w14:paraId="11E94CA7">
      <w:pPr>
        <w:spacing w:line="480" w:lineRule="auto"/>
        <w:rPr>
          <w:rFonts w:cs="Times New Roman"/>
          <w:sz w:val="28"/>
          <w:szCs w:val="28"/>
        </w:rPr>
      </w:pPr>
      <w:r>
        <w:rPr>
          <w:rFonts w:cs="Times New Roman"/>
          <w:sz w:val="28"/>
          <w:szCs w:val="28"/>
        </w:rPr>
        <w:t>Vertical flux (F, g m</w:t>
      </w:r>
      <w:r>
        <w:rPr>
          <w:rFonts w:eastAsia="宋体" w:cs="Times New Roman"/>
          <w:sz w:val="28"/>
          <w:szCs w:val="28"/>
          <w:vertAlign w:val="superscript"/>
        </w:rPr>
        <w:t>−</w:t>
      </w:r>
      <w:r>
        <w:rPr>
          <w:rFonts w:cs="Times New Roman"/>
          <w:sz w:val="28"/>
          <w:szCs w:val="28"/>
          <w:vertAlign w:val="superscript"/>
        </w:rPr>
        <w:t>2</w:t>
      </w:r>
      <w:r>
        <w:rPr>
          <w:rFonts w:cs="Times New Roman"/>
          <w:sz w:val="28"/>
          <w:szCs w:val="28"/>
        </w:rPr>
        <w:t xml:space="preserve"> s</w:t>
      </w:r>
      <w:r>
        <w:rPr>
          <w:rFonts w:eastAsia="宋体" w:cs="Times New Roman"/>
          <w:sz w:val="28"/>
          <w:szCs w:val="28"/>
          <w:vertAlign w:val="superscript"/>
        </w:rPr>
        <w:t>−</w:t>
      </w:r>
      <w:r>
        <w:rPr>
          <w:rFonts w:cs="Times New Roman"/>
          <w:sz w:val="28"/>
          <w:szCs w:val="28"/>
          <w:vertAlign w:val="superscript"/>
        </w:rPr>
        <w:t>1</w:t>
      </w:r>
      <w:r>
        <w:rPr>
          <w:rFonts w:cs="Times New Roman"/>
          <w:sz w:val="28"/>
          <w:szCs w:val="28"/>
        </w:rPr>
        <w:t>) is calculated by integrating the net horizontal fluxes over the height profile (from 0 to Z, m) and dividing by the fetch distance or plot radius (x, m) to obtain the NH</w:t>
      </w:r>
      <w:r>
        <w:rPr>
          <w:rFonts w:cs="Times New Roman"/>
          <w:sz w:val="28"/>
          <w:szCs w:val="28"/>
          <w:vertAlign w:val="subscript"/>
        </w:rPr>
        <w:t>3</w:t>
      </w:r>
      <w:r>
        <w:rPr>
          <w:rFonts w:cs="Times New Roman"/>
          <w:sz w:val="28"/>
          <w:szCs w:val="28"/>
        </w:rPr>
        <w:t xml:space="preserve"> flux, using the following equation</w:t>
      </w:r>
      <w:r>
        <w:rPr>
          <w:rFonts w:hint="eastAsia" w:cs="Times New Roman"/>
          <w:sz w:val="28"/>
          <w:szCs w:val="28"/>
          <w:vertAlign w:val="superscript"/>
        </w:rPr>
        <w:t>[11-13]</w:t>
      </w:r>
      <w:r>
        <w:rPr>
          <w:rFonts w:cs="Times New Roman"/>
          <w:sz w:val="28"/>
          <w:szCs w:val="28"/>
        </w:rPr>
        <w:t>:</w:t>
      </w:r>
    </w:p>
    <w:p w14:paraId="4D5E428C">
      <w:pPr>
        <w:spacing w:line="480" w:lineRule="auto"/>
        <w:jc w:val="left"/>
        <w:rPr>
          <w:rFonts w:cs="Times New Roman"/>
          <w:sz w:val="28"/>
          <w:szCs w:val="28"/>
        </w:rPr>
      </w:pPr>
      <m:oMathPara>
        <m:oMath>
          <m:r>
            <m:rPr/>
            <w:rPr>
              <w:rFonts w:cs="Times New Roman"/>
              <w:sz w:val="28"/>
              <w:szCs w:val="28"/>
            </w:rPr>
            <m:t>F=</m:t>
          </m:r>
          <m:f>
            <m:fPr>
              <m:ctrlPr>
                <w:rPr>
                  <w:rFonts w:ascii="Cambria Math" w:hAnsi="Cambria Math" w:cs="Times New Roman"/>
                  <w:i/>
                  <w:iCs/>
                  <w:sz w:val="28"/>
                  <w:szCs w:val="28"/>
                </w:rPr>
              </m:ctrlPr>
            </m:fPr>
            <m:num>
              <m:r>
                <m:rPr/>
                <w:rPr>
                  <w:rFonts w:cs="Times New Roman"/>
                  <w:sz w:val="28"/>
                  <w:szCs w:val="28"/>
                </w:rPr>
                <m:t>1</m:t>
              </m:r>
              <m:ctrlPr>
                <w:rPr>
                  <w:rFonts w:ascii="Cambria Math" w:hAnsi="Cambria Math" w:cs="Times New Roman"/>
                  <w:i/>
                  <w:iCs/>
                  <w:sz w:val="28"/>
                  <w:szCs w:val="28"/>
                </w:rPr>
              </m:ctrlPr>
            </m:num>
            <m:den>
              <m:r>
                <m:rPr/>
                <w:rPr>
                  <w:rFonts w:cs="Times New Roman"/>
                  <w:sz w:val="28"/>
                  <w:szCs w:val="28"/>
                </w:rPr>
                <m:t>x</m:t>
              </m:r>
              <m:ctrlPr>
                <w:rPr>
                  <w:rFonts w:ascii="Cambria Math" w:hAnsi="Cambria Math" w:cs="Times New Roman"/>
                  <w:i/>
                  <w:iCs/>
                  <w:sz w:val="28"/>
                  <w:szCs w:val="28"/>
                </w:rPr>
              </m:ctrlPr>
            </m:den>
          </m:f>
          <m:nary>
            <m:naryPr>
              <m:limLoc m:val="subSup"/>
              <m:ctrlPr>
                <w:rPr>
                  <w:rFonts w:ascii="Cambria Math" w:hAnsi="Cambria Math" w:cs="Times New Roman"/>
                  <w:i/>
                  <w:iCs/>
                  <w:sz w:val="28"/>
                  <w:szCs w:val="28"/>
                </w:rPr>
              </m:ctrlPr>
            </m:naryPr>
            <m:sub>
              <m:r>
                <m:rPr/>
                <w:rPr>
                  <w:rFonts w:cs="Times New Roman"/>
                  <w:sz w:val="28"/>
                  <w:szCs w:val="28"/>
                </w:rPr>
                <m:t>0</m:t>
              </m:r>
              <m:ctrlPr>
                <w:rPr>
                  <w:rFonts w:ascii="Cambria Math" w:hAnsi="Cambria Math" w:cs="Times New Roman"/>
                  <w:i/>
                  <w:iCs/>
                  <w:sz w:val="28"/>
                  <w:szCs w:val="28"/>
                </w:rPr>
              </m:ctrlPr>
            </m:sub>
            <m:sup>
              <m:r>
                <m:rPr/>
                <w:rPr>
                  <w:rFonts w:cs="Times New Roman"/>
                  <w:sz w:val="28"/>
                  <w:szCs w:val="28"/>
                </w:rPr>
                <m:t>Z</m:t>
              </m:r>
              <m:ctrlPr>
                <w:rPr>
                  <w:rFonts w:ascii="Cambria Math" w:hAnsi="Cambria Math" w:cs="Times New Roman"/>
                  <w:i/>
                  <w:iCs/>
                  <w:sz w:val="28"/>
                  <w:szCs w:val="28"/>
                </w:rPr>
              </m:ctrlPr>
            </m:sup>
            <m:e>
              <m:r>
                <m:rPr/>
                <w:rPr>
                  <w:rFonts w:cs="Times New Roman"/>
                  <w:sz w:val="28"/>
                  <w:szCs w:val="28"/>
                </w:rPr>
                <m:t>(</m:t>
              </m:r>
              <m:bar>
                <m:barPr>
                  <m:pos m:val="top"/>
                  <m:ctrlPr>
                    <w:rPr>
                      <w:rFonts w:ascii="Cambria Math" w:hAnsi="Cambria Math" w:cs="Times New Roman"/>
                      <w:i/>
                      <w:iCs/>
                      <w:sz w:val="28"/>
                      <w:szCs w:val="28"/>
                    </w:rPr>
                  </m:ctrlPr>
                </m:barPr>
                <m:e>
                  <m:r>
                    <m:rPr/>
                    <w:rPr>
                      <w:rFonts w:cs="Times New Roman"/>
                      <w:sz w:val="28"/>
                      <w:szCs w:val="28"/>
                    </w:rPr>
                    <m:t>uc</m:t>
                  </m:r>
                  <m:ctrlPr>
                    <w:rPr>
                      <w:rFonts w:ascii="Cambria Math" w:hAnsi="Cambria Math" w:cs="Times New Roman"/>
                      <w:i/>
                      <w:iCs/>
                      <w:sz w:val="28"/>
                      <w:szCs w:val="28"/>
                    </w:rPr>
                  </m:ctrlPr>
                </m:e>
              </m:bar>
              <m:r>
                <m:rPr/>
                <w:rPr>
                  <w:rFonts w:cs="Times New Roman"/>
                  <w:sz w:val="28"/>
                  <w:szCs w:val="28"/>
                </w:rPr>
                <m:t>−</m:t>
              </m:r>
              <m:bar>
                <m:barPr>
                  <m:pos m:val="top"/>
                  <m:ctrlPr>
                    <w:rPr>
                      <w:rFonts w:ascii="Cambria Math" w:hAnsi="Cambria Math" w:cs="Times New Roman"/>
                      <w:i/>
                      <w:iCs/>
                      <w:sz w:val="28"/>
                      <w:szCs w:val="28"/>
                    </w:rPr>
                  </m:ctrlPr>
                </m:barPr>
                <m:e>
                  <m:r>
                    <m:rPr/>
                    <w:rPr>
                      <w:rFonts w:cs="Times New Roman"/>
                      <w:sz w:val="28"/>
                      <w:szCs w:val="28"/>
                    </w:rPr>
                    <m:t>u</m:t>
                  </m:r>
                  <m:sSub>
                    <m:sSubPr>
                      <m:ctrlPr>
                        <w:rPr>
                          <w:rFonts w:ascii="Cambria Math" w:hAnsi="Cambria Math" w:cs="Times New Roman"/>
                          <w:i/>
                          <w:iCs/>
                          <w:sz w:val="28"/>
                          <w:szCs w:val="28"/>
                        </w:rPr>
                      </m:ctrlPr>
                    </m:sSubPr>
                    <m:e>
                      <m:r>
                        <m:rPr/>
                        <w:rPr>
                          <w:rFonts w:cs="Times New Roman"/>
                          <w:sz w:val="28"/>
                          <w:szCs w:val="28"/>
                        </w:rPr>
                        <m:t>c</m:t>
                      </m:r>
                      <m:ctrlPr>
                        <w:rPr>
                          <w:rFonts w:ascii="Cambria Math" w:hAnsi="Cambria Math" w:cs="Times New Roman"/>
                          <w:i/>
                          <w:iCs/>
                          <w:sz w:val="28"/>
                          <w:szCs w:val="28"/>
                        </w:rPr>
                      </m:ctrlPr>
                    </m:e>
                    <m:sub>
                      <m:r>
                        <m:rPr/>
                        <w:rPr>
                          <w:rFonts w:cs="Times New Roman"/>
                          <w:sz w:val="28"/>
                          <w:szCs w:val="28"/>
                        </w:rPr>
                        <m:t>b</m:t>
                      </m:r>
                      <m:ctrlPr>
                        <w:rPr>
                          <w:rFonts w:ascii="Cambria Math" w:hAnsi="Cambria Math" w:cs="Times New Roman"/>
                          <w:i/>
                          <w:iCs/>
                          <w:sz w:val="28"/>
                          <w:szCs w:val="28"/>
                        </w:rPr>
                      </m:ctrlPr>
                    </m:sub>
                  </m:sSub>
                  <m:ctrlPr>
                    <w:rPr>
                      <w:rFonts w:ascii="Cambria Math" w:hAnsi="Cambria Math" w:cs="Times New Roman"/>
                      <w:i/>
                      <w:iCs/>
                      <w:sz w:val="28"/>
                      <w:szCs w:val="28"/>
                    </w:rPr>
                  </m:ctrlPr>
                </m:e>
              </m:bar>
              <m:r>
                <m:rPr/>
                <w:rPr>
                  <w:rFonts w:cs="Times New Roman"/>
                  <w:sz w:val="28"/>
                  <w:szCs w:val="28"/>
                </w:rPr>
                <m:t>)dZ</m:t>
              </m:r>
              <m:ctrlPr>
                <w:rPr>
                  <w:rFonts w:ascii="Cambria Math" w:hAnsi="Cambria Math" w:cs="Times New Roman"/>
                  <w:i/>
                  <w:iCs/>
                  <w:sz w:val="28"/>
                  <w:szCs w:val="28"/>
                </w:rPr>
              </m:ctrlPr>
            </m:e>
          </m:nary>
        </m:oMath>
      </m:oMathPara>
    </w:p>
    <w:p w14:paraId="5D5FCC36">
      <w:pPr>
        <w:spacing w:line="480" w:lineRule="auto"/>
        <w:rPr>
          <w:rFonts w:cs="Times New Roman"/>
          <w:sz w:val="28"/>
          <w:szCs w:val="28"/>
        </w:rPr>
      </w:pPr>
      <w:r>
        <w:rPr>
          <w:rFonts w:cs="Times New Roman"/>
          <w:sz w:val="28"/>
          <w:szCs w:val="28"/>
        </w:rPr>
        <w:t xml:space="preserve">where </w:t>
      </w:r>
      <w:r>
        <w:rPr>
          <w:rFonts w:cs="Times New Roman"/>
          <w:i/>
          <w:iCs/>
          <w:sz w:val="28"/>
          <w:szCs w:val="28"/>
        </w:rPr>
        <w:t>u</w:t>
      </w:r>
      <w:r>
        <w:rPr>
          <w:rFonts w:cs="Times New Roman"/>
          <w:sz w:val="28"/>
          <w:szCs w:val="28"/>
        </w:rPr>
        <w:t xml:space="preserve"> (m s</w:t>
      </w:r>
      <w:r>
        <w:rPr>
          <w:rFonts w:eastAsia="宋体" w:cs="Times New Roman"/>
          <w:sz w:val="28"/>
          <w:szCs w:val="28"/>
          <w:vertAlign w:val="superscript"/>
        </w:rPr>
        <w:t>−</w:t>
      </w:r>
      <w:r>
        <w:rPr>
          <w:rFonts w:cs="Times New Roman"/>
          <w:sz w:val="28"/>
          <w:szCs w:val="28"/>
          <w:vertAlign w:val="superscript"/>
        </w:rPr>
        <w:t>1</w:t>
      </w:r>
      <w:r>
        <w:rPr>
          <w:rFonts w:cs="Times New Roman"/>
          <w:sz w:val="28"/>
          <w:szCs w:val="28"/>
        </w:rPr>
        <w:t xml:space="preserve">) is the wind speed, and </w:t>
      </w:r>
      <w:r>
        <w:rPr>
          <w:rFonts w:cs="Times New Roman"/>
          <w:i/>
          <w:iCs/>
          <w:sz w:val="28"/>
          <w:szCs w:val="28"/>
        </w:rPr>
        <w:t>c</w:t>
      </w:r>
      <w:r>
        <w:rPr>
          <w:rFonts w:cs="Times New Roman"/>
          <w:sz w:val="28"/>
          <w:szCs w:val="28"/>
        </w:rPr>
        <w:t xml:space="preserve"> (g m</w:t>
      </w:r>
      <w:r>
        <w:rPr>
          <w:rFonts w:eastAsia="宋体" w:cs="Times New Roman"/>
          <w:sz w:val="28"/>
          <w:szCs w:val="28"/>
          <w:vertAlign w:val="superscript"/>
        </w:rPr>
        <w:t>−</w:t>
      </w:r>
      <w:r>
        <w:rPr>
          <w:rFonts w:cs="Times New Roman"/>
          <w:sz w:val="28"/>
          <w:szCs w:val="28"/>
          <w:vertAlign w:val="superscript"/>
        </w:rPr>
        <w:t>3</w:t>
      </w:r>
      <w:r>
        <w:rPr>
          <w:rFonts w:cs="Times New Roman"/>
          <w:sz w:val="28"/>
          <w:szCs w:val="28"/>
        </w:rPr>
        <w:t>) is NH</w:t>
      </w:r>
      <w:r>
        <w:rPr>
          <w:rFonts w:cs="Times New Roman"/>
          <w:sz w:val="28"/>
          <w:szCs w:val="28"/>
          <w:vertAlign w:val="subscript"/>
        </w:rPr>
        <w:t>3</w:t>
      </w:r>
      <w:r>
        <w:rPr>
          <w:rFonts w:cs="Times New Roman"/>
          <w:sz w:val="28"/>
          <w:szCs w:val="28"/>
        </w:rPr>
        <w:t xml:space="preserve"> concentration downwind, and </w:t>
      </w:r>
      <w:r>
        <w:rPr>
          <w:rFonts w:cs="Times New Roman"/>
          <w:i/>
          <w:iCs/>
          <w:sz w:val="28"/>
          <w:szCs w:val="28"/>
        </w:rPr>
        <w:t>c</w:t>
      </w:r>
      <w:r>
        <w:rPr>
          <w:rFonts w:cs="Times New Roman"/>
          <w:i/>
          <w:iCs/>
          <w:sz w:val="28"/>
          <w:szCs w:val="28"/>
          <w:vertAlign w:val="subscript"/>
        </w:rPr>
        <w:t>b</w:t>
      </w:r>
      <w:r>
        <w:rPr>
          <w:rFonts w:cs="Times New Roman"/>
          <w:sz w:val="28"/>
          <w:szCs w:val="28"/>
        </w:rPr>
        <w:t xml:space="preserve"> is the NH</w:t>
      </w:r>
      <w:r>
        <w:rPr>
          <w:rFonts w:cs="Times New Roman"/>
          <w:sz w:val="28"/>
          <w:szCs w:val="28"/>
          <w:vertAlign w:val="subscript"/>
        </w:rPr>
        <w:t>3</w:t>
      </w:r>
      <w:r>
        <w:rPr>
          <w:rFonts w:cs="Times New Roman"/>
          <w:sz w:val="28"/>
          <w:szCs w:val="28"/>
        </w:rPr>
        <w:t xml:space="preserve"> concentration at the upwind edge of the treated area. </w:t>
      </w:r>
    </w:p>
    <w:p w14:paraId="19EDC240">
      <w:pPr>
        <w:spacing w:line="480" w:lineRule="auto"/>
        <w:rPr>
          <w:rFonts w:cs="Times New Roman"/>
          <w:sz w:val="28"/>
          <w:szCs w:val="28"/>
        </w:rPr>
      </w:pPr>
      <w:r>
        <w:rPr>
          <w:rFonts w:cs="Times New Roman"/>
          <w:sz w:val="28"/>
          <w:szCs w:val="28"/>
        </w:rPr>
        <w:t xml:space="preserve">The invention of the upwind sampler by Leuning has simplified and made the operation of the mass balance method more feasible. This sampler can directly measure the horizontal flux of </w:t>
      </w:r>
      <w:r>
        <w:rPr>
          <w:rFonts w:hint="eastAsia" w:cs="Times New Roman"/>
          <w:sz w:val="28"/>
          <w:szCs w:val="28"/>
        </w:rPr>
        <w:t>NH</w:t>
      </w:r>
      <w:r>
        <w:rPr>
          <w:rFonts w:hint="eastAsia" w:cs="Times New Roman"/>
          <w:sz w:val="28"/>
          <w:szCs w:val="28"/>
          <w:vertAlign w:val="subscript"/>
        </w:rPr>
        <w:t>3</w:t>
      </w:r>
      <w:r>
        <w:rPr>
          <w:rFonts w:cs="Times New Roman"/>
          <w:sz w:val="28"/>
          <w:szCs w:val="28"/>
        </w:rPr>
        <w:t xml:space="preserve"> at a specific height without the need to separately measure wind speed and </w:t>
      </w:r>
      <w:r>
        <w:rPr>
          <w:rFonts w:hint="eastAsia" w:cs="Times New Roman"/>
          <w:sz w:val="28"/>
          <w:szCs w:val="28"/>
        </w:rPr>
        <w:t>NH</w:t>
      </w:r>
      <w:r>
        <w:rPr>
          <w:rFonts w:hint="eastAsia" w:cs="Times New Roman"/>
          <w:sz w:val="28"/>
          <w:szCs w:val="28"/>
          <w:vertAlign w:val="subscript"/>
        </w:rPr>
        <w:t>3</w:t>
      </w:r>
      <w:r>
        <w:rPr>
          <w:rFonts w:cs="Times New Roman"/>
          <w:sz w:val="28"/>
          <w:szCs w:val="28"/>
        </w:rPr>
        <w:t xml:space="preserve"> concentration</w:t>
      </w:r>
      <w:r>
        <w:rPr>
          <w:rFonts w:hint="eastAsia" w:cs="Times New Roman"/>
          <w:sz w:val="28"/>
          <w:szCs w:val="28"/>
          <w:vertAlign w:val="superscript"/>
        </w:rPr>
        <w:t>[14]</w:t>
      </w:r>
      <w:r>
        <w:rPr>
          <w:rFonts w:cs="Times New Roman"/>
          <w:sz w:val="28"/>
          <w:szCs w:val="28"/>
        </w:rPr>
        <w:t xml:space="preserve">. According to Leuning et al. (1985), ȗĉ is derived from: </w:t>
      </w:r>
    </w:p>
    <w:p w14:paraId="144BB571">
      <w:pPr>
        <w:spacing w:line="480" w:lineRule="auto"/>
        <w:jc w:val="left"/>
        <w:rPr>
          <w:rFonts w:cs="Times New Roman"/>
          <w:i/>
          <w:iCs/>
          <w:sz w:val="28"/>
          <w:szCs w:val="28"/>
        </w:rPr>
      </w:pPr>
      <m:oMathPara>
        <m:oMath>
          <m:bar>
            <m:barPr>
              <m:pos m:val="top"/>
              <m:ctrlPr>
                <w:rPr>
                  <w:rFonts w:ascii="Cambria Math" w:hAnsi="Cambria Math" w:cs="Times New Roman"/>
                  <w:i/>
                  <w:iCs/>
                  <w:sz w:val="28"/>
                  <w:szCs w:val="28"/>
                </w:rPr>
              </m:ctrlPr>
            </m:barPr>
            <m:e>
              <m:r>
                <m:rPr/>
                <w:rPr>
                  <w:rFonts w:cs="Times New Roman"/>
                  <w:sz w:val="28"/>
                  <w:szCs w:val="28"/>
                </w:rPr>
                <m:t>uc</m:t>
              </m:r>
              <m:ctrlPr>
                <w:rPr>
                  <w:rFonts w:ascii="Cambria Math" w:hAnsi="Cambria Math" w:cs="Times New Roman"/>
                  <w:i/>
                  <w:iCs/>
                  <w:sz w:val="28"/>
                  <w:szCs w:val="28"/>
                </w:rPr>
              </m:ctrlPr>
            </m:e>
          </m:bar>
          <m:r>
            <m:rPr/>
            <w:rPr>
              <w:rFonts w:cs="Times New Roman"/>
              <w:sz w:val="28"/>
              <w:szCs w:val="28"/>
            </w:rPr>
            <m:t>=</m:t>
          </m:r>
          <m:f>
            <m:fPr>
              <m:ctrlPr>
                <w:rPr>
                  <w:rFonts w:ascii="Cambria Math" w:hAnsi="Cambria Math" w:cs="Times New Roman"/>
                  <w:i/>
                  <w:iCs/>
                  <w:sz w:val="28"/>
                  <w:szCs w:val="28"/>
                </w:rPr>
              </m:ctrlPr>
            </m:fPr>
            <m:num>
              <m:r>
                <m:rPr/>
                <w:rPr>
                  <w:rFonts w:cs="Times New Roman"/>
                  <w:sz w:val="28"/>
                  <w:szCs w:val="28"/>
                </w:rPr>
                <m:t>M</m:t>
              </m:r>
              <m:ctrlPr>
                <w:rPr>
                  <w:rFonts w:ascii="Cambria Math" w:hAnsi="Cambria Math" w:cs="Times New Roman"/>
                  <w:i/>
                  <w:iCs/>
                  <w:sz w:val="28"/>
                  <w:szCs w:val="28"/>
                </w:rPr>
              </m:ctrlPr>
            </m:num>
            <m:den>
              <m:r>
                <m:rPr/>
                <w:rPr>
                  <w:rFonts w:cs="Times New Roman"/>
                  <w:sz w:val="28"/>
                  <w:szCs w:val="28"/>
                </w:rPr>
                <m:t>At</m:t>
              </m:r>
              <m:ctrlPr>
                <w:rPr>
                  <w:rFonts w:ascii="Cambria Math" w:hAnsi="Cambria Math" w:cs="Times New Roman"/>
                  <w:i/>
                  <w:iCs/>
                  <w:sz w:val="28"/>
                  <w:szCs w:val="28"/>
                </w:rPr>
              </m:ctrlPr>
            </m:den>
          </m:f>
        </m:oMath>
      </m:oMathPara>
    </w:p>
    <w:p w14:paraId="0AD40F12">
      <w:pPr>
        <w:spacing w:line="480" w:lineRule="auto"/>
        <w:rPr>
          <w:rFonts w:cs="Times New Roman"/>
          <w:sz w:val="28"/>
          <w:szCs w:val="28"/>
        </w:rPr>
      </w:pPr>
      <w:r>
        <w:rPr>
          <w:rFonts w:cs="Times New Roman"/>
          <w:sz w:val="28"/>
          <w:szCs w:val="28"/>
        </w:rPr>
        <w:t xml:space="preserve">where </w:t>
      </w:r>
      <w:r>
        <w:rPr>
          <w:rFonts w:cs="Times New Roman"/>
          <w:i/>
          <w:iCs/>
          <w:sz w:val="28"/>
          <w:szCs w:val="28"/>
        </w:rPr>
        <w:t>M</w:t>
      </w:r>
      <w:r>
        <w:rPr>
          <w:rFonts w:cs="Times New Roman"/>
          <w:sz w:val="28"/>
          <w:szCs w:val="28"/>
        </w:rPr>
        <w:t xml:space="preserve"> is the amount of NH</w:t>
      </w:r>
      <w:r>
        <w:rPr>
          <w:rFonts w:cs="Times New Roman"/>
          <w:sz w:val="28"/>
          <w:szCs w:val="28"/>
          <w:vertAlign w:val="subscript"/>
        </w:rPr>
        <w:t>3</w:t>
      </w:r>
      <w:r>
        <w:rPr>
          <w:rFonts w:cs="Times New Roman"/>
          <w:sz w:val="28"/>
          <w:szCs w:val="28"/>
        </w:rPr>
        <w:t xml:space="preserve">-N collected (g) by the Leuning sampler during the sampling period </w:t>
      </w:r>
      <w:r>
        <w:rPr>
          <w:rFonts w:cs="Times New Roman"/>
          <w:i/>
          <w:iCs/>
          <w:sz w:val="28"/>
          <w:szCs w:val="28"/>
        </w:rPr>
        <w:t>t</w:t>
      </w:r>
      <w:r>
        <w:rPr>
          <w:rFonts w:cs="Times New Roman"/>
          <w:sz w:val="28"/>
          <w:szCs w:val="28"/>
        </w:rPr>
        <w:t xml:space="preserve"> (s), and </w:t>
      </w:r>
      <w:r>
        <w:rPr>
          <w:rFonts w:cs="Times New Roman"/>
          <w:i/>
          <w:iCs/>
          <w:sz w:val="28"/>
          <w:szCs w:val="28"/>
        </w:rPr>
        <w:t>A</w:t>
      </w:r>
      <w:r>
        <w:rPr>
          <w:rFonts w:cs="Times New Roman"/>
          <w:sz w:val="28"/>
          <w:szCs w:val="28"/>
        </w:rPr>
        <w:t xml:space="preserve"> is the effective cross-sectional area of the sampler (m</w:t>
      </w:r>
      <w:r>
        <w:rPr>
          <w:rFonts w:cs="Times New Roman"/>
          <w:sz w:val="28"/>
          <w:szCs w:val="28"/>
          <w:vertAlign w:val="superscript"/>
        </w:rPr>
        <w:t>2</w:t>
      </w:r>
      <w:r>
        <w:rPr>
          <w:rFonts w:cs="Times New Roman"/>
          <w:sz w:val="28"/>
          <w:szCs w:val="28"/>
        </w:rPr>
        <w:t>), determined in wind-tunnel calibrations.</w:t>
      </w:r>
    </w:p>
    <w:p w14:paraId="3BE0EA00">
      <w:pPr>
        <w:numPr>
          <w:ilvl w:val="0"/>
          <w:numId w:val="0"/>
        </w:numPr>
        <w:spacing w:line="480" w:lineRule="auto"/>
        <w:ind w:left="420" w:leftChars="0" w:hanging="420" w:firstLineChars="0"/>
        <w:rPr>
          <w:rFonts w:cs="Times New Roman"/>
          <w:sz w:val="28"/>
          <w:szCs w:val="28"/>
        </w:rPr>
      </w:pPr>
      <w:r>
        <w:rPr>
          <w:rFonts w:hint="default" w:ascii="Wingdings" w:hAnsi="Wingdings" w:cs="Times New Roman" w:eastAsiaTheme="minorEastAsia"/>
          <w:kern w:val="2"/>
          <w:sz w:val="28"/>
          <w:szCs w:val="28"/>
          <w:lang w:val="en-US" w:eastAsia="zh-CN" w:bidi="ar-SA"/>
        </w:rPr>
        <w:t></w:t>
      </w:r>
      <w:r>
        <w:rPr>
          <w:rFonts w:cs="Times New Roman"/>
          <w:b/>
          <w:bCs/>
          <w:sz w:val="28"/>
          <w:szCs w:val="28"/>
        </w:rPr>
        <w:t>Aerodynamic gradient method (AGM)</w:t>
      </w:r>
      <w:r>
        <w:rPr>
          <w:rFonts w:hint="eastAsia" w:cs="Times New Roman"/>
          <w:b/>
          <w:bCs/>
          <w:sz w:val="28"/>
          <w:szCs w:val="28"/>
        </w:rPr>
        <w:t xml:space="preserve">  </w:t>
      </w:r>
    </w:p>
    <w:p w14:paraId="57297A65">
      <w:pPr>
        <w:spacing w:line="480" w:lineRule="auto"/>
        <w:rPr>
          <w:rFonts w:cs="Times New Roman"/>
          <w:sz w:val="28"/>
          <w:szCs w:val="28"/>
        </w:rPr>
      </w:pPr>
      <w:r>
        <w:rPr>
          <w:rFonts w:cs="Times New Roman"/>
          <w:sz w:val="28"/>
          <w:szCs w:val="28"/>
        </w:rPr>
        <w:t>Over an extensive, uniform surface, measurements of the vertical profiles of wind speed, temperature, and NH</w:t>
      </w:r>
      <w:r>
        <w:rPr>
          <w:rFonts w:cs="Times New Roman"/>
          <w:sz w:val="28"/>
          <w:szCs w:val="28"/>
          <w:vertAlign w:val="subscript"/>
        </w:rPr>
        <w:t>3</w:t>
      </w:r>
      <w:r>
        <w:rPr>
          <w:rFonts w:cs="Times New Roman"/>
          <w:sz w:val="28"/>
          <w:szCs w:val="28"/>
        </w:rPr>
        <w:t xml:space="preserve"> concentration can be used to estimate fluxes between the atmosphere and the ground. A negative flux value denotes the absorption of atmospheric NH</w:t>
      </w:r>
      <w:r>
        <w:rPr>
          <w:rFonts w:cs="Times New Roman"/>
          <w:sz w:val="28"/>
          <w:szCs w:val="28"/>
          <w:vertAlign w:val="subscript"/>
        </w:rPr>
        <w:t>3</w:t>
      </w:r>
      <w:r>
        <w:rPr>
          <w:rFonts w:cs="Times New Roman"/>
          <w:sz w:val="28"/>
          <w:szCs w:val="28"/>
        </w:rPr>
        <w:t xml:space="preserve"> by the underlying soil</w:t>
      </w:r>
      <w:r>
        <w:rPr>
          <w:rFonts w:hAnsi="Times New Roman" w:cs="Times New Roman"/>
          <w:sz w:val="28"/>
          <w:szCs w:val="28"/>
        </w:rPr>
        <w:t>–</w:t>
      </w:r>
      <w:r>
        <w:rPr>
          <w:rFonts w:cs="Times New Roman"/>
          <w:sz w:val="28"/>
          <w:szCs w:val="28"/>
        </w:rPr>
        <w:t>canopy system</w:t>
      </w:r>
      <w:r>
        <w:rPr>
          <w:rFonts w:hint="eastAsia" w:cs="Times New Roman"/>
          <w:sz w:val="28"/>
          <w:szCs w:val="28"/>
          <w:vertAlign w:val="superscript"/>
        </w:rPr>
        <w:t>[15]</w:t>
      </w:r>
      <w:r>
        <w:rPr>
          <w:rFonts w:cs="Times New Roman"/>
          <w:sz w:val="28"/>
          <w:szCs w:val="28"/>
        </w:rPr>
        <w:t xml:space="preserve">. </w:t>
      </w:r>
    </w:p>
    <w:p w14:paraId="2418A867">
      <w:pPr>
        <w:spacing w:line="480" w:lineRule="auto"/>
        <w:rPr>
          <w:rFonts w:cs="Times New Roman"/>
          <w:sz w:val="28"/>
          <w:szCs w:val="28"/>
        </w:rPr>
      </w:pPr>
      <w:r>
        <w:rPr>
          <w:rFonts w:cs="Times New Roman"/>
          <w:sz w:val="28"/>
          <w:szCs w:val="28"/>
        </w:rPr>
        <w:t>The principle of the AGM is that the NH</w:t>
      </w:r>
      <w:r>
        <w:rPr>
          <w:rFonts w:cs="Times New Roman"/>
          <w:sz w:val="28"/>
          <w:szCs w:val="28"/>
          <w:vertAlign w:val="subscript"/>
        </w:rPr>
        <w:t>3</w:t>
      </w:r>
      <w:r>
        <w:rPr>
          <w:rFonts w:cs="Times New Roman"/>
          <w:sz w:val="28"/>
          <w:szCs w:val="28"/>
        </w:rPr>
        <w:t xml:space="preserve"> flux is calculated from vertical concentration profiles of NH</w:t>
      </w:r>
      <w:r>
        <w:rPr>
          <w:rFonts w:cs="Times New Roman"/>
          <w:sz w:val="28"/>
          <w:szCs w:val="28"/>
          <w:vertAlign w:val="subscript"/>
        </w:rPr>
        <w:t>3</w:t>
      </w:r>
      <w:r>
        <w:rPr>
          <w:rFonts w:cs="Times New Roman"/>
          <w:sz w:val="28"/>
          <w:szCs w:val="28"/>
        </w:rPr>
        <w:t>, coupled with turbulence information from either combined wind and temperature profiles or from ultrasonic anemometers, which provide direct estimates of friction velocity and sensible heat flux</w:t>
      </w:r>
      <w:r>
        <w:rPr>
          <w:rFonts w:hint="eastAsia" w:cs="Times New Roman"/>
          <w:sz w:val="28"/>
          <w:szCs w:val="28"/>
          <w:vertAlign w:val="superscript"/>
        </w:rPr>
        <w:t>[16]</w:t>
      </w:r>
      <w:r>
        <w:rPr>
          <w:rFonts w:cs="Times New Roman"/>
          <w:sz w:val="28"/>
          <w:szCs w:val="28"/>
        </w:rPr>
        <w:t>. The NH</w:t>
      </w:r>
      <w:r>
        <w:rPr>
          <w:rFonts w:cs="Times New Roman"/>
          <w:sz w:val="28"/>
          <w:szCs w:val="28"/>
          <w:vertAlign w:val="subscript"/>
        </w:rPr>
        <w:t>3</w:t>
      </w:r>
      <w:r>
        <w:rPr>
          <w:rFonts w:cs="Times New Roman"/>
          <w:sz w:val="28"/>
          <w:szCs w:val="28"/>
        </w:rPr>
        <w:t xml:space="preserve"> flux (F) was calculated using the following equation</w:t>
      </w:r>
      <w:r>
        <w:rPr>
          <w:rFonts w:hint="eastAsia" w:cs="Times New Roman"/>
          <w:sz w:val="28"/>
          <w:szCs w:val="28"/>
          <w:vertAlign w:val="superscript"/>
        </w:rPr>
        <w:t>[17,18]</w:t>
      </w:r>
      <w:r>
        <w:rPr>
          <w:rFonts w:cs="Times New Roman"/>
          <w:sz w:val="28"/>
          <w:szCs w:val="28"/>
        </w:rPr>
        <w:t>:</w:t>
      </w:r>
    </w:p>
    <w:p w14:paraId="3BFA1B68">
      <w:pPr>
        <w:spacing w:line="480" w:lineRule="auto"/>
        <w:rPr>
          <w:rFonts w:cs="Times New Roman"/>
          <w:sz w:val="28"/>
          <w:szCs w:val="28"/>
        </w:rPr>
      </w:pPr>
      <m:oMathPara>
        <m:oMath>
          <m:r>
            <m:rPr/>
            <w:rPr>
              <w:rFonts w:cs="Times New Roman"/>
              <w:sz w:val="28"/>
              <w:szCs w:val="28"/>
            </w:rPr>
            <m:t>F=−</m:t>
          </m:r>
          <m:sSub>
            <m:sSubPr>
              <m:ctrlPr>
                <w:rPr>
                  <w:rFonts w:ascii="Cambria Math" w:hAnsi="Cambria Math" w:cs="Times New Roman"/>
                  <w:i/>
                  <w:iCs/>
                  <w:sz w:val="28"/>
                  <w:szCs w:val="28"/>
                </w:rPr>
              </m:ctrlPr>
            </m:sSubPr>
            <m:e>
              <m:r>
                <m:rPr/>
                <w:rPr>
                  <w:rFonts w:ascii="Cambria Math" w:hAnsi="Cambria Math" w:cs="Times New Roman"/>
                  <w:sz w:val="28"/>
                  <w:szCs w:val="28"/>
                </w:rPr>
                <m:t>u</m:t>
              </m:r>
              <m:ctrlPr>
                <w:rPr>
                  <w:rFonts w:ascii="Cambria Math" w:hAnsi="Cambria Math" w:cs="Times New Roman"/>
                  <w:i/>
                  <w:iCs/>
                  <w:sz w:val="28"/>
                  <w:szCs w:val="28"/>
                </w:rPr>
              </m:ctrlPr>
            </m:e>
            <m:sub>
              <m:r>
                <m:rPr/>
                <w:rPr>
                  <w:rFonts w:ascii="Cambria Math" w:hAnsi="Cambria Math" w:cs="Times New Roman"/>
                  <w:sz w:val="28"/>
                  <w:szCs w:val="28"/>
                </w:rPr>
                <m:t>∗</m:t>
              </m:r>
              <m:ctrlPr>
                <w:rPr>
                  <w:rFonts w:ascii="Cambria Math" w:hAnsi="Cambria Math" w:cs="Times New Roman"/>
                  <w:i/>
                  <w:iCs/>
                  <w:sz w:val="28"/>
                  <w:szCs w:val="28"/>
                </w:rPr>
              </m:ctrlPr>
            </m:sub>
          </m:sSub>
          <m:r>
            <m:rPr/>
            <w:rPr>
              <w:rFonts w:cs="Times New Roman"/>
              <w:sz w:val="28"/>
              <w:szCs w:val="28"/>
            </w:rPr>
            <m:t>k</m:t>
          </m:r>
          <m:f>
            <m:fPr>
              <m:ctrlPr>
                <w:rPr>
                  <w:rFonts w:ascii="Cambria Math" w:hAnsi="Cambria Math" w:cs="Times New Roman"/>
                  <w:i/>
                  <w:iCs/>
                  <w:sz w:val="28"/>
                  <w:szCs w:val="28"/>
                </w:rPr>
              </m:ctrlPr>
            </m:fPr>
            <m:num>
              <m:r>
                <m:rPr/>
                <w:rPr>
                  <w:rFonts w:cs="Times New Roman"/>
                  <w:sz w:val="28"/>
                  <w:szCs w:val="28"/>
                </w:rPr>
                <m:t>∂x</m:t>
              </m:r>
              <m:ctrlPr>
                <w:rPr>
                  <w:rFonts w:ascii="Cambria Math" w:hAnsi="Cambria Math" w:cs="Times New Roman"/>
                  <w:i/>
                  <w:iCs/>
                  <w:sz w:val="28"/>
                  <w:szCs w:val="28"/>
                </w:rPr>
              </m:ctrlPr>
            </m:num>
            <m:den>
              <m:r>
                <m:rPr/>
                <w:rPr>
                  <w:rFonts w:cs="Times New Roman"/>
                  <w:sz w:val="28"/>
                  <w:szCs w:val="28"/>
                </w:rPr>
                <m:t>∂</m:t>
              </m:r>
              <m:d>
                <m:dPr>
                  <m:begChr m:val="{"/>
                  <m:endChr m:val="}"/>
                  <m:ctrlPr>
                    <w:rPr>
                      <w:rFonts w:ascii="Cambria Math" w:hAnsi="Cambria Math" w:cs="Times New Roman"/>
                      <w:i/>
                      <w:iCs/>
                      <w:sz w:val="28"/>
                      <w:szCs w:val="28"/>
                    </w:rPr>
                  </m:ctrlPr>
                </m:dPr>
                <m:e>
                  <m:r>
                    <m:rPr/>
                    <w:rPr>
                      <w:rFonts w:cs="Times New Roman"/>
                      <w:sz w:val="28"/>
                      <w:szCs w:val="28"/>
                    </w:rPr>
                    <m:t>ln(z−d)−</m:t>
                  </m:r>
                  <m:sSub>
                    <m:sSubPr>
                      <m:ctrlPr>
                        <w:rPr>
                          <w:rFonts w:ascii="Cambria Math" w:hAnsi="Cambria Math" w:cs="Times New Roman"/>
                          <w:i/>
                          <w:iCs/>
                          <w:sz w:val="28"/>
                          <w:szCs w:val="28"/>
                        </w:rPr>
                      </m:ctrlPr>
                    </m:sSubPr>
                    <m:e>
                      <m:r>
                        <m:rPr/>
                        <w:rPr>
                          <w:rFonts w:cs="Times New Roman"/>
                          <w:sz w:val="28"/>
                          <w:szCs w:val="28"/>
                        </w:rPr>
                        <m:t>ψ</m:t>
                      </m:r>
                      <m:ctrlPr>
                        <w:rPr>
                          <w:rFonts w:ascii="Cambria Math" w:hAnsi="Cambria Math" w:cs="Times New Roman"/>
                          <w:i/>
                          <w:iCs/>
                          <w:sz w:val="28"/>
                          <w:szCs w:val="28"/>
                        </w:rPr>
                      </m:ctrlPr>
                    </m:e>
                    <m:sub>
                      <m:r>
                        <m:rPr/>
                        <w:rPr>
                          <w:rFonts w:cs="Times New Roman"/>
                          <w:sz w:val="28"/>
                          <w:szCs w:val="28"/>
                        </w:rPr>
                        <m:t>H</m:t>
                      </m:r>
                      <m:ctrlPr>
                        <w:rPr>
                          <w:rFonts w:ascii="Cambria Math" w:hAnsi="Cambria Math" w:cs="Times New Roman"/>
                          <w:i/>
                          <w:iCs/>
                          <w:sz w:val="28"/>
                          <w:szCs w:val="28"/>
                        </w:rPr>
                      </m:ctrlPr>
                    </m:sub>
                  </m:sSub>
                  <m:d>
                    <m:dPr>
                      <m:begChr m:val="["/>
                      <m:endChr m:val="]"/>
                      <m:ctrlPr>
                        <w:rPr>
                          <w:rFonts w:ascii="Cambria Math" w:hAnsi="Cambria Math" w:cs="Times New Roman"/>
                          <w:i/>
                          <w:iCs/>
                          <w:sz w:val="28"/>
                          <w:szCs w:val="28"/>
                        </w:rPr>
                      </m:ctrlPr>
                    </m:dPr>
                    <m:e>
                      <m:r>
                        <m:rPr/>
                        <w:rPr>
                          <w:rFonts w:cs="Times New Roman"/>
                          <w:sz w:val="28"/>
                          <w:szCs w:val="28"/>
                        </w:rPr>
                        <m:t>(z−d)/L</m:t>
                      </m:r>
                      <m:ctrlPr>
                        <w:rPr>
                          <w:rFonts w:ascii="Cambria Math" w:hAnsi="Cambria Math" w:cs="Times New Roman"/>
                          <w:i/>
                          <w:iCs/>
                          <w:sz w:val="28"/>
                          <w:szCs w:val="28"/>
                        </w:rPr>
                      </m:ctrlPr>
                    </m:e>
                  </m:d>
                  <m:ctrlPr>
                    <w:rPr>
                      <w:rFonts w:ascii="Cambria Math" w:hAnsi="Cambria Math" w:cs="Times New Roman"/>
                      <w:i/>
                      <w:iCs/>
                      <w:sz w:val="28"/>
                      <w:szCs w:val="28"/>
                    </w:rPr>
                  </m:ctrlPr>
                </m:e>
              </m:d>
              <m:ctrlPr>
                <w:rPr>
                  <w:rFonts w:ascii="Cambria Math" w:hAnsi="Cambria Math" w:cs="Times New Roman"/>
                  <w:i/>
                  <w:iCs/>
                  <w:sz w:val="28"/>
                  <w:szCs w:val="28"/>
                </w:rPr>
              </m:ctrlPr>
            </m:den>
          </m:f>
        </m:oMath>
      </m:oMathPara>
    </w:p>
    <w:p w14:paraId="486C1763">
      <w:pPr>
        <w:numPr>
          <w:ilvl w:val="255"/>
          <w:numId w:val="0"/>
        </w:numPr>
        <w:spacing w:line="480" w:lineRule="auto"/>
        <w:rPr>
          <w:rFonts w:cs="Times New Roman"/>
          <w:sz w:val="28"/>
          <w:szCs w:val="28"/>
        </w:rPr>
      </w:pPr>
      <w:r>
        <w:rPr>
          <w:rFonts w:cs="Times New Roman"/>
          <w:sz w:val="28"/>
          <w:szCs w:val="28"/>
        </w:rPr>
        <w:t xml:space="preserve">where </w:t>
      </w:r>
      <w:r>
        <w:rPr>
          <w:rFonts w:cs="Times New Roman"/>
          <w:i/>
          <w:iCs/>
          <w:sz w:val="28"/>
          <w:szCs w:val="28"/>
        </w:rPr>
        <w:t>u</w:t>
      </w:r>
      <w:r>
        <w:rPr>
          <w:rFonts w:cs="Times New Roman"/>
          <w:i/>
          <w:iCs/>
          <w:sz w:val="28"/>
          <w:szCs w:val="28"/>
          <w:vertAlign w:val="subscript"/>
        </w:rPr>
        <w:t>∗</w:t>
      </w:r>
      <w:r>
        <w:rPr>
          <w:rFonts w:cs="Times New Roman"/>
          <w:sz w:val="28"/>
          <w:szCs w:val="28"/>
        </w:rPr>
        <w:t xml:space="preserve">is the friction velocity, </w:t>
      </w:r>
      <w:r>
        <w:rPr>
          <w:rFonts w:cs="Times New Roman"/>
          <w:i/>
          <w:iCs/>
          <w:sz w:val="28"/>
          <w:szCs w:val="28"/>
        </w:rPr>
        <w:t>k</w:t>
      </w:r>
      <w:r>
        <w:rPr>
          <w:rFonts w:cs="Times New Roman"/>
          <w:sz w:val="28"/>
          <w:szCs w:val="28"/>
        </w:rPr>
        <w:t xml:space="preserve"> is the von Kármán constant (0.41), </w:t>
      </w:r>
      <w:r>
        <w:rPr>
          <w:rFonts w:cs="Times New Roman"/>
          <w:i/>
          <w:iCs/>
          <w:sz w:val="28"/>
          <w:szCs w:val="28"/>
        </w:rPr>
        <w:t>χ</w:t>
      </w:r>
      <w:r>
        <w:rPr>
          <w:rFonts w:cs="Times New Roman"/>
          <w:sz w:val="28"/>
          <w:szCs w:val="28"/>
        </w:rPr>
        <w:t xml:space="preserve"> is NH</w:t>
      </w:r>
      <w:r>
        <w:rPr>
          <w:rFonts w:cs="Times New Roman"/>
          <w:sz w:val="28"/>
          <w:szCs w:val="28"/>
          <w:vertAlign w:val="subscript"/>
        </w:rPr>
        <w:t>3</w:t>
      </w:r>
      <w:r>
        <w:rPr>
          <w:rFonts w:cs="Times New Roman"/>
          <w:sz w:val="28"/>
          <w:szCs w:val="28"/>
        </w:rPr>
        <w:t xml:space="preserve"> concentration, </w:t>
      </w:r>
      <w:r>
        <w:rPr>
          <w:rFonts w:cs="Times New Roman"/>
          <w:i/>
          <w:iCs/>
          <w:sz w:val="28"/>
          <w:szCs w:val="28"/>
        </w:rPr>
        <w:t>z</w:t>
      </w:r>
      <w:r>
        <w:rPr>
          <w:rFonts w:cs="Times New Roman"/>
          <w:sz w:val="28"/>
          <w:szCs w:val="28"/>
        </w:rPr>
        <w:t xml:space="preserve"> is height above the ground, and </w:t>
      </w:r>
      <w:r>
        <w:rPr>
          <w:rFonts w:cs="Times New Roman"/>
          <w:i/>
          <w:iCs/>
          <w:sz w:val="28"/>
          <w:szCs w:val="28"/>
        </w:rPr>
        <w:t>ψ</w:t>
      </w:r>
      <w:r>
        <w:rPr>
          <w:rFonts w:cs="Times New Roman"/>
          <w:i/>
          <w:iCs/>
          <w:sz w:val="28"/>
          <w:szCs w:val="28"/>
          <w:vertAlign w:val="subscript"/>
        </w:rPr>
        <w:t>H</w:t>
      </w:r>
      <w:r>
        <w:rPr>
          <w:rFonts w:cs="Times New Roman"/>
          <w:sz w:val="28"/>
          <w:szCs w:val="28"/>
        </w:rPr>
        <w:t xml:space="preserve"> is the integrated stability function</w:t>
      </w:r>
      <w:r>
        <w:rPr>
          <w:rFonts w:hint="eastAsia" w:cs="Times New Roman"/>
          <w:sz w:val="28"/>
          <w:szCs w:val="28"/>
        </w:rPr>
        <w:t>,</w:t>
      </w:r>
      <w:r>
        <w:rPr>
          <w:rFonts w:cs="Times New Roman"/>
          <w:sz w:val="28"/>
          <w:szCs w:val="28"/>
        </w:rPr>
        <w:t xml:space="preserve"> which changes with height (</w:t>
      </w:r>
      <w:r>
        <w:rPr>
          <w:rFonts w:cs="Times New Roman"/>
          <w:i/>
          <w:iCs/>
          <w:sz w:val="28"/>
          <w:szCs w:val="28"/>
        </w:rPr>
        <w:t>z</w:t>
      </w:r>
      <w:r>
        <w:rPr>
          <w:rFonts w:cs="Times New Roman"/>
          <w:sz w:val="28"/>
          <w:szCs w:val="28"/>
        </w:rPr>
        <w:t>) above the zero-plane displacement (</w:t>
      </w:r>
      <w:r>
        <w:rPr>
          <w:rFonts w:cs="Times New Roman"/>
          <w:i/>
          <w:iCs/>
          <w:sz w:val="28"/>
          <w:szCs w:val="28"/>
        </w:rPr>
        <w:t>d</w:t>
      </w:r>
      <w:r>
        <w:rPr>
          <w:rFonts w:cs="Times New Roman"/>
          <w:sz w:val="28"/>
          <w:szCs w:val="28"/>
        </w:rPr>
        <w:t>) and atmospheric stability, parameterized by the Monin-Obukhov length (</w:t>
      </w:r>
      <w:r>
        <w:rPr>
          <w:rFonts w:cs="Times New Roman"/>
          <w:i/>
          <w:iCs/>
          <w:sz w:val="28"/>
          <w:szCs w:val="28"/>
        </w:rPr>
        <w:t>L</w:t>
      </w:r>
      <w:r>
        <w:rPr>
          <w:rFonts w:cs="Times New Roman"/>
          <w:sz w:val="28"/>
          <w:szCs w:val="28"/>
        </w:rPr>
        <w:t xml:space="preserve">). </w:t>
      </w:r>
    </w:p>
    <w:p w14:paraId="291FEC6F">
      <w:pPr>
        <w:widowControl/>
        <w:numPr>
          <w:ilvl w:val="255"/>
          <w:numId w:val="0"/>
        </w:numPr>
        <w:spacing w:line="480" w:lineRule="auto"/>
        <w:rPr>
          <w:rFonts w:cs="Times New Roman"/>
          <w:sz w:val="28"/>
          <w:szCs w:val="28"/>
        </w:rPr>
      </w:pPr>
      <w:r>
        <w:rPr>
          <w:rFonts w:cs="Times New Roman"/>
          <w:sz w:val="28"/>
          <w:szCs w:val="28"/>
        </w:rPr>
        <w:t>Another similar gradient method was adopted by Hayashi et al. (2009). The NH</w:t>
      </w:r>
      <w:r>
        <w:rPr>
          <w:rFonts w:cs="Times New Roman"/>
          <w:sz w:val="28"/>
          <w:szCs w:val="28"/>
          <w:vertAlign w:val="subscript"/>
        </w:rPr>
        <w:t>3</w:t>
      </w:r>
      <w:r>
        <w:rPr>
          <w:rFonts w:cs="Times New Roman"/>
          <w:sz w:val="28"/>
          <w:szCs w:val="28"/>
        </w:rPr>
        <w:t xml:space="preserve"> flux was calculated by multiplying the difference in NH</w:t>
      </w:r>
      <w:r>
        <w:rPr>
          <w:rFonts w:cs="Times New Roman"/>
          <w:sz w:val="28"/>
          <w:szCs w:val="28"/>
          <w:vertAlign w:val="subscript"/>
        </w:rPr>
        <w:t>3</w:t>
      </w:r>
      <w:r>
        <w:rPr>
          <w:rFonts w:cs="Times New Roman"/>
          <w:sz w:val="28"/>
          <w:szCs w:val="28"/>
        </w:rPr>
        <w:t xml:space="preserve"> concentrations between two heights by the diffusion velocity (</w:t>
      </w:r>
      <w:r>
        <w:rPr>
          <w:rFonts w:cs="Times New Roman"/>
          <w:i/>
          <w:iCs/>
          <w:sz w:val="28"/>
          <w:szCs w:val="28"/>
        </w:rPr>
        <w:t>D</w:t>
      </w:r>
      <w:r>
        <w:rPr>
          <w:rFonts w:cs="Times New Roman"/>
          <w:sz w:val="28"/>
          <w:szCs w:val="28"/>
        </w:rPr>
        <w:t>, m s</w:t>
      </w:r>
      <w:r>
        <w:rPr>
          <w:rFonts w:eastAsia="宋体" w:cs="Times New Roman"/>
          <w:sz w:val="28"/>
          <w:szCs w:val="28"/>
          <w:vertAlign w:val="superscript"/>
        </w:rPr>
        <w:t>−</w:t>
      </w:r>
      <w:r>
        <w:rPr>
          <w:rFonts w:cs="Times New Roman"/>
          <w:sz w:val="28"/>
          <w:szCs w:val="28"/>
          <w:vertAlign w:val="superscript"/>
        </w:rPr>
        <w:t>1</w:t>
      </w:r>
      <w:r>
        <w:rPr>
          <w:rFonts w:cs="Times New Roman"/>
          <w:sz w:val="28"/>
          <w:szCs w:val="28"/>
        </w:rPr>
        <w:t>)</w:t>
      </w:r>
      <w:r>
        <w:rPr>
          <w:rFonts w:hint="eastAsia" w:cs="Times New Roman"/>
          <w:sz w:val="28"/>
          <w:szCs w:val="28"/>
          <w:vertAlign w:val="superscript"/>
        </w:rPr>
        <w:t>[19]</w:t>
      </w:r>
      <w:r>
        <w:rPr>
          <w:rFonts w:cs="Times New Roman"/>
          <w:sz w:val="28"/>
          <w:szCs w:val="28"/>
        </w:rPr>
        <w:t xml:space="preserve">, which is calculated as: </w:t>
      </w:r>
    </w:p>
    <w:p w14:paraId="73330C44">
      <w:pPr>
        <w:widowControl/>
        <w:numPr>
          <w:ilvl w:val="255"/>
          <w:numId w:val="0"/>
        </w:numPr>
        <w:spacing w:line="480" w:lineRule="auto"/>
        <w:rPr>
          <w:rFonts w:cs="Times New Roman"/>
          <w:sz w:val="28"/>
          <w:szCs w:val="28"/>
        </w:rPr>
      </w:pPr>
      <m:oMathPara>
        <m:oMath>
          <m:r>
            <m:rPr/>
            <w:rPr>
              <w:rFonts w:cs="Times New Roman"/>
              <w:sz w:val="28"/>
              <w:szCs w:val="28"/>
            </w:rPr>
            <m:t>D=</m:t>
          </m:r>
          <m:sSub>
            <m:sSubPr>
              <m:ctrlPr>
                <w:rPr>
                  <w:rFonts w:cs="Times New Roman"/>
                  <w:i/>
                  <w:iCs/>
                  <w:sz w:val="28"/>
                  <w:szCs w:val="28"/>
                </w:rPr>
              </m:ctrlPr>
            </m:sSubPr>
            <m:e>
              <m:r>
                <m:rPr/>
                <w:rPr>
                  <w:rFonts w:ascii="Cambria Math" w:hAnsi="Cambria Math" w:cs="Times New Roman"/>
                  <w:sz w:val="28"/>
                  <w:szCs w:val="28"/>
                </w:rPr>
                <m:t>u</m:t>
              </m:r>
              <m:ctrlPr>
                <w:rPr>
                  <w:rFonts w:cs="Times New Roman"/>
                  <w:i/>
                  <w:iCs/>
                  <w:sz w:val="28"/>
                  <w:szCs w:val="28"/>
                </w:rPr>
              </m:ctrlPr>
            </m:e>
            <m:sub>
              <m:r>
                <m:rPr/>
                <w:rPr>
                  <w:rFonts w:ascii="Cambria Math" w:hAnsi="Cambria Math" w:cs="Times New Roman"/>
                  <w:sz w:val="28"/>
                  <w:szCs w:val="28"/>
                </w:rPr>
                <m:t>∗</m:t>
              </m:r>
              <m:ctrlPr>
                <w:rPr>
                  <w:rFonts w:cs="Times New Roman"/>
                  <w:i/>
                  <w:iCs/>
                  <w:sz w:val="28"/>
                  <w:szCs w:val="28"/>
                </w:rPr>
              </m:ctrlPr>
            </m:sub>
          </m:sSub>
          <m:r>
            <m:rPr/>
            <w:rPr>
              <w:rFonts w:cs="Times New Roman"/>
              <w:sz w:val="28"/>
              <w:szCs w:val="28"/>
            </w:rPr>
            <m:t>k</m:t>
          </m:r>
          <m:sSup>
            <m:sSupPr>
              <m:ctrlPr>
                <w:rPr>
                  <w:rFonts w:ascii="Cambria Math" w:hAnsi="Cambria Math" w:cs="Times New Roman"/>
                  <w:i/>
                  <w:iCs/>
                  <w:sz w:val="28"/>
                  <w:szCs w:val="28"/>
                </w:rPr>
              </m:ctrlPr>
            </m:sSupPr>
            <m:e>
              <m:d>
                <m:dPr>
                  <m:begChr m:val="["/>
                  <m:endChr m:val="]"/>
                  <m:ctrlPr>
                    <w:rPr>
                      <w:rFonts w:ascii="Cambria Math" w:hAnsi="Cambria Math" w:cs="Times New Roman"/>
                      <w:i/>
                      <w:iCs/>
                      <w:sz w:val="28"/>
                      <w:szCs w:val="28"/>
                    </w:rPr>
                  </m:ctrlPr>
                </m:dPr>
                <m:e>
                  <m:nary>
                    <m:naryPr>
                      <m:limLoc m:val="undOvr"/>
                      <m:ctrlPr>
                        <w:rPr>
                          <w:rFonts w:ascii="Cambria Math" w:hAnsi="Cambria Math" w:cs="Times New Roman"/>
                          <w:i/>
                          <w:iCs/>
                          <w:sz w:val="28"/>
                          <w:szCs w:val="28"/>
                        </w:rPr>
                      </m:ctrlPr>
                    </m:naryPr>
                    <m:sub>
                      <m:sSub>
                        <m:sSubPr>
                          <m:ctrlPr>
                            <w:rPr>
                              <w:rFonts w:ascii="Cambria Math" w:hAnsi="Cambria Math" w:cs="Times New Roman"/>
                              <w:i/>
                              <w:iCs/>
                              <w:sz w:val="28"/>
                              <w:szCs w:val="28"/>
                            </w:rPr>
                          </m:ctrlPr>
                        </m:sSubPr>
                        <m:e>
                          <m:r>
                            <m:rPr/>
                            <w:rPr>
                              <w:rFonts w:cs="Times New Roman"/>
                              <w:sz w:val="28"/>
                              <w:szCs w:val="28"/>
                            </w:rPr>
                            <m:t>ζ</m:t>
                          </m:r>
                          <m:ctrlPr>
                            <w:rPr>
                              <w:rFonts w:ascii="Cambria Math" w:hAnsi="Cambria Math" w:cs="Times New Roman"/>
                              <w:i/>
                              <w:iCs/>
                              <w:sz w:val="28"/>
                              <w:szCs w:val="28"/>
                            </w:rPr>
                          </m:ctrlPr>
                        </m:e>
                        <m:sub>
                          <m:r>
                            <m:rPr/>
                            <w:rPr>
                              <w:rFonts w:cs="Times New Roman"/>
                              <w:sz w:val="28"/>
                              <w:szCs w:val="28"/>
                            </w:rPr>
                            <m:t>1</m:t>
                          </m:r>
                          <m:ctrlPr>
                            <w:rPr>
                              <w:rFonts w:ascii="Cambria Math" w:hAnsi="Cambria Math" w:cs="Times New Roman"/>
                              <w:i/>
                              <w:iCs/>
                              <w:sz w:val="28"/>
                              <w:szCs w:val="28"/>
                            </w:rPr>
                          </m:ctrlPr>
                        </m:sub>
                      </m:sSub>
                      <m:ctrlPr>
                        <w:rPr>
                          <w:rFonts w:ascii="Cambria Math" w:hAnsi="Cambria Math" w:cs="Times New Roman"/>
                          <w:i/>
                          <w:iCs/>
                          <w:sz w:val="28"/>
                          <w:szCs w:val="28"/>
                        </w:rPr>
                      </m:ctrlPr>
                    </m:sub>
                    <m:sup>
                      <m:sSub>
                        <m:sSubPr>
                          <m:ctrlPr>
                            <w:rPr>
                              <w:rFonts w:ascii="Cambria Math" w:hAnsi="Cambria Math" w:cs="Times New Roman"/>
                              <w:i/>
                              <w:iCs/>
                              <w:sz w:val="28"/>
                              <w:szCs w:val="28"/>
                            </w:rPr>
                          </m:ctrlPr>
                        </m:sSubPr>
                        <m:e>
                          <m:r>
                            <m:rPr/>
                            <w:rPr>
                              <w:rFonts w:cs="Times New Roman"/>
                              <w:sz w:val="28"/>
                              <w:szCs w:val="28"/>
                            </w:rPr>
                            <m:t>ζ</m:t>
                          </m:r>
                          <m:ctrlPr>
                            <w:rPr>
                              <w:rFonts w:ascii="Cambria Math" w:hAnsi="Cambria Math" w:cs="Times New Roman"/>
                              <w:i/>
                              <w:iCs/>
                              <w:sz w:val="28"/>
                              <w:szCs w:val="28"/>
                            </w:rPr>
                          </m:ctrlPr>
                        </m:e>
                        <m:sub>
                          <m:r>
                            <m:rPr/>
                            <w:rPr>
                              <w:rFonts w:cs="Times New Roman"/>
                              <w:sz w:val="28"/>
                              <w:szCs w:val="28"/>
                            </w:rPr>
                            <m:t>2</m:t>
                          </m:r>
                          <m:ctrlPr>
                            <w:rPr>
                              <w:rFonts w:ascii="Cambria Math" w:hAnsi="Cambria Math" w:cs="Times New Roman"/>
                              <w:i/>
                              <w:iCs/>
                              <w:sz w:val="28"/>
                              <w:szCs w:val="28"/>
                            </w:rPr>
                          </m:ctrlPr>
                        </m:sub>
                      </m:sSub>
                      <m:ctrlPr>
                        <w:rPr>
                          <w:rFonts w:ascii="Cambria Math" w:hAnsi="Cambria Math" w:cs="Times New Roman"/>
                          <w:i/>
                          <w:iCs/>
                          <w:sz w:val="28"/>
                          <w:szCs w:val="28"/>
                        </w:rPr>
                      </m:ctrlPr>
                    </m:sup>
                    <m:e>
                      <m:sSub>
                        <m:sSubPr>
                          <m:ctrlPr>
                            <w:rPr>
                              <w:rFonts w:ascii="Cambria Math" w:hAnsi="Cambria Math" w:cs="Times New Roman"/>
                              <w:i/>
                              <w:iCs/>
                              <w:sz w:val="28"/>
                              <w:szCs w:val="28"/>
                            </w:rPr>
                          </m:ctrlPr>
                        </m:sSubPr>
                        <m:e>
                          <m:r>
                            <m:rPr/>
                            <w:rPr>
                              <w:rFonts w:cs="Times New Roman"/>
                              <w:sz w:val="28"/>
                              <w:szCs w:val="28"/>
                            </w:rPr>
                            <m:t>ϕ</m:t>
                          </m:r>
                          <m:ctrlPr>
                            <w:rPr>
                              <w:rFonts w:ascii="Cambria Math" w:hAnsi="Cambria Math" w:cs="Times New Roman"/>
                              <w:i/>
                              <w:iCs/>
                              <w:sz w:val="28"/>
                              <w:szCs w:val="28"/>
                            </w:rPr>
                          </m:ctrlPr>
                        </m:e>
                        <m:sub>
                          <m:r>
                            <m:rPr/>
                            <w:rPr>
                              <w:rFonts w:cs="Times New Roman"/>
                              <w:sz w:val="28"/>
                              <w:szCs w:val="28"/>
                            </w:rPr>
                            <m:t>g</m:t>
                          </m:r>
                          <m:ctrlPr>
                            <w:rPr>
                              <w:rFonts w:ascii="Cambria Math" w:hAnsi="Cambria Math" w:cs="Times New Roman"/>
                              <w:i/>
                              <w:iCs/>
                              <w:sz w:val="28"/>
                              <w:szCs w:val="28"/>
                            </w:rPr>
                          </m:ctrlPr>
                        </m:sub>
                      </m:sSub>
                      <m:ctrlPr>
                        <w:rPr>
                          <w:rFonts w:ascii="Cambria Math" w:hAnsi="Cambria Math" w:cs="Times New Roman"/>
                          <w:i/>
                          <w:iCs/>
                          <w:sz w:val="28"/>
                          <w:szCs w:val="28"/>
                        </w:rPr>
                      </m:ctrlPr>
                    </m:e>
                  </m:nary>
                  <m:r>
                    <m:rPr/>
                    <w:rPr>
                      <w:rFonts w:cs="Times New Roman"/>
                      <w:sz w:val="28"/>
                      <w:szCs w:val="28"/>
                    </w:rPr>
                    <m:t>(ζ)</m:t>
                  </m:r>
                  <m:sSup>
                    <m:sSupPr>
                      <m:ctrlPr>
                        <w:rPr>
                          <w:rFonts w:ascii="Cambria Math" w:hAnsi="Cambria Math" w:cs="Times New Roman"/>
                          <w:i/>
                          <w:iCs/>
                          <w:sz w:val="28"/>
                          <w:szCs w:val="28"/>
                        </w:rPr>
                      </m:ctrlPr>
                    </m:sSupPr>
                    <m:e>
                      <m:r>
                        <m:rPr/>
                        <w:rPr>
                          <w:rFonts w:cs="Times New Roman"/>
                          <w:sz w:val="28"/>
                          <w:szCs w:val="28"/>
                        </w:rPr>
                        <m:t>ζ</m:t>
                      </m:r>
                      <m:ctrlPr>
                        <w:rPr>
                          <w:rFonts w:ascii="Cambria Math" w:hAnsi="Cambria Math" w:cs="Times New Roman"/>
                          <w:i/>
                          <w:iCs/>
                          <w:sz w:val="28"/>
                          <w:szCs w:val="28"/>
                        </w:rPr>
                      </m:ctrlPr>
                    </m:e>
                    <m:sup>
                      <m:r>
                        <m:rPr/>
                        <w:rPr>
                          <w:rFonts w:cs="Times New Roman"/>
                          <w:sz w:val="28"/>
                          <w:szCs w:val="28"/>
                        </w:rPr>
                        <m:t>−1</m:t>
                      </m:r>
                      <m:ctrlPr>
                        <w:rPr>
                          <w:rFonts w:ascii="Cambria Math" w:hAnsi="Cambria Math" w:cs="Times New Roman"/>
                          <w:i/>
                          <w:iCs/>
                          <w:sz w:val="28"/>
                          <w:szCs w:val="28"/>
                        </w:rPr>
                      </m:ctrlPr>
                    </m:sup>
                  </m:sSup>
                  <m:r>
                    <m:rPr/>
                    <w:rPr>
                      <w:rFonts w:cs="Times New Roman"/>
                      <w:sz w:val="28"/>
                      <w:szCs w:val="28"/>
                    </w:rPr>
                    <m:t>dζ</m:t>
                  </m:r>
                  <m:ctrlPr>
                    <w:rPr>
                      <w:rFonts w:ascii="Cambria Math" w:hAnsi="Cambria Math" w:cs="Times New Roman"/>
                      <w:i/>
                      <w:iCs/>
                      <w:sz w:val="28"/>
                      <w:szCs w:val="28"/>
                    </w:rPr>
                  </m:ctrlPr>
                </m:e>
              </m:d>
              <m:ctrlPr>
                <w:rPr>
                  <w:rFonts w:ascii="Cambria Math" w:hAnsi="Cambria Math" w:cs="Times New Roman"/>
                  <w:i/>
                  <w:iCs/>
                  <w:sz w:val="28"/>
                  <w:szCs w:val="28"/>
                </w:rPr>
              </m:ctrlPr>
            </m:e>
            <m:sup>
              <m:r>
                <m:rPr/>
                <w:rPr>
                  <w:rFonts w:cs="Times New Roman"/>
                  <w:sz w:val="28"/>
                  <w:szCs w:val="28"/>
                </w:rPr>
                <m:t>−1</m:t>
              </m:r>
              <m:ctrlPr>
                <w:rPr>
                  <w:rFonts w:ascii="Cambria Math" w:hAnsi="Cambria Math" w:cs="Times New Roman"/>
                  <w:i/>
                  <w:iCs/>
                  <w:sz w:val="28"/>
                  <w:szCs w:val="28"/>
                </w:rPr>
              </m:ctrlPr>
            </m:sup>
          </m:sSup>
        </m:oMath>
      </m:oMathPara>
    </w:p>
    <w:p w14:paraId="50A3BAB0">
      <w:pPr>
        <w:widowControl/>
        <w:numPr>
          <w:ilvl w:val="255"/>
          <w:numId w:val="0"/>
        </w:numPr>
        <w:spacing w:line="480" w:lineRule="auto"/>
        <w:rPr>
          <w:rFonts w:cs="Times New Roman"/>
          <w:sz w:val="28"/>
          <w:szCs w:val="28"/>
        </w:rPr>
      </w:pPr>
      <w:r>
        <w:rPr>
          <w:rFonts w:cs="Times New Roman"/>
          <w:sz w:val="28"/>
          <w:szCs w:val="28"/>
        </w:rPr>
        <w:t xml:space="preserve">where </w:t>
      </w:r>
      <w:r>
        <w:rPr>
          <w:rFonts w:cs="Times New Roman"/>
          <w:i/>
          <w:iCs/>
          <w:sz w:val="28"/>
          <w:szCs w:val="28"/>
        </w:rPr>
        <w:t>u</w:t>
      </w:r>
      <w:r>
        <w:rPr>
          <w:rFonts w:cs="Times New Roman"/>
          <w:i/>
          <w:iCs/>
          <w:sz w:val="28"/>
          <w:szCs w:val="28"/>
          <w:vertAlign w:val="subscript"/>
        </w:rPr>
        <w:t>*</w:t>
      </w:r>
      <w:r>
        <w:rPr>
          <w:rFonts w:cs="Times New Roman"/>
          <w:sz w:val="28"/>
          <w:szCs w:val="28"/>
        </w:rPr>
        <w:t xml:space="preserve">, </w:t>
      </w:r>
      <w:r>
        <w:rPr>
          <w:rFonts w:cs="Times New Roman"/>
          <w:i/>
          <w:iCs/>
          <w:sz w:val="28"/>
          <w:szCs w:val="28"/>
        </w:rPr>
        <w:t>k</w:t>
      </w:r>
      <w:r>
        <w:rPr>
          <w:rFonts w:cs="Times New Roman"/>
          <w:sz w:val="28"/>
          <w:szCs w:val="28"/>
        </w:rPr>
        <w:t xml:space="preserve">, and </w:t>
      </w:r>
      <w:r>
        <w:rPr>
          <w:rFonts w:cs="Times New Roman"/>
          <w:i/>
          <w:iCs/>
          <w:sz w:val="28"/>
          <w:szCs w:val="28"/>
        </w:rPr>
        <w:t>ϕ</w:t>
      </w:r>
      <w:r>
        <w:rPr>
          <w:rFonts w:cs="Times New Roman"/>
          <w:i/>
          <w:iCs/>
          <w:sz w:val="28"/>
          <w:szCs w:val="28"/>
          <w:vertAlign w:val="subscript"/>
        </w:rPr>
        <w:t>g</w:t>
      </w:r>
      <w:r>
        <w:rPr>
          <w:rFonts w:cs="Times New Roman"/>
          <w:i/>
          <w:iCs/>
          <w:sz w:val="28"/>
          <w:szCs w:val="28"/>
        </w:rPr>
        <w:t>(ζ)</w:t>
      </w:r>
      <w:r>
        <w:rPr>
          <w:rFonts w:cs="Times New Roman"/>
          <w:sz w:val="28"/>
          <w:szCs w:val="28"/>
        </w:rPr>
        <w:t xml:space="preserve"> are von Karman’s constant (0.4), the friction velocity (m s</w:t>
      </w:r>
      <w:r>
        <w:rPr>
          <w:rFonts w:eastAsia="宋体" w:cs="Times New Roman"/>
          <w:sz w:val="28"/>
          <w:szCs w:val="28"/>
          <w:vertAlign w:val="superscript"/>
        </w:rPr>
        <w:t>−</w:t>
      </w:r>
      <w:r>
        <w:rPr>
          <w:rFonts w:cs="Times New Roman"/>
          <w:sz w:val="28"/>
          <w:szCs w:val="28"/>
          <w:vertAlign w:val="superscript"/>
        </w:rPr>
        <w:t>1</w:t>
      </w:r>
      <w:r>
        <w:rPr>
          <w:rFonts w:cs="Times New Roman"/>
          <w:sz w:val="28"/>
          <w:szCs w:val="28"/>
        </w:rPr>
        <w:t>), and the correction factor as a function of the Monin</w:t>
      </w:r>
      <w:r>
        <w:rPr>
          <w:rFonts w:hAnsi="Times New Roman" w:cs="Times New Roman"/>
          <w:sz w:val="28"/>
          <w:szCs w:val="28"/>
        </w:rPr>
        <w:t>–</w:t>
      </w:r>
      <w:r>
        <w:rPr>
          <w:rFonts w:cs="Times New Roman"/>
          <w:sz w:val="28"/>
          <w:szCs w:val="28"/>
        </w:rPr>
        <w:t>Obukhov stability parameter (ζ), respectively. ζ is defined as</w:t>
      </w:r>
      <w:r>
        <w:rPr>
          <w:rFonts w:cs="Times New Roman"/>
          <w:i/>
          <w:iCs/>
          <w:sz w:val="28"/>
          <w:szCs w:val="28"/>
        </w:rPr>
        <w:t xml:space="preserve"> ζ= (z-d)/L</w:t>
      </w:r>
      <w:r>
        <w:rPr>
          <w:rFonts w:cs="Times New Roman"/>
          <w:sz w:val="28"/>
          <w:szCs w:val="28"/>
        </w:rPr>
        <w:t xml:space="preserve">, where </w:t>
      </w:r>
      <w:r>
        <w:rPr>
          <w:rFonts w:cs="Times New Roman"/>
          <w:i/>
          <w:iCs/>
          <w:sz w:val="28"/>
          <w:szCs w:val="28"/>
        </w:rPr>
        <w:t>z</w:t>
      </w:r>
      <w:r>
        <w:rPr>
          <w:rFonts w:cs="Times New Roman"/>
          <w:sz w:val="28"/>
          <w:szCs w:val="28"/>
        </w:rPr>
        <w:t xml:space="preserve">, </w:t>
      </w:r>
      <w:r>
        <w:rPr>
          <w:rFonts w:cs="Times New Roman"/>
          <w:i/>
          <w:iCs/>
          <w:sz w:val="28"/>
          <w:szCs w:val="28"/>
        </w:rPr>
        <w:t>d,</w:t>
      </w:r>
      <w:r>
        <w:rPr>
          <w:rFonts w:cs="Times New Roman"/>
          <w:sz w:val="28"/>
          <w:szCs w:val="28"/>
        </w:rPr>
        <w:t xml:space="preserve"> and </w:t>
      </w:r>
      <w:r>
        <w:rPr>
          <w:rFonts w:cs="Times New Roman"/>
          <w:i/>
          <w:iCs/>
          <w:sz w:val="28"/>
          <w:szCs w:val="28"/>
        </w:rPr>
        <w:t xml:space="preserve">L </w:t>
      </w:r>
      <w:r>
        <w:rPr>
          <w:rFonts w:cs="Times New Roman"/>
          <w:sz w:val="28"/>
          <w:szCs w:val="28"/>
        </w:rPr>
        <w:t>are the target height (m), zero-plane displacement height, and the Monin</w:t>
      </w:r>
      <w:r>
        <w:rPr>
          <w:rFonts w:hAnsi="Times New Roman" w:cs="Times New Roman"/>
          <w:sz w:val="28"/>
          <w:szCs w:val="28"/>
        </w:rPr>
        <w:t>–</w:t>
      </w:r>
      <w:r>
        <w:rPr>
          <w:rFonts w:cs="Times New Roman"/>
          <w:sz w:val="28"/>
          <w:szCs w:val="28"/>
        </w:rPr>
        <w:t xml:space="preserve">Obukhov length (m), respectively. </w:t>
      </w:r>
      <w:r>
        <w:rPr>
          <w:rFonts w:cs="Times New Roman"/>
          <w:i/>
          <w:iCs/>
          <w:sz w:val="28"/>
          <w:szCs w:val="28"/>
        </w:rPr>
        <w:t>ζ</w:t>
      </w:r>
      <w:r>
        <w:rPr>
          <w:rFonts w:cs="Times New Roman"/>
          <w:i/>
          <w:iCs/>
          <w:sz w:val="28"/>
          <w:szCs w:val="28"/>
          <w:vertAlign w:val="subscript"/>
        </w:rPr>
        <w:t>1</w:t>
      </w:r>
      <w:r>
        <w:rPr>
          <w:rFonts w:cs="Times New Roman"/>
          <w:sz w:val="28"/>
          <w:szCs w:val="28"/>
        </w:rPr>
        <w:t xml:space="preserve"> and </w:t>
      </w:r>
      <w:r>
        <w:rPr>
          <w:rFonts w:cs="Times New Roman"/>
          <w:i/>
          <w:iCs/>
          <w:sz w:val="28"/>
          <w:szCs w:val="28"/>
        </w:rPr>
        <w:t>ζ</w:t>
      </w:r>
      <w:r>
        <w:rPr>
          <w:rFonts w:cs="Times New Roman"/>
          <w:i/>
          <w:iCs/>
          <w:sz w:val="28"/>
          <w:szCs w:val="28"/>
          <w:vertAlign w:val="subscript"/>
        </w:rPr>
        <w:t>2</w:t>
      </w:r>
      <w:r>
        <w:rPr>
          <w:rFonts w:cs="Times New Roman"/>
          <w:sz w:val="28"/>
          <w:szCs w:val="28"/>
        </w:rPr>
        <w:t xml:space="preserve"> are the </w:t>
      </w:r>
      <w:r>
        <w:rPr>
          <w:rFonts w:cs="Times New Roman"/>
          <w:i/>
          <w:iCs/>
          <w:sz w:val="28"/>
          <w:szCs w:val="28"/>
        </w:rPr>
        <w:t xml:space="preserve">ζ </w:t>
      </w:r>
      <w:r>
        <w:rPr>
          <w:rFonts w:cs="Times New Roman"/>
          <w:sz w:val="28"/>
          <w:szCs w:val="28"/>
        </w:rPr>
        <w:t xml:space="preserve">values at heights of </w:t>
      </w:r>
      <w:r>
        <w:rPr>
          <w:rFonts w:cs="Times New Roman"/>
          <w:i/>
          <w:iCs/>
          <w:sz w:val="28"/>
          <w:szCs w:val="28"/>
        </w:rPr>
        <w:t>z</w:t>
      </w:r>
      <w:r>
        <w:rPr>
          <w:rFonts w:cs="Times New Roman"/>
          <w:i/>
          <w:iCs/>
          <w:sz w:val="28"/>
          <w:szCs w:val="28"/>
          <w:vertAlign w:val="subscript"/>
        </w:rPr>
        <w:t>1</w:t>
      </w:r>
      <w:r>
        <w:rPr>
          <w:rFonts w:cs="Times New Roman"/>
          <w:i/>
          <w:iCs/>
          <w:sz w:val="28"/>
          <w:szCs w:val="28"/>
        </w:rPr>
        <w:t xml:space="preserve"> </w:t>
      </w:r>
      <w:r>
        <w:rPr>
          <w:rFonts w:cs="Times New Roman"/>
          <w:sz w:val="28"/>
          <w:szCs w:val="28"/>
        </w:rPr>
        <w:t xml:space="preserve">and </w:t>
      </w:r>
      <w:r>
        <w:rPr>
          <w:rFonts w:cs="Times New Roman"/>
          <w:i/>
          <w:iCs/>
          <w:sz w:val="28"/>
          <w:szCs w:val="28"/>
        </w:rPr>
        <w:t>z</w:t>
      </w:r>
      <w:r>
        <w:rPr>
          <w:rFonts w:cs="Times New Roman"/>
          <w:i/>
          <w:iCs/>
          <w:sz w:val="28"/>
          <w:szCs w:val="28"/>
          <w:vertAlign w:val="subscript"/>
        </w:rPr>
        <w:t>2</w:t>
      </w:r>
      <w:r>
        <w:rPr>
          <w:rFonts w:cs="Times New Roman"/>
          <w:sz w:val="28"/>
          <w:szCs w:val="28"/>
        </w:rPr>
        <w:t xml:space="preserve"> respectively. </w:t>
      </w:r>
      <w:r>
        <w:rPr>
          <w:rFonts w:cs="Times New Roman"/>
          <w:i/>
          <w:iCs/>
          <w:sz w:val="28"/>
          <w:szCs w:val="28"/>
        </w:rPr>
        <w:t>ϕ</w:t>
      </w:r>
      <w:r>
        <w:rPr>
          <w:rFonts w:cs="Times New Roman"/>
          <w:i/>
          <w:iCs/>
          <w:sz w:val="28"/>
          <w:szCs w:val="28"/>
          <w:vertAlign w:val="subscript"/>
        </w:rPr>
        <w:t>g</w:t>
      </w:r>
      <w:r>
        <w:rPr>
          <w:rFonts w:cs="Times New Roman"/>
          <w:sz w:val="28"/>
          <w:szCs w:val="28"/>
        </w:rPr>
        <w:t xml:space="preserve"> was approximated by the dimensionless gradient of the potential temperature </w:t>
      </w:r>
      <w:r>
        <w:rPr>
          <w:rFonts w:cs="Times New Roman"/>
          <w:i/>
          <w:iCs/>
          <w:sz w:val="28"/>
          <w:szCs w:val="28"/>
        </w:rPr>
        <w:t>(ϕ</w:t>
      </w:r>
      <w:r>
        <w:rPr>
          <w:rFonts w:cs="Times New Roman"/>
          <w:i/>
          <w:iCs/>
          <w:sz w:val="28"/>
          <w:szCs w:val="28"/>
          <w:vertAlign w:val="subscript"/>
        </w:rPr>
        <w:t>h</w:t>
      </w:r>
      <w:r>
        <w:rPr>
          <w:rFonts w:cs="Times New Roman"/>
          <w:i/>
          <w:iCs/>
          <w:sz w:val="28"/>
          <w:szCs w:val="28"/>
        </w:rPr>
        <w:t>)</w:t>
      </w:r>
      <w:r>
        <w:rPr>
          <w:rFonts w:cs="Times New Roman"/>
          <w:sz w:val="28"/>
          <w:szCs w:val="28"/>
        </w:rPr>
        <w:t xml:space="preserve">. z and </w:t>
      </w:r>
      <w:r>
        <w:rPr>
          <w:rFonts w:cs="Times New Roman"/>
          <w:i/>
          <w:iCs/>
          <w:sz w:val="28"/>
          <w:szCs w:val="28"/>
        </w:rPr>
        <w:t>ϕ</w:t>
      </w:r>
      <w:r>
        <w:rPr>
          <w:rFonts w:cs="Times New Roman"/>
          <w:i/>
          <w:iCs/>
          <w:sz w:val="28"/>
          <w:szCs w:val="28"/>
          <w:vertAlign w:val="subscript"/>
        </w:rPr>
        <w:t>g</w:t>
      </w:r>
      <w:r>
        <w:rPr>
          <w:rFonts w:cs="Times New Roman"/>
          <w:i/>
          <w:iCs/>
          <w:sz w:val="28"/>
          <w:szCs w:val="28"/>
        </w:rPr>
        <w:t>(ζ)</w:t>
      </w:r>
      <w:r>
        <w:rPr>
          <w:rFonts w:cs="Times New Roman"/>
          <w:sz w:val="28"/>
          <w:szCs w:val="28"/>
        </w:rPr>
        <w:t xml:space="preserve"> were calculated using </w:t>
      </w:r>
      <w:r>
        <w:rPr>
          <w:rFonts w:cs="Times New Roman"/>
          <w:i/>
          <w:iCs/>
          <w:sz w:val="28"/>
          <w:szCs w:val="28"/>
        </w:rPr>
        <w:t>u</w:t>
      </w:r>
      <w:r>
        <w:rPr>
          <w:rFonts w:cs="Times New Roman"/>
          <w:i/>
          <w:iCs/>
          <w:sz w:val="28"/>
          <w:szCs w:val="28"/>
          <w:vertAlign w:val="subscript"/>
        </w:rPr>
        <w:t>*</w:t>
      </w:r>
      <w:r>
        <w:rPr>
          <w:rFonts w:cs="Times New Roman"/>
          <w:sz w:val="28"/>
          <w:szCs w:val="28"/>
        </w:rPr>
        <w:t xml:space="preserve"> and </w:t>
      </w:r>
      <w:r>
        <w:rPr>
          <w:rFonts w:cs="Times New Roman"/>
          <w:i/>
          <w:iCs/>
          <w:sz w:val="28"/>
          <w:szCs w:val="28"/>
        </w:rPr>
        <w:t>L</w:t>
      </w:r>
      <w:r>
        <w:rPr>
          <w:rFonts w:cs="Times New Roman"/>
          <w:sz w:val="28"/>
          <w:szCs w:val="28"/>
        </w:rPr>
        <w:t xml:space="preserve"> from the sonic anemometer</w:t>
      </w:r>
      <w:r>
        <w:rPr>
          <w:rFonts w:hint="eastAsia" w:cs="Times New Roman"/>
          <w:sz w:val="28"/>
          <w:szCs w:val="28"/>
        </w:rPr>
        <w:t>-</w:t>
      </w:r>
      <w:r>
        <w:rPr>
          <w:rFonts w:cs="Times New Roman"/>
          <w:sz w:val="28"/>
          <w:szCs w:val="28"/>
        </w:rPr>
        <w:t xml:space="preserve">thermometer. The mean value of </w:t>
      </w:r>
      <w:r>
        <w:rPr>
          <w:rFonts w:cs="Times New Roman"/>
          <w:i/>
          <w:iCs/>
          <w:sz w:val="28"/>
          <w:szCs w:val="28"/>
        </w:rPr>
        <w:t>D</w:t>
      </w:r>
      <w:r>
        <w:rPr>
          <w:rFonts w:cs="Times New Roman"/>
          <w:sz w:val="28"/>
          <w:szCs w:val="28"/>
        </w:rPr>
        <w:t xml:space="preserve"> during the measurement interval of NH</w:t>
      </w:r>
      <w:r>
        <w:rPr>
          <w:rFonts w:cs="Times New Roman"/>
          <w:sz w:val="28"/>
          <w:szCs w:val="28"/>
          <w:vertAlign w:val="subscript"/>
        </w:rPr>
        <w:t>3</w:t>
      </w:r>
      <w:r>
        <w:rPr>
          <w:rFonts w:cs="Times New Roman"/>
          <w:sz w:val="28"/>
          <w:szCs w:val="28"/>
        </w:rPr>
        <w:t xml:space="preserve"> was used </w:t>
      </w:r>
      <w:r>
        <w:rPr>
          <w:rFonts w:hint="eastAsia" w:cs="Times New Roman"/>
          <w:sz w:val="28"/>
          <w:szCs w:val="28"/>
        </w:rPr>
        <w:t xml:space="preserve">for </w:t>
      </w:r>
      <w:r>
        <w:rPr>
          <w:rFonts w:cs="Times New Roman"/>
          <w:sz w:val="28"/>
          <w:szCs w:val="28"/>
        </w:rPr>
        <w:t>NH</w:t>
      </w:r>
      <w:r>
        <w:rPr>
          <w:rFonts w:cs="Times New Roman"/>
          <w:sz w:val="28"/>
          <w:szCs w:val="28"/>
          <w:vertAlign w:val="subscript"/>
        </w:rPr>
        <w:t>3</w:t>
      </w:r>
      <w:r>
        <w:rPr>
          <w:rFonts w:cs="Times New Roman"/>
          <w:sz w:val="28"/>
          <w:szCs w:val="28"/>
        </w:rPr>
        <w:t xml:space="preserve"> flux calculation.</w:t>
      </w:r>
    </w:p>
    <w:p w14:paraId="41B72CF8">
      <w:pPr>
        <w:widowControl/>
        <w:numPr>
          <w:ilvl w:val="0"/>
          <w:numId w:val="0"/>
        </w:numPr>
        <w:spacing w:line="480" w:lineRule="auto"/>
        <w:ind w:left="420" w:leftChars="0" w:hanging="420" w:firstLineChars="0"/>
        <w:rPr>
          <w:rFonts w:cs="Times New Roman"/>
          <w:sz w:val="28"/>
          <w:szCs w:val="28"/>
        </w:rPr>
      </w:pPr>
      <w:r>
        <w:rPr>
          <w:rFonts w:hint="default" w:ascii="Wingdings" w:hAnsi="Wingdings" w:cs="Times New Roman" w:eastAsiaTheme="minorEastAsia"/>
          <w:kern w:val="2"/>
          <w:sz w:val="28"/>
          <w:szCs w:val="28"/>
          <w:lang w:val="en-US" w:eastAsia="zh-CN" w:bidi="ar-SA"/>
        </w:rPr>
        <w:t></w:t>
      </w:r>
      <w:r>
        <w:rPr>
          <w:rFonts w:cs="Times New Roman"/>
          <w:b/>
          <w:bCs/>
          <w:sz w:val="28"/>
          <w:szCs w:val="28"/>
        </w:rPr>
        <w:t>Relaxed eddy accumulation method (REA)</w:t>
      </w:r>
      <w:r>
        <w:rPr>
          <w:rFonts w:cs="Times New Roman"/>
          <w:sz w:val="28"/>
          <w:szCs w:val="28"/>
        </w:rPr>
        <w:t xml:space="preserve"> </w:t>
      </w:r>
    </w:p>
    <w:p w14:paraId="58B09BEF">
      <w:pPr>
        <w:widowControl/>
        <w:spacing w:line="480" w:lineRule="auto"/>
        <w:rPr>
          <w:rFonts w:cs="Times New Roman"/>
          <w:sz w:val="28"/>
          <w:szCs w:val="28"/>
        </w:rPr>
      </w:pPr>
      <w:r>
        <w:rPr>
          <w:rFonts w:hint="eastAsia" w:cs="Times New Roman"/>
          <w:sz w:val="28"/>
          <w:szCs w:val="28"/>
        </w:rPr>
        <w:t xml:space="preserve">The REA method </w:t>
      </w:r>
      <w:r>
        <w:rPr>
          <w:rFonts w:cs="Times New Roman"/>
          <w:sz w:val="28"/>
          <w:szCs w:val="28"/>
        </w:rPr>
        <w:t xml:space="preserve">can </w:t>
      </w:r>
      <w:r>
        <w:rPr>
          <w:rFonts w:hint="eastAsia" w:cs="Times New Roman"/>
          <w:sz w:val="28"/>
          <w:szCs w:val="28"/>
        </w:rPr>
        <w:t xml:space="preserve">also </w:t>
      </w:r>
      <w:r>
        <w:rPr>
          <w:rFonts w:cs="Times New Roman"/>
          <w:sz w:val="28"/>
          <w:szCs w:val="28"/>
        </w:rPr>
        <w:t>be used to investigate the net bidirectional exchange of NH</w:t>
      </w:r>
      <w:r>
        <w:rPr>
          <w:rFonts w:cs="Times New Roman"/>
          <w:sz w:val="28"/>
          <w:szCs w:val="28"/>
          <w:vertAlign w:val="subscript"/>
        </w:rPr>
        <w:t>3</w:t>
      </w:r>
      <w:r>
        <w:rPr>
          <w:rFonts w:cs="Times New Roman"/>
          <w:sz w:val="28"/>
          <w:szCs w:val="28"/>
        </w:rPr>
        <w:t xml:space="preserve"> (emission/absorption) above the canopy under field conditions</w:t>
      </w:r>
      <w:r>
        <w:rPr>
          <w:rFonts w:hint="eastAsia" w:cs="Times New Roman"/>
          <w:sz w:val="28"/>
          <w:szCs w:val="28"/>
          <w:vertAlign w:val="superscript"/>
        </w:rPr>
        <w:t>[20]</w:t>
      </w:r>
      <w:r>
        <w:rPr>
          <w:rFonts w:cs="Times New Roman"/>
          <w:sz w:val="28"/>
          <w:szCs w:val="28"/>
        </w:rPr>
        <w:t>. The REA method is based on the principles of the eddy covariance technique and has the advantage of not requiring high time-resolution concentration measurements, such as those obtained with denuder or filter-pack sampling systems</w:t>
      </w:r>
      <w:r>
        <w:rPr>
          <w:rFonts w:hint="eastAsia" w:cs="Times New Roman"/>
          <w:sz w:val="28"/>
          <w:szCs w:val="28"/>
          <w:vertAlign w:val="superscript"/>
        </w:rPr>
        <w:t>[20]</w:t>
      </w:r>
      <w:r>
        <w:rPr>
          <w:rFonts w:cs="Times New Roman"/>
          <w:sz w:val="28"/>
          <w:szCs w:val="28"/>
        </w:rPr>
        <w:t>. Additionally, a 3D sonic anemometer is necessary. The NH</w:t>
      </w:r>
      <w:r>
        <w:rPr>
          <w:rFonts w:cs="Times New Roman"/>
          <w:sz w:val="28"/>
          <w:szCs w:val="28"/>
          <w:vertAlign w:val="subscript"/>
        </w:rPr>
        <w:t>3</w:t>
      </w:r>
      <w:r>
        <w:rPr>
          <w:rFonts w:cs="Times New Roman"/>
          <w:sz w:val="28"/>
          <w:szCs w:val="28"/>
        </w:rPr>
        <w:t xml:space="preserve"> flux is derived from the difference in NH</w:t>
      </w:r>
      <w:r>
        <w:rPr>
          <w:rFonts w:cs="Times New Roman"/>
          <w:sz w:val="28"/>
          <w:szCs w:val="28"/>
          <w:vertAlign w:val="subscript"/>
        </w:rPr>
        <w:t>3</w:t>
      </w:r>
      <w:r>
        <w:rPr>
          <w:rFonts w:cs="Times New Roman"/>
          <w:sz w:val="28"/>
          <w:szCs w:val="28"/>
        </w:rPr>
        <w:t xml:space="preserve"> concentration between updrafts and downdrafts as follows:</w:t>
      </w:r>
    </w:p>
    <w:p w14:paraId="666C33C4">
      <w:pPr>
        <w:widowControl/>
        <w:spacing w:line="480" w:lineRule="auto"/>
        <w:rPr>
          <w:rFonts w:cs="Times New Roman"/>
          <w:sz w:val="28"/>
          <w:szCs w:val="28"/>
        </w:rPr>
      </w:pPr>
      <m:oMathPara>
        <m:oMath>
          <m:r>
            <m:rPr/>
            <w:rPr>
              <w:rFonts w:cs="Times New Roman"/>
              <w:sz w:val="28"/>
              <w:szCs w:val="28"/>
            </w:rPr>
            <m:t>F=β</m:t>
          </m:r>
          <m:sSub>
            <m:sSubPr>
              <m:ctrlPr>
                <w:rPr>
                  <w:rFonts w:ascii="Cambria Math" w:hAnsi="Cambria Math" w:cs="Times New Roman"/>
                  <w:i/>
                  <w:iCs/>
                  <w:sz w:val="28"/>
                  <w:szCs w:val="28"/>
                </w:rPr>
              </m:ctrlPr>
            </m:sSubPr>
            <m:e>
              <m:r>
                <m:rPr/>
                <w:rPr>
                  <w:rFonts w:cs="Times New Roman"/>
                  <w:sz w:val="28"/>
                  <w:szCs w:val="28"/>
                </w:rPr>
                <m:t>σ</m:t>
              </m:r>
              <m:ctrlPr>
                <w:rPr>
                  <w:rFonts w:ascii="Cambria Math" w:hAnsi="Cambria Math" w:cs="Times New Roman"/>
                  <w:i/>
                  <w:iCs/>
                  <w:sz w:val="28"/>
                  <w:szCs w:val="28"/>
                </w:rPr>
              </m:ctrlPr>
            </m:e>
            <m:sub>
              <m:r>
                <m:rPr/>
                <w:rPr>
                  <w:rFonts w:cs="Times New Roman"/>
                  <w:sz w:val="28"/>
                  <w:szCs w:val="28"/>
                </w:rPr>
                <m:t>w</m:t>
              </m:r>
              <m:ctrlPr>
                <w:rPr>
                  <w:rFonts w:ascii="Cambria Math" w:hAnsi="Cambria Math" w:cs="Times New Roman"/>
                  <w:i/>
                  <w:iCs/>
                  <w:sz w:val="28"/>
                  <w:szCs w:val="28"/>
                </w:rPr>
              </m:ctrlPr>
            </m:sub>
          </m:sSub>
          <m:r>
            <m:rPr/>
            <w:rPr>
              <w:rFonts w:cs="Times New Roman"/>
              <w:sz w:val="28"/>
              <w:szCs w:val="28"/>
            </w:rPr>
            <m:t>(</m:t>
          </m:r>
          <m:sSup>
            <m:sSupPr>
              <m:ctrlPr>
                <w:rPr>
                  <w:rFonts w:ascii="Cambria Math" w:hAnsi="Cambria Math" w:cs="Times New Roman"/>
                  <w:i/>
                  <w:iCs/>
                  <w:sz w:val="28"/>
                  <w:szCs w:val="28"/>
                </w:rPr>
              </m:ctrlPr>
            </m:sSupPr>
            <m:e>
              <m:r>
                <m:rPr/>
                <w:rPr>
                  <w:rFonts w:cs="Times New Roman"/>
                  <w:sz w:val="28"/>
                  <w:szCs w:val="28"/>
                </w:rPr>
                <m:t>C</m:t>
              </m:r>
              <m:ctrlPr>
                <w:rPr>
                  <w:rFonts w:ascii="Cambria Math" w:hAnsi="Cambria Math" w:cs="Times New Roman"/>
                  <w:i/>
                  <w:iCs/>
                  <w:sz w:val="28"/>
                  <w:szCs w:val="28"/>
                </w:rPr>
              </m:ctrlPr>
            </m:e>
            <m:sup>
              <m:r>
                <m:rPr/>
                <w:rPr>
                  <w:rFonts w:cs="Times New Roman"/>
                  <w:sz w:val="28"/>
                  <w:szCs w:val="28"/>
                </w:rPr>
                <m:t>+</m:t>
              </m:r>
              <m:ctrlPr>
                <w:rPr>
                  <w:rFonts w:ascii="Cambria Math" w:hAnsi="Cambria Math" w:cs="Times New Roman"/>
                  <w:i/>
                  <w:iCs/>
                  <w:sz w:val="28"/>
                  <w:szCs w:val="28"/>
                </w:rPr>
              </m:ctrlPr>
            </m:sup>
          </m:sSup>
          <m:r>
            <m:rPr/>
            <w:rPr>
              <w:rFonts w:cs="Times New Roman"/>
              <w:sz w:val="28"/>
              <w:szCs w:val="28"/>
            </w:rPr>
            <m:t>−</m:t>
          </m:r>
          <m:sSup>
            <m:sSupPr>
              <m:ctrlPr>
                <w:rPr>
                  <w:rFonts w:ascii="Cambria Math" w:hAnsi="Cambria Math" w:cs="Times New Roman"/>
                  <w:i/>
                  <w:iCs/>
                  <w:sz w:val="28"/>
                  <w:szCs w:val="28"/>
                </w:rPr>
              </m:ctrlPr>
            </m:sSupPr>
            <m:e>
              <m:r>
                <m:rPr/>
                <w:rPr>
                  <w:rFonts w:cs="Times New Roman"/>
                  <w:sz w:val="28"/>
                  <w:szCs w:val="28"/>
                </w:rPr>
                <m:t>C</m:t>
              </m:r>
              <m:ctrlPr>
                <w:rPr>
                  <w:rFonts w:ascii="Cambria Math" w:hAnsi="Cambria Math" w:cs="Times New Roman"/>
                  <w:i/>
                  <w:iCs/>
                  <w:sz w:val="28"/>
                  <w:szCs w:val="28"/>
                </w:rPr>
              </m:ctrlPr>
            </m:e>
            <m:sup>
              <m:r>
                <m:rPr/>
                <w:rPr>
                  <w:rFonts w:cs="Times New Roman"/>
                  <w:sz w:val="28"/>
                  <w:szCs w:val="28"/>
                </w:rPr>
                <m:t>−</m:t>
              </m:r>
              <m:ctrlPr>
                <w:rPr>
                  <w:rFonts w:ascii="Cambria Math" w:hAnsi="Cambria Math" w:cs="Times New Roman"/>
                  <w:i/>
                  <w:iCs/>
                  <w:sz w:val="28"/>
                  <w:szCs w:val="28"/>
                </w:rPr>
              </m:ctrlPr>
            </m:sup>
          </m:sSup>
          <m:r>
            <m:rPr/>
            <w:rPr>
              <w:rFonts w:cs="Times New Roman"/>
              <w:sz w:val="28"/>
              <w:szCs w:val="28"/>
            </w:rPr>
            <m:t>)</m:t>
          </m:r>
        </m:oMath>
      </m:oMathPara>
    </w:p>
    <w:p w14:paraId="1677AB7F">
      <w:pPr>
        <w:widowControl/>
        <w:spacing w:line="480" w:lineRule="auto"/>
        <w:rPr>
          <w:rFonts w:cs="Times New Roman"/>
          <w:sz w:val="28"/>
          <w:szCs w:val="28"/>
        </w:rPr>
      </w:pPr>
      <w:r>
        <w:rPr>
          <w:rFonts w:cs="Times New Roman"/>
          <w:sz w:val="28"/>
          <w:szCs w:val="28"/>
        </w:rPr>
        <w:t xml:space="preserve">where </w:t>
      </w:r>
      <w:r>
        <w:rPr>
          <w:rFonts w:cs="Times New Roman"/>
          <w:i/>
          <w:iCs/>
          <w:sz w:val="28"/>
          <w:szCs w:val="28"/>
        </w:rPr>
        <w:t>β</w:t>
      </w:r>
      <w:r>
        <w:rPr>
          <w:rFonts w:cs="Times New Roman"/>
          <w:sz w:val="28"/>
          <w:szCs w:val="28"/>
        </w:rPr>
        <w:t xml:space="preserve"> is an empirical coefficient that describes the relative contributions of turbulent updrafts and downdrafts to the flux, with a theoretical value of 0.627</w:t>
      </w:r>
      <w:r>
        <w:rPr>
          <w:rFonts w:hint="eastAsia" w:cs="Times New Roman"/>
          <w:sz w:val="28"/>
          <w:szCs w:val="28"/>
          <w:vertAlign w:val="superscript"/>
        </w:rPr>
        <w:t>[21]</w:t>
      </w:r>
      <w:r>
        <w:rPr>
          <w:rFonts w:cs="Times New Roman"/>
          <w:sz w:val="28"/>
          <w:szCs w:val="28"/>
        </w:rPr>
        <w:t xml:space="preserve">, </w:t>
      </w:r>
      <w:r>
        <w:rPr>
          <w:rFonts w:cs="Times New Roman"/>
          <w:i/>
          <w:iCs/>
          <w:sz w:val="28"/>
          <w:szCs w:val="28"/>
        </w:rPr>
        <w:t>σ</w:t>
      </w:r>
      <w:r>
        <w:rPr>
          <w:rFonts w:cs="Times New Roman"/>
          <w:i/>
          <w:iCs/>
          <w:sz w:val="28"/>
          <w:szCs w:val="28"/>
          <w:vertAlign w:val="subscript"/>
        </w:rPr>
        <w:t>w</w:t>
      </w:r>
      <w:r>
        <w:rPr>
          <w:rFonts w:cs="Times New Roman"/>
          <w:sz w:val="28"/>
          <w:szCs w:val="28"/>
        </w:rPr>
        <w:t xml:space="preserve"> is the standard deviation of the vertical wind velocity, and </w:t>
      </w:r>
      <w:r>
        <w:rPr>
          <w:rFonts w:cs="Times New Roman"/>
          <w:i/>
          <w:iCs/>
          <w:sz w:val="28"/>
          <w:szCs w:val="28"/>
        </w:rPr>
        <w:t>C</w:t>
      </w:r>
      <w:r>
        <w:rPr>
          <w:rFonts w:cs="Times New Roman"/>
          <w:i/>
          <w:iCs/>
          <w:sz w:val="28"/>
          <w:szCs w:val="28"/>
          <w:vertAlign w:val="superscript"/>
        </w:rPr>
        <w:t>+</w:t>
      </w:r>
      <w:r>
        <w:rPr>
          <w:rFonts w:hint="eastAsia" w:cs="Times New Roman"/>
          <w:i/>
          <w:iCs/>
          <w:sz w:val="28"/>
          <w:szCs w:val="28"/>
          <w:vertAlign w:val="superscript"/>
        </w:rPr>
        <w:t xml:space="preserve"> </w:t>
      </w:r>
      <w:r>
        <w:rPr>
          <w:rFonts w:cs="Times New Roman"/>
          <w:sz w:val="28"/>
          <w:szCs w:val="28"/>
        </w:rPr>
        <w:t xml:space="preserve">and </w:t>
      </w:r>
      <w:r>
        <w:rPr>
          <w:rFonts w:cs="Times New Roman"/>
          <w:i/>
          <w:iCs/>
          <w:sz w:val="28"/>
          <w:szCs w:val="28"/>
        </w:rPr>
        <w:t>C</w:t>
      </w:r>
      <w:r>
        <w:rPr>
          <w:rFonts w:cs="Times New Roman"/>
          <w:i/>
          <w:iCs/>
          <w:sz w:val="28"/>
          <w:szCs w:val="28"/>
          <w:vertAlign w:val="superscript"/>
        </w:rPr>
        <w:t>-</w:t>
      </w:r>
      <w:r>
        <w:rPr>
          <w:rFonts w:cs="Times New Roman"/>
          <w:sz w:val="28"/>
          <w:szCs w:val="28"/>
        </w:rPr>
        <w:t xml:space="preserve"> are the mean concentrations of NH</w:t>
      </w:r>
      <w:r>
        <w:rPr>
          <w:rFonts w:cs="Times New Roman"/>
          <w:sz w:val="28"/>
          <w:szCs w:val="28"/>
          <w:vertAlign w:val="subscript"/>
        </w:rPr>
        <w:t>3</w:t>
      </w:r>
      <w:r>
        <w:rPr>
          <w:rFonts w:cs="Times New Roman"/>
          <w:sz w:val="28"/>
          <w:szCs w:val="28"/>
        </w:rPr>
        <w:t xml:space="preserve"> in the updraft and downdraft, respectively.</w:t>
      </w:r>
    </w:p>
    <w:p w14:paraId="77CF4DFD">
      <w:pPr>
        <w:widowControl/>
        <w:numPr>
          <w:ilvl w:val="0"/>
          <w:numId w:val="0"/>
        </w:numPr>
        <w:spacing w:line="480" w:lineRule="auto"/>
        <w:ind w:left="420" w:leftChars="0" w:hanging="420" w:firstLineChars="0"/>
        <w:rPr>
          <w:rFonts w:cs="Times New Roman"/>
          <w:sz w:val="28"/>
          <w:szCs w:val="28"/>
        </w:rPr>
      </w:pPr>
      <w:r>
        <w:rPr>
          <w:rFonts w:hint="default" w:ascii="Wingdings" w:hAnsi="Wingdings" w:cs="Times New Roman" w:eastAsiaTheme="minorEastAsia"/>
          <w:kern w:val="2"/>
          <w:sz w:val="28"/>
          <w:szCs w:val="28"/>
          <w:lang w:val="en-US" w:eastAsia="zh-CN" w:bidi="ar-SA"/>
        </w:rPr>
        <w:t></w:t>
      </w:r>
      <w:r>
        <w:rPr>
          <w:rFonts w:cs="Times New Roman"/>
          <w:b/>
          <w:bCs/>
          <w:sz w:val="28"/>
          <w:szCs w:val="28"/>
        </w:rPr>
        <w:t>Eddy covariance (EC)</w:t>
      </w:r>
    </w:p>
    <w:p w14:paraId="29D4E002">
      <w:pPr>
        <w:widowControl/>
        <w:spacing w:line="480" w:lineRule="auto"/>
        <w:rPr>
          <w:rFonts w:cs="Times New Roman"/>
          <w:sz w:val="28"/>
          <w:szCs w:val="28"/>
        </w:rPr>
      </w:pPr>
      <w:r>
        <w:rPr>
          <w:rFonts w:hint="eastAsia" w:cs="Times New Roman"/>
          <w:sz w:val="28"/>
          <w:szCs w:val="28"/>
        </w:rPr>
        <w:t>This method</w:t>
      </w:r>
      <w:r>
        <w:rPr>
          <w:rFonts w:cs="Times New Roman"/>
          <w:sz w:val="28"/>
          <w:szCs w:val="28"/>
        </w:rPr>
        <w:t xml:space="preserve"> requires fast-response, and highly sensitive NH</w:t>
      </w:r>
      <w:r>
        <w:rPr>
          <w:rFonts w:cs="Times New Roman"/>
          <w:sz w:val="28"/>
          <w:szCs w:val="28"/>
          <w:vertAlign w:val="subscript"/>
        </w:rPr>
        <w:t>3</w:t>
      </w:r>
      <w:r>
        <w:rPr>
          <w:rFonts w:cs="Times New Roman"/>
          <w:sz w:val="28"/>
          <w:szCs w:val="28"/>
        </w:rPr>
        <w:t xml:space="preserve"> analyzers, such as a solar-powered open-path NH</w:t>
      </w:r>
      <w:r>
        <w:rPr>
          <w:rFonts w:cs="Times New Roman"/>
          <w:sz w:val="28"/>
          <w:szCs w:val="28"/>
          <w:vertAlign w:val="subscript"/>
        </w:rPr>
        <w:t>3</w:t>
      </w:r>
      <w:r>
        <w:rPr>
          <w:rFonts w:cs="Times New Roman"/>
          <w:sz w:val="28"/>
          <w:szCs w:val="28"/>
        </w:rPr>
        <w:t xml:space="preserve"> analyzer, and a 3D sonic anemometer. Currently, EddyPro software is used to calculate EC fluxes following widely accepted methodologies</w:t>
      </w:r>
      <w:r>
        <w:rPr>
          <w:rFonts w:hint="eastAsia" w:cs="Times New Roman"/>
          <w:sz w:val="28"/>
          <w:szCs w:val="28"/>
          <w:vertAlign w:val="superscript"/>
        </w:rPr>
        <w:t>[22]</w:t>
      </w:r>
      <w:r>
        <w:rPr>
          <w:rFonts w:cs="Times New Roman"/>
          <w:sz w:val="28"/>
          <w:szCs w:val="28"/>
        </w:rPr>
        <w:t xml:space="preserve">. </w:t>
      </w:r>
    </w:p>
    <w:p w14:paraId="74CCF6A7">
      <w:pPr>
        <w:widowControl/>
        <w:spacing w:line="480" w:lineRule="auto"/>
        <w:rPr>
          <w:rFonts w:cs="Times New Roman"/>
          <w:sz w:val="28"/>
          <w:szCs w:val="28"/>
        </w:rPr>
      </w:pPr>
      <w:r>
        <w:rPr>
          <w:rFonts w:cs="Times New Roman"/>
          <w:sz w:val="28"/>
          <w:szCs w:val="28"/>
        </w:rPr>
        <w:t>The following equation is used to calculate the NH</w:t>
      </w:r>
      <w:r>
        <w:rPr>
          <w:rFonts w:cs="Times New Roman"/>
          <w:sz w:val="28"/>
          <w:szCs w:val="28"/>
          <w:vertAlign w:val="subscript"/>
        </w:rPr>
        <w:t>3</w:t>
      </w:r>
      <w:r>
        <w:rPr>
          <w:rFonts w:cs="Times New Roman"/>
          <w:sz w:val="28"/>
          <w:szCs w:val="28"/>
        </w:rPr>
        <w:t xml:space="preserve"> flux:</w:t>
      </w:r>
    </w:p>
    <w:p w14:paraId="16E649A7">
      <w:pPr>
        <w:widowControl/>
        <w:spacing w:line="480" w:lineRule="auto"/>
        <w:jc w:val="left"/>
        <w:rPr>
          <w:rFonts w:cs="Times New Roman"/>
          <w:sz w:val="28"/>
          <w:szCs w:val="28"/>
        </w:rPr>
      </w:pPr>
      <m:oMathPara>
        <m:oMath>
          <m:r>
            <m:rPr/>
            <w:rPr>
              <w:rFonts w:cs="Times New Roman"/>
              <w:sz w:val="28"/>
              <w:szCs w:val="28"/>
            </w:rPr>
            <m:t>F=A</m:t>
          </m:r>
          <m:d>
            <m:dPr>
              <m:begChr m:val="["/>
              <m:endChr m:val="]"/>
              <m:ctrlPr>
                <w:rPr>
                  <w:rFonts w:ascii="Cambria Math" w:hAnsi="Cambria Math" w:cs="Times New Roman"/>
                  <w:i/>
                  <w:iCs/>
                  <w:sz w:val="28"/>
                  <w:szCs w:val="28"/>
                </w:rPr>
              </m:ctrlPr>
            </m:dPr>
            <m:e>
              <m:bar>
                <m:barPr>
                  <m:pos m:val="top"/>
                  <m:ctrlPr>
                    <w:rPr>
                      <w:rFonts w:ascii="Cambria Math" w:hAnsi="Cambria Math" w:cs="Times New Roman"/>
                      <w:i/>
                      <w:iCs/>
                      <w:sz w:val="28"/>
                      <w:szCs w:val="28"/>
                    </w:rPr>
                  </m:ctrlPr>
                </m:barPr>
                <m:e>
                  <m:sSubSup>
                    <m:sSubSupPr>
                      <m:ctrlPr>
                        <w:rPr>
                          <w:rFonts w:ascii="Cambria Math" w:hAnsi="Cambria Math" w:cs="Times New Roman"/>
                          <w:i/>
                          <w:iCs/>
                          <w:sz w:val="28"/>
                          <w:szCs w:val="28"/>
                        </w:rPr>
                      </m:ctrlPr>
                    </m:sSubSupPr>
                    <m:e>
                      <m:sSup>
                        <m:sSupPr>
                          <m:ctrlPr>
                            <w:rPr>
                              <w:rFonts w:ascii="Cambria Math" w:hAnsi="Cambria Math" w:cs="Times New Roman"/>
                              <w:i/>
                              <w:iCs/>
                              <w:sz w:val="28"/>
                              <w:szCs w:val="28"/>
                            </w:rPr>
                          </m:ctrlPr>
                        </m:sSupPr>
                        <m:e>
                          <m:r>
                            <m:rPr/>
                            <w:rPr>
                              <w:rFonts w:cs="Times New Roman"/>
                              <w:sz w:val="28"/>
                              <w:szCs w:val="28"/>
                            </w:rPr>
                            <m:t>w</m:t>
                          </m:r>
                          <m:ctrlPr>
                            <w:rPr>
                              <w:rFonts w:ascii="Cambria Math" w:hAnsi="Cambria Math" w:cs="Times New Roman"/>
                              <w:i/>
                              <w:iCs/>
                              <w:sz w:val="28"/>
                              <w:szCs w:val="28"/>
                            </w:rPr>
                          </m:ctrlPr>
                        </m:e>
                        <m:sup>
                          <m:r>
                            <m:rPr/>
                            <w:rPr>
                              <w:rFonts w:cs="Times New Roman"/>
                              <w:sz w:val="28"/>
                              <w:szCs w:val="28"/>
                            </w:rPr>
                            <m:t>'</m:t>
                          </m:r>
                          <m:ctrlPr>
                            <w:rPr>
                              <w:rFonts w:ascii="Cambria Math" w:hAnsi="Cambria Math" w:cs="Times New Roman"/>
                              <w:i/>
                              <w:iCs/>
                              <w:sz w:val="28"/>
                              <w:szCs w:val="28"/>
                            </w:rPr>
                          </m:ctrlPr>
                        </m:sup>
                      </m:sSup>
                      <m:r>
                        <m:rPr/>
                        <w:rPr>
                          <w:rFonts w:cs="Times New Roman"/>
                          <w:sz w:val="28"/>
                          <w:szCs w:val="28"/>
                        </w:rPr>
                        <m:t>ρ</m:t>
                      </m:r>
                      <m:ctrlPr>
                        <w:rPr>
                          <w:rFonts w:ascii="Cambria Math" w:hAnsi="Cambria Math" w:cs="Times New Roman"/>
                          <w:i/>
                          <w:iCs/>
                          <w:sz w:val="28"/>
                          <w:szCs w:val="28"/>
                        </w:rPr>
                      </m:ctrlPr>
                    </m:e>
                    <m:sub>
                      <m:r>
                        <m:rPr/>
                        <w:rPr>
                          <w:rFonts w:cs="Times New Roman"/>
                          <w:sz w:val="28"/>
                          <w:szCs w:val="28"/>
                        </w:rPr>
                        <m:t>A</m:t>
                      </m:r>
                      <m:ctrlPr>
                        <w:rPr>
                          <w:rFonts w:ascii="Cambria Math" w:hAnsi="Cambria Math" w:cs="Times New Roman"/>
                          <w:i/>
                          <w:iCs/>
                          <w:sz w:val="28"/>
                          <w:szCs w:val="28"/>
                        </w:rPr>
                      </m:ctrlPr>
                    </m:sub>
                    <m:sup>
                      <m:r>
                        <m:rPr/>
                        <w:rPr>
                          <w:rFonts w:cs="Times New Roman"/>
                          <w:sz w:val="28"/>
                          <w:szCs w:val="28"/>
                        </w:rPr>
                        <m:t>'</m:t>
                      </m:r>
                      <m:ctrlPr>
                        <w:rPr>
                          <w:rFonts w:ascii="Cambria Math" w:hAnsi="Cambria Math" w:cs="Times New Roman"/>
                          <w:i/>
                          <w:iCs/>
                          <w:sz w:val="28"/>
                          <w:szCs w:val="28"/>
                        </w:rPr>
                      </m:ctrlPr>
                    </m:sup>
                  </m:sSubSup>
                  <m:ctrlPr>
                    <w:rPr>
                      <w:rFonts w:ascii="Cambria Math" w:hAnsi="Cambria Math" w:cs="Times New Roman"/>
                      <w:i/>
                      <w:iCs/>
                      <w:sz w:val="28"/>
                      <w:szCs w:val="28"/>
                    </w:rPr>
                  </m:ctrlPr>
                </m:e>
              </m:bar>
              <m:r>
                <m:rPr/>
                <w:rPr>
                  <w:rFonts w:cs="Times New Roman"/>
                  <w:sz w:val="28"/>
                  <w:szCs w:val="28"/>
                </w:rPr>
                <m:t>+Bμ</m:t>
              </m:r>
              <m:f>
                <m:fPr>
                  <m:ctrlPr>
                    <w:rPr>
                      <w:rFonts w:ascii="Cambria Math" w:hAnsi="Cambria Math" w:cs="Times New Roman"/>
                      <w:i/>
                      <w:iCs/>
                      <w:sz w:val="28"/>
                      <w:szCs w:val="28"/>
                    </w:rPr>
                  </m:ctrlPr>
                </m:fPr>
                <m:num>
                  <m:bar>
                    <m:barPr>
                      <m:pos m:val="top"/>
                      <m:ctrlPr>
                        <w:rPr>
                          <w:rFonts w:ascii="Cambria Math" w:hAnsi="Cambria Math" w:cs="Times New Roman"/>
                          <w:i/>
                          <w:iCs/>
                          <w:sz w:val="28"/>
                          <w:szCs w:val="28"/>
                        </w:rPr>
                      </m:ctrlPr>
                    </m:barPr>
                    <m:e>
                      <m:sSub>
                        <m:sSubPr>
                          <m:ctrlPr>
                            <w:rPr>
                              <w:rFonts w:ascii="Cambria Math" w:hAnsi="Cambria Math" w:cs="Times New Roman"/>
                              <w:i/>
                              <w:iCs/>
                              <w:sz w:val="28"/>
                              <w:szCs w:val="28"/>
                            </w:rPr>
                          </m:ctrlPr>
                        </m:sSubPr>
                        <m:e>
                          <m:r>
                            <m:rPr/>
                            <w:rPr>
                              <w:rFonts w:cs="Times New Roman"/>
                              <w:sz w:val="28"/>
                              <w:szCs w:val="28"/>
                            </w:rPr>
                            <m:t>ρ</m:t>
                          </m:r>
                          <m:ctrlPr>
                            <w:rPr>
                              <w:rFonts w:ascii="Cambria Math" w:hAnsi="Cambria Math" w:cs="Times New Roman"/>
                              <w:i/>
                              <w:iCs/>
                              <w:sz w:val="28"/>
                              <w:szCs w:val="28"/>
                            </w:rPr>
                          </m:ctrlPr>
                        </m:e>
                        <m:sub>
                          <m:r>
                            <m:rPr/>
                            <w:rPr>
                              <w:rFonts w:cs="Times New Roman"/>
                              <w:sz w:val="28"/>
                              <w:szCs w:val="28"/>
                            </w:rPr>
                            <m:t>A</m:t>
                          </m:r>
                          <m:ctrlPr>
                            <w:rPr>
                              <w:rFonts w:ascii="Cambria Math" w:hAnsi="Cambria Math" w:cs="Times New Roman"/>
                              <w:i/>
                              <w:iCs/>
                              <w:sz w:val="28"/>
                              <w:szCs w:val="28"/>
                            </w:rPr>
                          </m:ctrlPr>
                        </m:sub>
                      </m:sSub>
                      <m:ctrlPr>
                        <w:rPr>
                          <w:rFonts w:ascii="Cambria Math" w:hAnsi="Cambria Math" w:cs="Times New Roman"/>
                          <w:i/>
                          <w:iCs/>
                          <w:sz w:val="28"/>
                          <w:szCs w:val="28"/>
                        </w:rPr>
                      </m:ctrlPr>
                    </m:e>
                  </m:bar>
                  <m:ctrlPr>
                    <w:rPr>
                      <w:rFonts w:ascii="Cambria Math" w:hAnsi="Cambria Math" w:cs="Times New Roman"/>
                      <w:i/>
                      <w:iCs/>
                      <w:sz w:val="28"/>
                      <w:szCs w:val="28"/>
                    </w:rPr>
                  </m:ctrlPr>
                </m:num>
                <m:den>
                  <m:bar>
                    <m:barPr>
                      <m:pos m:val="top"/>
                      <m:ctrlPr>
                        <w:rPr>
                          <w:rFonts w:ascii="Cambria Math" w:hAnsi="Cambria Math" w:cs="Times New Roman"/>
                          <w:i/>
                          <w:iCs/>
                          <w:sz w:val="28"/>
                          <w:szCs w:val="28"/>
                        </w:rPr>
                      </m:ctrlPr>
                    </m:barPr>
                    <m:e>
                      <m:sSub>
                        <m:sSubPr>
                          <m:ctrlPr>
                            <w:rPr>
                              <w:rFonts w:ascii="Cambria Math" w:hAnsi="Cambria Math" w:cs="Times New Roman"/>
                              <w:i/>
                              <w:iCs/>
                              <w:sz w:val="28"/>
                              <w:szCs w:val="28"/>
                            </w:rPr>
                          </m:ctrlPr>
                        </m:sSubPr>
                        <m:e>
                          <m:r>
                            <m:rPr/>
                            <w:rPr>
                              <w:rFonts w:cs="Times New Roman"/>
                              <w:sz w:val="28"/>
                              <w:szCs w:val="28"/>
                            </w:rPr>
                            <m:t>ρ</m:t>
                          </m:r>
                          <m:ctrlPr>
                            <w:rPr>
                              <w:rFonts w:ascii="Cambria Math" w:hAnsi="Cambria Math" w:cs="Times New Roman"/>
                              <w:i/>
                              <w:iCs/>
                              <w:sz w:val="28"/>
                              <w:szCs w:val="28"/>
                            </w:rPr>
                          </m:ctrlPr>
                        </m:e>
                        <m:sub>
                          <m:r>
                            <m:rPr/>
                            <w:rPr>
                              <w:rFonts w:cs="Times New Roman"/>
                              <w:sz w:val="28"/>
                              <w:szCs w:val="28"/>
                            </w:rPr>
                            <m:t>d</m:t>
                          </m:r>
                          <m:ctrlPr>
                            <w:rPr>
                              <w:rFonts w:ascii="Cambria Math" w:hAnsi="Cambria Math" w:cs="Times New Roman"/>
                              <w:i/>
                              <w:iCs/>
                              <w:sz w:val="28"/>
                              <w:szCs w:val="28"/>
                            </w:rPr>
                          </m:ctrlPr>
                        </m:sub>
                      </m:sSub>
                      <m:ctrlPr>
                        <w:rPr>
                          <w:rFonts w:ascii="Cambria Math" w:hAnsi="Cambria Math" w:cs="Times New Roman"/>
                          <w:i/>
                          <w:iCs/>
                          <w:sz w:val="28"/>
                          <w:szCs w:val="28"/>
                        </w:rPr>
                      </m:ctrlPr>
                    </m:e>
                  </m:bar>
                  <m:ctrlPr>
                    <w:rPr>
                      <w:rFonts w:ascii="Cambria Math" w:hAnsi="Cambria Math" w:cs="Times New Roman"/>
                      <w:i/>
                      <w:iCs/>
                      <w:sz w:val="28"/>
                      <w:szCs w:val="28"/>
                    </w:rPr>
                  </m:ctrlPr>
                </m:den>
              </m:f>
              <m:sSup>
                <m:sSupPr>
                  <m:ctrlPr>
                    <w:rPr>
                      <w:rFonts w:ascii="Cambria Math" w:hAnsi="Cambria Math" w:cs="Times New Roman"/>
                      <w:i/>
                      <w:iCs/>
                      <w:sz w:val="28"/>
                      <w:szCs w:val="28"/>
                    </w:rPr>
                  </m:ctrlPr>
                </m:sSupPr>
                <m:e>
                  <m:r>
                    <m:rPr/>
                    <w:rPr>
                      <w:rFonts w:cs="Times New Roman"/>
                      <w:sz w:val="28"/>
                      <w:szCs w:val="28"/>
                    </w:rPr>
                    <m:t>w</m:t>
                  </m:r>
                  <m:ctrlPr>
                    <w:rPr>
                      <w:rFonts w:ascii="Cambria Math" w:hAnsi="Cambria Math" w:cs="Times New Roman"/>
                      <w:i/>
                      <w:iCs/>
                      <w:sz w:val="28"/>
                      <w:szCs w:val="28"/>
                    </w:rPr>
                  </m:ctrlPr>
                </m:e>
                <m:sup>
                  <m:r>
                    <m:rPr/>
                    <w:rPr>
                      <w:rFonts w:cs="Times New Roman"/>
                      <w:sz w:val="28"/>
                      <w:szCs w:val="28"/>
                    </w:rPr>
                    <m:t>'</m:t>
                  </m:r>
                  <m:ctrlPr>
                    <w:rPr>
                      <w:rFonts w:ascii="Cambria Math" w:hAnsi="Cambria Math" w:cs="Times New Roman"/>
                      <w:i/>
                      <w:iCs/>
                      <w:sz w:val="28"/>
                      <w:szCs w:val="28"/>
                    </w:rPr>
                  </m:ctrlPr>
                </m:sup>
              </m:sSup>
              <m:sSubSup>
                <m:sSubSupPr>
                  <m:ctrlPr>
                    <w:rPr>
                      <w:rFonts w:ascii="Cambria Math" w:hAnsi="Cambria Math" w:cs="Times New Roman"/>
                      <w:i/>
                      <w:iCs/>
                      <w:sz w:val="28"/>
                      <w:szCs w:val="28"/>
                    </w:rPr>
                  </m:ctrlPr>
                </m:sSubSupPr>
                <m:e>
                  <m:r>
                    <m:rPr/>
                    <w:rPr>
                      <w:rFonts w:cs="Times New Roman"/>
                      <w:sz w:val="28"/>
                      <w:szCs w:val="28"/>
                    </w:rPr>
                    <m:t>ρ</m:t>
                  </m:r>
                  <m:ctrlPr>
                    <w:rPr>
                      <w:rFonts w:ascii="Cambria Math" w:hAnsi="Cambria Math" w:cs="Times New Roman"/>
                      <w:i/>
                      <w:iCs/>
                      <w:sz w:val="28"/>
                      <w:szCs w:val="28"/>
                    </w:rPr>
                  </m:ctrlPr>
                </m:e>
                <m:sub>
                  <m:r>
                    <m:rPr/>
                    <w:rPr>
                      <w:rFonts w:cs="Times New Roman"/>
                      <w:sz w:val="28"/>
                      <w:szCs w:val="28"/>
                    </w:rPr>
                    <m:t>v</m:t>
                  </m:r>
                  <m:ctrlPr>
                    <w:rPr>
                      <w:rFonts w:ascii="Cambria Math" w:hAnsi="Cambria Math" w:cs="Times New Roman"/>
                      <w:i/>
                      <w:iCs/>
                      <w:sz w:val="28"/>
                      <w:szCs w:val="28"/>
                    </w:rPr>
                  </m:ctrlPr>
                </m:sub>
                <m:sup>
                  <m:r>
                    <m:rPr/>
                    <w:rPr>
                      <w:rFonts w:cs="Times New Roman"/>
                      <w:sz w:val="28"/>
                      <w:szCs w:val="28"/>
                    </w:rPr>
                    <m:t>'</m:t>
                  </m:r>
                  <m:ctrlPr>
                    <w:rPr>
                      <w:rFonts w:ascii="Cambria Math" w:hAnsi="Cambria Math" w:cs="Times New Roman"/>
                      <w:i/>
                      <w:iCs/>
                      <w:sz w:val="28"/>
                      <w:szCs w:val="28"/>
                    </w:rPr>
                  </m:ctrlPr>
                </m:sup>
              </m:sSubSup>
              <m:r>
                <m:rPr/>
                <w:rPr>
                  <w:rFonts w:cs="Times New Roman"/>
                  <w:sz w:val="28"/>
                  <w:szCs w:val="28"/>
                </w:rPr>
                <m:t>+C(1+μ</m:t>
              </m:r>
              <m:f>
                <m:fPr>
                  <m:ctrlPr>
                    <w:rPr>
                      <w:rFonts w:ascii="Cambria Math" w:hAnsi="Cambria Math" w:cs="Times New Roman"/>
                      <w:i/>
                      <w:iCs/>
                      <w:sz w:val="28"/>
                      <w:szCs w:val="28"/>
                    </w:rPr>
                  </m:ctrlPr>
                </m:fPr>
                <m:num>
                  <m:bar>
                    <m:barPr>
                      <m:pos m:val="top"/>
                      <m:ctrlPr>
                        <w:rPr>
                          <w:rFonts w:ascii="Cambria Math" w:hAnsi="Cambria Math" w:cs="Times New Roman"/>
                          <w:i/>
                          <w:iCs/>
                          <w:sz w:val="28"/>
                          <w:szCs w:val="28"/>
                        </w:rPr>
                      </m:ctrlPr>
                    </m:barPr>
                    <m:e>
                      <m:sSub>
                        <m:sSubPr>
                          <m:ctrlPr>
                            <w:rPr>
                              <w:rFonts w:ascii="Cambria Math" w:hAnsi="Cambria Math" w:cs="Times New Roman"/>
                              <w:i/>
                              <w:iCs/>
                              <w:sz w:val="28"/>
                              <w:szCs w:val="28"/>
                            </w:rPr>
                          </m:ctrlPr>
                        </m:sSubPr>
                        <m:e>
                          <m:r>
                            <m:rPr/>
                            <w:rPr>
                              <w:rFonts w:cs="Times New Roman"/>
                              <w:sz w:val="28"/>
                              <w:szCs w:val="28"/>
                            </w:rPr>
                            <m:t>ρ</m:t>
                          </m:r>
                          <m:ctrlPr>
                            <w:rPr>
                              <w:rFonts w:ascii="Cambria Math" w:hAnsi="Cambria Math" w:cs="Times New Roman"/>
                              <w:i/>
                              <w:iCs/>
                              <w:sz w:val="28"/>
                              <w:szCs w:val="28"/>
                            </w:rPr>
                          </m:ctrlPr>
                        </m:e>
                        <m:sub>
                          <m:r>
                            <m:rPr/>
                            <w:rPr>
                              <w:rFonts w:cs="Times New Roman"/>
                              <w:sz w:val="28"/>
                              <w:szCs w:val="28"/>
                            </w:rPr>
                            <m:t>v</m:t>
                          </m:r>
                          <m:ctrlPr>
                            <w:rPr>
                              <w:rFonts w:ascii="Cambria Math" w:hAnsi="Cambria Math" w:cs="Times New Roman"/>
                              <w:i/>
                              <w:iCs/>
                              <w:sz w:val="28"/>
                              <w:szCs w:val="28"/>
                            </w:rPr>
                          </m:ctrlPr>
                        </m:sub>
                      </m:sSub>
                      <m:ctrlPr>
                        <w:rPr>
                          <w:rFonts w:ascii="Cambria Math" w:hAnsi="Cambria Math" w:cs="Times New Roman"/>
                          <w:i/>
                          <w:iCs/>
                          <w:sz w:val="28"/>
                          <w:szCs w:val="28"/>
                        </w:rPr>
                      </m:ctrlPr>
                    </m:e>
                  </m:bar>
                  <m:ctrlPr>
                    <w:rPr>
                      <w:rFonts w:ascii="Cambria Math" w:hAnsi="Cambria Math" w:cs="Times New Roman"/>
                      <w:i/>
                      <w:iCs/>
                      <w:sz w:val="28"/>
                      <w:szCs w:val="28"/>
                    </w:rPr>
                  </m:ctrlPr>
                </m:num>
                <m:den>
                  <m:bar>
                    <m:barPr>
                      <m:pos m:val="top"/>
                      <m:ctrlPr>
                        <w:rPr>
                          <w:rFonts w:ascii="Cambria Math" w:hAnsi="Cambria Math" w:cs="Times New Roman"/>
                          <w:i/>
                          <w:iCs/>
                          <w:sz w:val="28"/>
                          <w:szCs w:val="28"/>
                        </w:rPr>
                      </m:ctrlPr>
                    </m:barPr>
                    <m:e>
                      <m:sSub>
                        <m:sSubPr>
                          <m:ctrlPr>
                            <w:rPr>
                              <w:rFonts w:ascii="Cambria Math" w:hAnsi="Cambria Math" w:cs="Times New Roman"/>
                              <w:i/>
                              <w:iCs/>
                              <w:sz w:val="28"/>
                              <w:szCs w:val="28"/>
                            </w:rPr>
                          </m:ctrlPr>
                        </m:sSubPr>
                        <m:e>
                          <m:r>
                            <m:rPr/>
                            <w:rPr>
                              <w:rFonts w:cs="Times New Roman"/>
                              <w:sz w:val="28"/>
                              <w:szCs w:val="28"/>
                            </w:rPr>
                            <m:t>ρ</m:t>
                          </m:r>
                          <m:ctrlPr>
                            <w:rPr>
                              <w:rFonts w:ascii="Cambria Math" w:hAnsi="Cambria Math" w:cs="Times New Roman"/>
                              <w:i/>
                              <w:iCs/>
                              <w:sz w:val="28"/>
                              <w:szCs w:val="28"/>
                            </w:rPr>
                          </m:ctrlPr>
                        </m:e>
                        <m:sub>
                          <m:r>
                            <m:rPr/>
                            <w:rPr>
                              <w:rFonts w:cs="Times New Roman"/>
                              <w:sz w:val="28"/>
                              <w:szCs w:val="28"/>
                            </w:rPr>
                            <m:t>d</m:t>
                          </m:r>
                          <m:ctrlPr>
                            <w:rPr>
                              <w:rFonts w:ascii="Cambria Math" w:hAnsi="Cambria Math" w:cs="Times New Roman"/>
                              <w:i/>
                              <w:iCs/>
                              <w:sz w:val="28"/>
                              <w:szCs w:val="28"/>
                            </w:rPr>
                          </m:ctrlPr>
                        </m:sub>
                      </m:sSub>
                      <m:ctrlPr>
                        <w:rPr>
                          <w:rFonts w:ascii="Cambria Math" w:hAnsi="Cambria Math" w:cs="Times New Roman"/>
                          <w:i/>
                          <w:iCs/>
                          <w:sz w:val="28"/>
                          <w:szCs w:val="28"/>
                        </w:rPr>
                      </m:ctrlPr>
                    </m:e>
                  </m:bar>
                  <m:ctrlPr>
                    <w:rPr>
                      <w:rFonts w:ascii="Cambria Math" w:hAnsi="Cambria Math" w:cs="Times New Roman"/>
                      <w:i/>
                      <w:iCs/>
                      <w:sz w:val="28"/>
                      <w:szCs w:val="28"/>
                    </w:rPr>
                  </m:ctrlPr>
                </m:den>
              </m:f>
              <m:r>
                <m:rPr/>
                <w:rPr>
                  <w:rFonts w:cs="Times New Roman"/>
                  <w:sz w:val="28"/>
                  <w:szCs w:val="28"/>
                </w:rPr>
                <m:t>)</m:t>
              </m:r>
              <m:f>
                <m:fPr>
                  <m:ctrlPr>
                    <w:rPr>
                      <w:rFonts w:ascii="Cambria Math" w:hAnsi="Cambria Math" w:cs="Times New Roman"/>
                      <w:i/>
                      <w:iCs/>
                      <w:sz w:val="28"/>
                      <w:szCs w:val="28"/>
                    </w:rPr>
                  </m:ctrlPr>
                </m:fPr>
                <m:num>
                  <m:bar>
                    <m:barPr>
                      <m:pos m:val="top"/>
                      <m:ctrlPr>
                        <w:rPr>
                          <w:rFonts w:ascii="Cambria Math" w:hAnsi="Cambria Math" w:cs="Times New Roman"/>
                          <w:i/>
                          <w:iCs/>
                          <w:sz w:val="28"/>
                          <w:szCs w:val="28"/>
                        </w:rPr>
                      </m:ctrlPr>
                    </m:barPr>
                    <m:e>
                      <m:sSub>
                        <m:sSubPr>
                          <m:ctrlPr>
                            <w:rPr>
                              <w:rFonts w:ascii="Cambria Math" w:hAnsi="Cambria Math" w:cs="Times New Roman"/>
                              <w:i/>
                              <w:iCs/>
                              <w:sz w:val="28"/>
                              <w:szCs w:val="28"/>
                            </w:rPr>
                          </m:ctrlPr>
                        </m:sSubPr>
                        <m:e>
                          <m:r>
                            <m:rPr/>
                            <w:rPr>
                              <w:rFonts w:cs="Times New Roman"/>
                              <w:sz w:val="28"/>
                              <w:szCs w:val="28"/>
                            </w:rPr>
                            <m:t>ρ</m:t>
                          </m:r>
                          <m:ctrlPr>
                            <w:rPr>
                              <w:rFonts w:ascii="Cambria Math" w:hAnsi="Cambria Math" w:cs="Times New Roman"/>
                              <w:i/>
                              <w:iCs/>
                              <w:sz w:val="28"/>
                              <w:szCs w:val="28"/>
                            </w:rPr>
                          </m:ctrlPr>
                        </m:e>
                        <m:sub>
                          <m:r>
                            <m:rPr/>
                            <w:rPr>
                              <w:rFonts w:cs="Times New Roman"/>
                              <w:sz w:val="28"/>
                              <w:szCs w:val="28"/>
                            </w:rPr>
                            <m:t>A</m:t>
                          </m:r>
                          <m:ctrlPr>
                            <w:rPr>
                              <w:rFonts w:ascii="Cambria Math" w:hAnsi="Cambria Math" w:cs="Times New Roman"/>
                              <w:i/>
                              <w:iCs/>
                              <w:sz w:val="28"/>
                              <w:szCs w:val="28"/>
                            </w:rPr>
                          </m:ctrlPr>
                        </m:sub>
                      </m:sSub>
                      <m:ctrlPr>
                        <w:rPr>
                          <w:rFonts w:ascii="Cambria Math" w:hAnsi="Cambria Math" w:cs="Times New Roman"/>
                          <w:i/>
                          <w:iCs/>
                          <w:sz w:val="28"/>
                          <w:szCs w:val="28"/>
                        </w:rPr>
                      </m:ctrlPr>
                    </m:e>
                  </m:bar>
                  <m:ctrlPr>
                    <w:rPr>
                      <w:rFonts w:ascii="Cambria Math" w:hAnsi="Cambria Math" w:cs="Times New Roman"/>
                      <w:i/>
                      <w:iCs/>
                      <w:sz w:val="28"/>
                      <w:szCs w:val="28"/>
                    </w:rPr>
                  </m:ctrlPr>
                </m:num>
                <m:den>
                  <m:bar>
                    <m:barPr>
                      <m:pos m:val="top"/>
                      <m:ctrlPr>
                        <w:rPr>
                          <w:rFonts w:ascii="Cambria Math" w:hAnsi="Cambria Math" w:cs="Times New Roman"/>
                          <w:i/>
                          <w:iCs/>
                          <w:sz w:val="28"/>
                          <w:szCs w:val="28"/>
                        </w:rPr>
                      </m:ctrlPr>
                    </m:barPr>
                    <m:e>
                      <m:sSub>
                        <m:sSubPr>
                          <m:ctrlPr>
                            <w:rPr>
                              <w:rFonts w:ascii="Cambria Math" w:hAnsi="Cambria Math" w:cs="Times New Roman"/>
                              <w:i/>
                              <w:iCs/>
                              <w:sz w:val="28"/>
                              <w:szCs w:val="28"/>
                            </w:rPr>
                          </m:ctrlPr>
                        </m:sSubPr>
                        <m:e>
                          <m:r>
                            <m:rPr/>
                            <w:rPr>
                              <w:rFonts w:cs="Times New Roman"/>
                              <w:sz w:val="28"/>
                              <w:szCs w:val="28"/>
                            </w:rPr>
                            <m:t>T</m:t>
                          </m:r>
                          <m:ctrlPr>
                            <w:rPr>
                              <w:rFonts w:ascii="Cambria Math" w:hAnsi="Cambria Math" w:cs="Times New Roman"/>
                              <w:i/>
                              <w:iCs/>
                              <w:sz w:val="28"/>
                              <w:szCs w:val="28"/>
                            </w:rPr>
                          </m:ctrlPr>
                        </m:e>
                        <m:sub>
                          <m:r>
                            <m:rPr/>
                            <w:rPr>
                              <w:rFonts w:cs="Times New Roman"/>
                              <w:sz w:val="28"/>
                              <w:szCs w:val="28"/>
                            </w:rPr>
                            <m:t>a</m:t>
                          </m:r>
                          <m:ctrlPr>
                            <w:rPr>
                              <w:rFonts w:ascii="Cambria Math" w:hAnsi="Cambria Math" w:cs="Times New Roman"/>
                              <w:i/>
                              <w:iCs/>
                              <w:sz w:val="28"/>
                              <w:szCs w:val="28"/>
                            </w:rPr>
                          </m:ctrlPr>
                        </m:sub>
                      </m:sSub>
                      <m:ctrlPr>
                        <w:rPr>
                          <w:rFonts w:ascii="Cambria Math" w:hAnsi="Cambria Math" w:cs="Times New Roman"/>
                          <w:i/>
                          <w:iCs/>
                          <w:sz w:val="28"/>
                          <w:szCs w:val="28"/>
                        </w:rPr>
                      </m:ctrlPr>
                    </m:e>
                  </m:bar>
                  <m:ctrlPr>
                    <w:rPr>
                      <w:rFonts w:ascii="Cambria Math" w:hAnsi="Cambria Math" w:cs="Times New Roman"/>
                      <w:i/>
                      <w:iCs/>
                      <w:sz w:val="28"/>
                      <w:szCs w:val="28"/>
                    </w:rPr>
                  </m:ctrlPr>
                </m:den>
              </m:f>
              <m:bar>
                <m:barPr>
                  <m:pos m:val="top"/>
                  <m:ctrlPr>
                    <w:rPr>
                      <w:rFonts w:ascii="Cambria Math" w:hAnsi="Cambria Math" w:cs="Times New Roman"/>
                      <w:i/>
                      <w:iCs/>
                      <w:sz w:val="28"/>
                      <w:szCs w:val="28"/>
                    </w:rPr>
                  </m:ctrlPr>
                </m:barPr>
                <m:e>
                  <m:sSup>
                    <m:sSupPr>
                      <m:ctrlPr>
                        <w:rPr>
                          <w:rFonts w:ascii="Cambria Math" w:hAnsi="Cambria Math" w:cs="Times New Roman"/>
                          <w:i/>
                          <w:iCs/>
                          <w:sz w:val="28"/>
                          <w:szCs w:val="28"/>
                        </w:rPr>
                      </m:ctrlPr>
                    </m:sSupPr>
                    <m:e>
                      <m:r>
                        <m:rPr/>
                        <w:rPr>
                          <w:rFonts w:cs="Times New Roman"/>
                          <w:sz w:val="28"/>
                          <w:szCs w:val="28"/>
                        </w:rPr>
                        <m:t>w</m:t>
                      </m:r>
                      <m:ctrlPr>
                        <w:rPr>
                          <w:rFonts w:ascii="Cambria Math" w:hAnsi="Cambria Math" w:cs="Times New Roman"/>
                          <w:i/>
                          <w:iCs/>
                          <w:sz w:val="28"/>
                          <w:szCs w:val="28"/>
                        </w:rPr>
                      </m:ctrlPr>
                    </m:e>
                    <m:sup>
                      <m:r>
                        <m:rPr/>
                        <w:rPr>
                          <w:rFonts w:cs="Times New Roman"/>
                          <w:sz w:val="28"/>
                          <w:szCs w:val="28"/>
                        </w:rPr>
                        <m:t>'</m:t>
                      </m:r>
                      <m:ctrlPr>
                        <w:rPr>
                          <w:rFonts w:ascii="Cambria Math" w:hAnsi="Cambria Math" w:cs="Times New Roman"/>
                          <w:i/>
                          <w:iCs/>
                          <w:sz w:val="28"/>
                          <w:szCs w:val="28"/>
                        </w:rPr>
                      </m:ctrlPr>
                    </m:sup>
                  </m:sSup>
                  <m:sSubSup>
                    <m:sSubSupPr>
                      <m:ctrlPr>
                        <w:rPr>
                          <w:rFonts w:ascii="Cambria Math" w:hAnsi="Cambria Math" w:cs="Times New Roman"/>
                          <w:i/>
                          <w:iCs/>
                          <w:sz w:val="28"/>
                          <w:szCs w:val="28"/>
                        </w:rPr>
                      </m:ctrlPr>
                    </m:sSubSupPr>
                    <m:e>
                      <m:r>
                        <m:rPr/>
                        <w:rPr>
                          <w:rFonts w:cs="Times New Roman"/>
                          <w:sz w:val="28"/>
                          <w:szCs w:val="28"/>
                        </w:rPr>
                        <m:t>T</m:t>
                      </m:r>
                      <m:ctrlPr>
                        <w:rPr>
                          <w:rFonts w:ascii="Cambria Math" w:hAnsi="Cambria Math" w:cs="Times New Roman"/>
                          <w:i/>
                          <w:iCs/>
                          <w:sz w:val="28"/>
                          <w:szCs w:val="28"/>
                        </w:rPr>
                      </m:ctrlPr>
                    </m:e>
                    <m:sub>
                      <m:r>
                        <m:rPr/>
                        <w:rPr>
                          <w:rFonts w:cs="Times New Roman"/>
                          <w:sz w:val="28"/>
                          <w:szCs w:val="28"/>
                        </w:rPr>
                        <m:t>a</m:t>
                      </m:r>
                      <m:ctrlPr>
                        <w:rPr>
                          <w:rFonts w:ascii="Cambria Math" w:hAnsi="Cambria Math" w:cs="Times New Roman"/>
                          <w:i/>
                          <w:iCs/>
                          <w:sz w:val="28"/>
                          <w:szCs w:val="28"/>
                        </w:rPr>
                      </m:ctrlPr>
                    </m:sub>
                    <m:sup>
                      <m:r>
                        <m:rPr/>
                        <w:rPr>
                          <w:rFonts w:cs="Times New Roman"/>
                          <w:sz w:val="28"/>
                          <w:szCs w:val="28"/>
                        </w:rPr>
                        <m:t>'</m:t>
                      </m:r>
                      <m:ctrlPr>
                        <w:rPr>
                          <w:rFonts w:ascii="Cambria Math" w:hAnsi="Cambria Math" w:cs="Times New Roman"/>
                          <w:i/>
                          <w:iCs/>
                          <w:sz w:val="28"/>
                          <w:szCs w:val="28"/>
                        </w:rPr>
                      </m:ctrlPr>
                    </m:sup>
                  </m:sSubSup>
                  <m:ctrlPr>
                    <w:rPr>
                      <w:rFonts w:ascii="Cambria Math" w:hAnsi="Cambria Math" w:cs="Times New Roman"/>
                      <w:i/>
                      <w:iCs/>
                      <w:sz w:val="28"/>
                      <w:szCs w:val="28"/>
                    </w:rPr>
                  </m:ctrlPr>
                </m:e>
              </m:bar>
              <m:ctrlPr>
                <w:rPr>
                  <w:rFonts w:ascii="Cambria Math" w:hAnsi="Cambria Math" w:cs="Times New Roman"/>
                  <w:i/>
                  <w:iCs/>
                  <w:sz w:val="28"/>
                  <w:szCs w:val="28"/>
                </w:rPr>
              </m:ctrlPr>
            </m:e>
          </m:d>
        </m:oMath>
      </m:oMathPara>
    </w:p>
    <w:p w14:paraId="084C1BB9">
      <w:pPr>
        <w:widowControl/>
        <w:spacing w:line="480" w:lineRule="auto"/>
        <w:rPr>
          <w:rFonts w:cs="Times New Roman"/>
          <w:sz w:val="28"/>
          <w:szCs w:val="28"/>
        </w:rPr>
      </w:pPr>
      <w:r>
        <w:rPr>
          <w:rFonts w:cs="Times New Roman"/>
          <w:sz w:val="28"/>
          <w:szCs w:val="28"/>
        </w:rPr>
        <w:t xml:space="preserve">According to Wang et al. (2021), </w:t>
      </w:r>
      <w:r>
        <w:rPr>
          <w:rFonts w:cs="Times New Roman"/>
          <w:i/>
          <w:iCs/>
          <w:sz w:val="28"/>
          <w:szCs w:val="28"/>
        </w:rPr>
        <w:t>ρ</w:t>
      </w:r>
      <w:r>
        <w:rPr>
          <w:rFonts w:cs="Times New Roman"/>
          <w:i/>
          <w:iCs/>
          <w:sz w:val="28"/>
          <w:szCs w:val="28"/>
          <w:vertAlign w:val="subscript"/>
        </w:rPr>
        <w:t>A</w:t>
      </w:r>
      <w:r>
        <w:rPr>
          <w:rFonts w:cs="Times New Roman"/>
          <w:sz w:val="28"/>
          <w:szCs w:val="28"/>
        </w:rPr>
        <w:t xml:space="preserve"> is the NH</w:t>
      </w:r>
      <w:r>
        <w:rPr>
          <w:rFonts w:cs="Times New Roman"/>
          <w:sz w:val="28"/>
          <w:szCs w:val="28"/>
          <w:vertAlign w:val="subscript"/>
        </w:rPr>
        <w:t>3</w:t>
      </w:r>
      <w:r>
        <w:rPr>
          <w:rFonts w:cs="Times New Roman"/>
          <w:sz w:val="28"/>
          <w:szCs w:val="28"/>
        </w:rPr>
        <w:t xml:space="preserve"> density; </w:t>
      </w:r>
      <w:r>
        <w:rPr>
          <w:rFonts w:cs="Times New Roman"/>
          <w:i/>
          <w:iCs/>
          <w:sz w:val="28"/>
          <w:szCs w:val="28"/>
        </w:rPr>
        <w:t>ρ</w:t>
      </w:r>
      <w:r>
        <w:rPr>
          <w:rFonts w:cs="Times New Roman"/>
          <w:i/>
          <w:iCs/>
          <w:sz w:val="28"/>
          <w:szCs w:val="28"/>
          <w:vertAlign w:val="subscript"/>
        </w:rPr>
        <w:t>d</w:t>
      </w:r>
      <w:r>
        <w:rPr>
          <w:rFonts w:cs="Times New Roman"/>
          <w:sz w:val="28"/>
          <w:szCs w:val="28"/>
        </w:rPr>
        <w:t xml:space="preserve"> is the dry air density; </w:t>
      </w:r>
      <w:r>
        <w:rPr>
          <w:rFonts w:cs="Times New Roman"/>
          <w:i/>
          <w:iCs/>
          <w:sz w:val="28"/>
          <w:szCs w:val="28"/>
        </w:rPr>
        <w:t>μ</w:t>
      </w:r>
      <w:r>
        <w:rPr>
          <w:rFonts w:cs="Times New Roman"/>
          <w:sz w:val="28"/>
          <w:szCs w:val="28"/>
        </w:rPr>
        <w:t xml:space="preserve"> is the molar mass ratio of dry air to water vapor; </w:t>
      </w:r>
      <w:r>
        <w:rPr>
          <w:rFonts w:cs="Times New Roman"/>
          <w:i/>
          <w:iCs/>
          <w:sz w:val="28"/>
          <w:szCs w:val="28"/>
        </w:rPr>
        <w:t>ρ</w:t>
      </w:r>
      <w:r>
        <w:rPr>
          <w:rFonts w:cs="Times New Roman"/>
          <w:i/>
          <w:iCs/>
          <w:sz w:val="28"/>
          <w:szCs w:val="28"/>
          <w:vertAlign w:val="subscript"/>
        </w:rPr>
        <w:t>v</w:t>
      </w:r>
      <w:r>
        <w:rPr>
          <w:rFonts w:cs="Times New Roman"/>
          <w:sz w:val="28"/>
          <w:szCs w:val="28"/>
        </w:rPr>
        <w:t xml:space="preserve"> is the water vapor density; </w:t>
      </w:r>
      <w:r>
        <w:rPr>
          <w:rFonts w:cs="Times New Roman"/>
          <w:i/>
          <w:iCs/>
          <w:sz w:val="28"/>
          <w:szCs w:val="28"/>
        </w:rPr>
        <w:t>w′ρ′</w:t>
      </w:r>
      <w:r>
        <w:rPr>
          <w:rFonts w:cs="Times New Roman"/>
          <w:sz w:val="28"/>
          <w:szCs w:val="28"/>
        </w:rPr>
        <w:t xml:space="preserve"> is the water vapor flux; </w:t>
      </w:r>
      <w:r>
        <w:rPr>
          <w:rFonts w:cs="Times New Roman"/>
          <w:i/>
          <w:iCs/>
          <w:sz w:val="28"/>
          <w:szCs w:val="28"/>
        </w:rPr>
        <w:t>T</w:t>
      </w:r>
      <w:r>
        <w:rPr>
          <w:rFonts w:cs="Times New Roman"/>
          <w:i/>
          <w:iCs/>
          <w:sz w:val="28"/>
          <w:szCs w:val="28"/>
          <w:vertAlign w:val="subscript"/>
        </w:rPr>
        <w:t>a</w:t>
      </w:r>
      <w:r>
        <w:rPr>
          <w:rFonts w:cs="Times New Roman"/>
          <w:sz w:val="28"/>
          <w:szCs w:val="28"/>
        </w:rPr>
        <w:t xml:space="preserve"> is the air temperature; and </w:t>
      </w:r>
      <w:r>
        <w:rPr>
          <w:rFonts w:cs="Times New Roman"/>
          <w:i/>
          <w:iCs/>
          <w:sz w:val="28"/>
          <w:szCs w:val="28"/>
        </w:rPr>
        <w:t>w′T</w:t>
      </w:r>
      <w:r>
        <w:rPr>
          <w:rFonts w:cs="Times New Roman"/>
          <w:i/>
          <w:iCs/>
          <w:sz w:val="28"/>
          <w:szCs w:val="28"/>
          <w:vertAlign w:val="subscript"/>
        </w:rPr>
        <w:t>a</w:t>
      </w:r>
      <w:r>
        <w:rPr>
          <w:rFonts w:cs="Times New Roman"/>
          <w:i/>
          <w:iCs/>
          <w:sz w:val="28"/>
          <w:szCs w:val="28"/>
        </w:rPr>
        <w:t>′</w:t>
      </w:r>
      <w:r>
        <w:rPr>
          <w:rFonts w:cs="Times New Roman"/>
          <w:sz w:val="28"/>
          <w:szCs w:val="28"/>
        </w:rPr>
        <w:t xml:space="preserve"> is the heat flux. The </w:t>
      </w:r>
      <w:r>
        <w:rPr>
          <w:rFonts w:hint="eastAsia" w:cs="Times New Roman"/>
          <w:sz w:val="28"/>
          <w:szCs w:val="28"/>
        </w:rPr>
        <w:t>variable</w:t>
      </w:r>
      <w:r>
        <w:rPr>
          <w:rFonts w:cs="Times New Roman"/>
          <w:sz w:val="28"/>
          <w:szCs w:val="28"/>
        </w:rPr>
        <w:t xml:space="preserve">s </w:t>
      </w:r>
      <w:r>
        <w:rPr>
          <w:rFonts w:cs="Times New Roman"/>
          <w:i/>
          <w:iCs/>
          <w:sz w:val="28"/>
          <w:szCs w:val="28"/>
        </w:rPr>
        <w:t>A</w:t>
      </w:r>
      <w:r>
        <w:rPr>
          <w:rFonts w:cs="Times New Roman"/>
          <w:sz w:val="28"/>
          <w:szCs w:val="28"/>
        </w:rPr>
        <w:t xml:space="preserve">, </w:t>
      </w:r>
      <w:r>
        <w:rPr>
          <w:rFonts w:cs="Times New Roman"/>
          <w:i/>
          <w:iCs/>
          <w:sz w:val="28"/>
          <w:szCs w:val="28"/>
        </w:rPr>
        <w:t>B</w:t>
      </w:r>
      <w:r>
        <w:rPr>
          <w:rFonts w:cs="Times New Roman"/>
          <w:sz w:val="28"/>
          <w:szCs w:val="28"/>
        </w:rPr>
        <w:t xml:space="preserve">, and </w:t>
      </w:r>
      <w:r>
        <w:rPr>
          <w:rFonts w:cs="Times New Roman"/>
          <w:i/>
          <w:iCs/>
          <w:sz w:val="28"/>
          <w:szCs w:val="28"/>
        </w:rPr>
        <w:t>C</w:t>
      </w:r>
      <w:r>
        <w:rPr>
          <w:rFonts w:cs="Times New Roman"/>
          <w:sz w:val="28"/>
          <w:szCs w:val="28"/>
        </w:rPr>
        <w:t xml:space="preserve"> are dimensionless parameters and account for spectroscopic effects, varying with ambient temperature, pressure, and water vapor content.</w:t>
      </w:r>
    </w:p>
    <w:p w14:paraId="7ED658C9">
      <w:pPr>
        <w:widowControl/>
        <w:numPr>
          <w:ilvl w:val="0"/>
          <w:numId w:val="0"/>
        </w:numPr>
        <w:spacing w:line="480" w:lineRule="auto"/>
        <w:ind w:left="420" w:leftChars="0" w:hanging="420" w:firstLineChars="0"/>
        <w:rPr>
          <w:rFonts w:cs="Times New Roman"/>
          <w:b/>
          <w:bCs/>
          <w:sz w:val="28"/>
          <w:szCs w:val="28"/>
        </w:rPr>
      </w:pPr>
      <w:r>
        <w:rPr>
          <w:rFonts w:hint="default" w:ascii="Wingdings" w:hAnsi="Wingdings" w:cs="Times New Roman" w:eastAsiaTheme="minorEastAsia"/>
          <w:b/>
          <w:bCs/>
          <w:kern w:val="2"/>
          <w:sz w:val="28"/>
          <w:szCs w:val="28"/>
          <w:lang w:val="en-US" w:eastAsia="zh-CN" w:bidi="ar-SA"/>
        </w:rPr>
        <w:t></w:t>
      </w:r>
      <w:r>
        <w:rPr>
          <w:rFonts w:hint="eastAsia" w:cs="Times New Roman"/>
          <w:b/>
          <w:bCs/>
          <w:sz w:val="28"/>
          <w:szCs w:val="28"/>
        </w:rPr>
        <w:t xml:space="preserve">Backward Lagrangian stochastic (bLS) model  </w:t>
      </w:r>
    </w:p>
    <w:p w14:paraId="603D36DB">
      <w:pPr>
        <w:widowControl/>
        <w:spacing w:line="480" w:lineRule="auto"/>
        <w:rPr>
          <w:rFonts w:cs="Times New Roman"/>
          <w:sz w:val="28"/>
          <w:szCs w:val="28"/>
        </w:rPr>
      </w:pPr>
      <w:r>
        <w:rPr>
          <w:rFonts w:cs="Times New Roman"/>
          <w:sz w:val="28"/>
          <w:szCs w:val="28"/>
        </w:rPr>
        <w:t>The NH</w:t>
      </w:r>
      <w:r>
        <w:rPr>
          <w:rFonts w:cs="Times New Roman"/>
          <w:sz w:val="28"/>
          <w:szCs w:val="28"/>
          <w:vertAlign w:val="subscript"/>
        </w:rPr>
        <w:t>3</w:t>
      </w:r>
      <w:r>
        <w:rPr>
          <w:rFonts w:cs="Times New Roman"/>
          <w:sz w:val="28"/>
          <w:szCs w:val="28"/>
        </w:rPr>
        <w:t xml:space="preserve"> emission flux (</w:t>
      </w:r>
      <w:r>
        <w:rPr>
          <w:rFonts w:cs="Times New Roman"/>
          <w:i/>
          <w:iCs/>
          <w:sz w:val="28"/>
          <w:szCs w:val="28"/>
        </w:rPr>
        <w:t>Q</w:t>
      </w:r>
      <w:r>
        <w:rPr>
          <w:rFonts w:cs="Times New Roman"/>
          <w:sz w:val="28"/>
          <w:szCs w:val="28"/>
        </w:rPr>
        <w:t>, μg m</w:t>
      </w:r>
      <w:r>
        <w:rPr>
          <w:rFonts w:eastAsia="宋体" w:cs="Times New Roman"/>
          <w:sz w:val="28"/>
          <w:szCs w:val="28"/>
          <w:vertAlign w:val="superscript"/>
        </w:rPr>
        <w:t>−</w:t>
      </w:r>
      <w:r>
        <w:rPr>
          <w:rFonts w:hint="eastAsia" w:cs="Times New Roman"/>
          <w:sz w:val="28"/>
          <w:szCs w:val="28"/>
          <w:vertAlign w:val="superscript"/>
        </w:rPr>
        <w:t>2</w:t>
      </w:r>
      <w:r>
        <w:rPr>
          <w:rFonts w:cs="Times New Roman"/>
          <w:sz w:val="28"/>
          <w:szCs w:val="28"/>
        </w:rPr>
        <w:t xml:space="preserve"> s</w:t>
      </w:r>
      <w:r>
        <w:rPr>
          <w:rFonts w:eastAsia="宋体" w:cs="Times New Roman"/>
          <w:sz w:val="28"/>
          <w:szCs w:val="28"/>
          <w:vertAlign w:val="superscript"/>
        </w:rPr>
        <w:t>−</w:t>
      </w:r>
      <w:r>
        <w:rPr>
          <w:rFonts w:hint="eastAsia" w:cs="Times New Roman"/>
          <w:sz w:val="28"/>
          <w:szCs w:val="28"/>
          <w:vertAlign w:val="superscript"/>
        </w:rPr>
        <w:t>1</w:t>
      </w:r>
      <w:r>
        <w:rPr>
          <w:rFonts w:cs="Times New Roman"/>
          <w:sz w:val="28"/>
          <w:szCs w:val="28"/>
        </w:rPr>
        <w:t xml:space="preserve">) can then be calculated using the following equation : </w:t>
      </w:r>
    </w:p>
    <w:p w14:paraId="0FB53B5B">
      <w:pPr>
        <w:widowControl/>
        <w:spacing w:line="480" w:lineRule="auto"/>
        <w:rPr>
          <w:rFonts w:cs="Times New Roman"/>
          <w:i/>
          <w:iCs/>
          <w:sz w:val="28"/>
          <w:szCs w:val="28"/>
        </w:rPr>
      </w:pPr>
      <m:oMathPara>
        <m:oMath>
          <m:r>
            <m:rPr/>
            <w:rPr>
              <w:rFonts w:cs="Times New Roman"/>
              <w:sz w:val="28"/>
              <w:szCs w:val="28"/>
            </w:rPr>
            <m:t>Q=</m:t>
          </m:r>
          <m:f>
            <m:fPr>
              <m:ctrlPr>
                <w:rPr>
                  <w:rFonts w:ascii="Cambria Math" w:hAnsi="Cambria Math" w:cs="Times New Roman"/>
                  <w:i/>
                  <w:iCs/>
                  <w:sz w:val="28"/>
                  <w:szCs w:val="28"/>
                </w:rPr>
              </m:ctrlPr>
            </m:fPr>
            <m:num>
              <m:r>
                <m:rPr/>
                <w:rPr>
                  <w:rFonts w:cs="Times New Roman"/>
                  <w:sz w:val="28"/>
                  <w:szCs w:val="28"/>
                </w:rPr>
                <m:t>(c−</m:t>
              </m:r>
              <m:sSub>
                <m:sSubPr>
                  <m:ctrlPr>
                    <w:rPr>
                      <w:rFonts w:ascii="Cambria Math" w:hAnsi="Cambria Math" w:cs="Times New Roman"/>
                      <w:i/>
                      <w:iCs/>
                      <w:sz w:val="28"/>
                      <w:szCs w:val="28"/>
                    </w:rPr>
                  </m:ctrlPr>
                </m:sSubPr>
                <m:e>
                  <m:r>
                    <m:rPr/>
                    <w:rPr>
                      <w:rFonts w:cs="Times New Roman"/>
                      <w:sz w:val="28"/>
                      <w:szCs w:val="28"/>
                    </w:rPr>
                    <m:t>c</m:t>
                  </m:r>
                  <m:ctrlPr>
                    <w:rPr>
                      <w:rFonts w:ascii="Cambria Math" w:hAnsi="Cambria Math" w:cs="Times New Roman"/>
                      <w:i/>
                      <w:iCs/>
                      <w:sz w:val="28"/>
                      <w:szCs w:val="28"/>
                    </w:rPr>
                  </m:ctrlPr>
                </m:e>
                <m:sub>
                  <m:r>
                    <m:rPr/>
                    <w:rPr>
                      <w:rFonts w:cs="Times New Roman"/>
                      <w:sz w:val="28"/>
                      <w:szCs w:val="28"/>
                    </w:rPr>
                    <m:t>b</m:t>
                  </m:r>
                  <m:ctrlPr>
                    <w:rPr>
                      <w:rFonts w:ascii="Cambria Math" w:hAnsi="Cambria Math" w:cs="Times New Roman"/>
                      <w:i/>
                      <w:iCs/>
                      <w:sz w:val="28"/>
                      <w:szCs w:val="28"/>
                    </w:rPr>
                  </m:ctrlPr>
                </m:sub>
              </m:sSub>
              <m:r>
                <m:rPr/>
                <w:rPr>
                  <w:rFonts w:cs="Times New Roman"/>
                  <w:sz w:val="28"/>
                  <w:szCs w:val="28"/>
                </w:rPr>
                <m:t>)</m:t>
              </m:r>
              <m:ctrlPr>
                <w:rPr>
                  <w:rFonts w:ascii="Cambria Math" w:hAnsi="Cambria Math" w:cs="Times New Roman"/>
                  <w:i/>
                  <w:iCs/>
                  <w:sz w:val="28"/>
                  <w:szCs w:val="28"/>
                </w:rPr>
              </m:ctrlPr>
            </m:num>
            <m:den>
              <m:r>
                <m:rPr/>
                <w:rPr>
                  <w:rFonts w:cs="Times New Roman"/>
                  <w:sz w:val="28"/>
                  <w:szCs w:val="28"/>
                </w:rPr>
                <m:t>(c/</m:t>
              </m:r>
              <m:sSub>
                <m:sSubPr>
                  <m:ctrlPr>
                    <w:rPr>
                      <w:rFonts w:ascii="Cambria Math" w:hAnsi="Cambria Math" w:cs="Times New Roman"/>
                      <w:i/>
                      <w:iCs/>
                      <w:sz w:val="28"/>
                      <w:szCs w:val="28"/>
                    </w:rPr>
                  </m:ctrlPr>
                </m:sSubPr>
                <m:e>
                  <m:r>
                    <m:rPr/>
                    <w:rPr>
                      <w:rFonts w:cs="Times New Roman"/>
                      <w:sz w:val="28"/>
                      <w:szCs w:val="28"/>
                    </w:rPr>
                    <m:t>Q)</m:t>
                  </m:r>
                  <m:ctrlPr>
                    <w:rPr>
                      <w:rFonts w:ascii="Cambria Math" w:hAnsi="Cambria Math" w:cs="Times New Roman"/>
                      <w:i/>
                      <w:iCs/>
                      <w:sz w:val="28"/>
                      <w:szCs w:val="28"/>
                    </w:rPr>
                  </m:ctrlPr>
                </m:e>
                <m:sub>
                  <m:r>
                    <m:rPr/>
                    <w:rPr>
                      <w:rFonts w:cs="Times New Roman"/>
                      <w:sz w:val="28"/>
                      <w:szCs w:val="28"/>
                    </w:rPr>
                    <m:t>sim</m:t>
                  </m:r>
                  <m:ctrlPr>
                    <w:rPr>
                      <w:rFonts w:ascii="Cambria Math" w:hAnsi="Cambria Math" w:cs="Times New Roman"/>
                      <w:i/>
                      <w:iCs/>
                      <w:sz w:val="28"/>
                      <w:szCs w:val="28"/>
                    </w:rPr>
                  </m:ctrlPr>
                </m:sub>
              </m:sSub>
              <m:ctrlPr>
                <w:rPr>
                  <w:rFonts w:ascii="Cambria Math" w:hAnsi="Cambria Math" w:cs="Times New Roman"/>
                  <w:i/>
                  <w:iCs/>
                  <w:sz w:val="28"/>
                  <w:szCs w:val="28"/>
                </w:rPr>
              </m:ctrlPr>
            </m:den>
          </m:f>
        </m:oMath>
      </m:oMathPara>
    </w:p>
    <w:p w14:paraId="167C8E9E">
      <w:pPr>
        <w:rPr>
          <w:rFonts w:cs="Times New Roman"/>
          <w:sz w:val="28"/>
          <w:szCs w:val="28"/>
        </w:rPr>
      </w:pPr>
      <w:r>
        <w:rPr>
          <w:rFonts w:hint="eastAsia" w:cs="Times New Roman"/>
          <w:sz w:val="28"/>
          <w:szCs w:val="28"/>
        </w:rPr>
        <w:t xml:space="preserve">where </w:t>
      </w:r>
      <w:r>
        <w:rPr>
          <w:rFonts w:cs="Times New Roman"/>
          <w:i/>
          <w:iCs/>
          <w:sz w:val="28"/>
          <w:szCs w:val="28"/>
        </w:rPr>
        <w:t>c</w:t>
      </w:r>
      <w:r>
        <w:rPr>
          <w:rFonts w:cs="Times New Roman"/>
          <w:sz w:val="28"/>
          <w:szCs w:val="28"/>
        </w:rPr>
        <w:t xml:space="preserve"> (μg m</w:t>
      </w:r>
      <w:r>
        <w:rPr>
          <w:rFonts w:eastAsia="宋体" w:cs="Times New Roman"/>
          <w:sz w:val="28"/>
          <w:szCs w:val="28"/>
          <w:vertAlign w:val="superscript"/>
        </w:rPr>
        <w:t>−</w:t>
      </w:r>
      <w:r>
        <w:rPr>
          <w:rFonts w:cs="Times New Roman"/>
          <w:sz w:val="28"/>
          <w:szCs w:val="28"/>
          <w:vertAlign w:val="superscript"/>
        </w:rPr>
        <w:t>3</w:t>
      </w:r>
      <w:r>
        <w:rPr>
          <w:rFonts w:cs="Times New Roman"/>
          <w:sz w:val="28"/>
          <w:szCs w:val="28"/>
        </w:rPr>
        <w:t>) represents NH</w:t>
      </w:r>
      <w:r>
        <w:rPr>
          <w:rFonts w:cs="Times New Roman"/>
          <w:sz w:val="28"/>
          <w:szCs w:val="28"/>
          <w:vertAlign w:val="subscript"/>
        </w:rPr>
        <w:t>3</w:t>
      </w:r>
      <w:r>
        <w:rPr>
          <w:rFonts w:cs="Times New Roman"/>
          <w:sz w:val="28"/>
          <w:szCs w:val="28"/>
        </w:rPr>
        <w:t xml:space="preserve"> concentration at the monitoring location, while </w:t>
      </w:r>
      <w:r>
        <w:rPr>
          <w:rFonts w:cs="Times New Roman"/>
          <w:i/>
          <w:iCs/>
          <w:sz w:val="28"/>
          <w:szCs w:val="28"/>
        </w:rPr>
        <w:t>c</w:t>
      </w:r>
      <w:r>
        <w:rPr>
          <w:rFonts w:cs="Times New Roman"/>
          <w:i/>
          <w:iCs/>
          <w:sz w:val="28"/>
          <w:szCs w:val="28"/>
          <w:vertAlign w:val="subscript"/>
        </w:rPr>
        <w:t>b</w:t>
      </w:r>
      <w:r>
        <w:rPr>
          <w:rFonts w:cs="Times New Roman"/>
          <w:sz w:val="28"/>
          <w:szCs w:val="28"/>
        </w:rPr>
        <w:t xml:space="preserve"> denotes the background NH</w:t>
      </w:r>
      <w:r>
        <w:rPr>
          <w:rFonts w:cs="Times New Roman"/>
          <w:sz w:val="28"/>
          <w:szCs w:val="28"/>
          <w:vertAlign w:val="subscript"/>
        </w:rPr>
        <w:t>3</w:t>
      </w:r>
      <w:r>
        <w:rPr>
          <w:rFonts w:cs="Times New Roman"/>
          <w:sz w:val="28"/>
          <w:szCs w:val="28"/>
        </w:rPr>
        <w:t xml:space="preserve"> concentration. NH</w:t>
      </w:r>
      <w:r>
        <w:rPr>
          <w:rFonts w:cs="Times New Roman"/>
          <w:sz w:val="28"/>
          <w:szCs w:val="28"/>
          <w:vertAlign w:val="subscript"/>
        </w:rPr>
        <w:t>3</w:t>
      </w:r>
      <w:r>
        <w:rPr>
          <w:rFonts w:cs="Times New Roman"/>
          <w:sz w:val="28"/>
          <w:szCs w:val="28"/>
        </w:rPr>
        <w:t xml:space="preserve"> concentration can be measured using devices such as the open-path tunable diode laser absorption spectroscopy (TDLAS)</w:t>
      </w:r>
      <w:r>
        <w:rPr>
          <w:rFonts w:hint="eastAsia" w:cs="Times New Roman"/>
          <w:sz w:val="28"/>
          <w:szCs w:val="28"/>
          <w:vertAlign w:val="superscript"/>
        </w:rPr>
        <w:t>[23]</w:t>
      </w:r>
      <w:r>
        <w:rPr>
          <w:rFonts w:cs="Times New Roman"/>
          <w:sz w:val="28"/>
          <w:szCs w:val="28"/>
        </w:rPr>
        <w:t>, the mini-differential optical absorption spectroscopy (DOAS) system</w:t>
      </w:r>
      <w:r>
        <w:rPr>
          <w:rFonts w:hint="eastAsia" w:cs="Times New Roman"/>
          <w:sz w:val="28"/>
          <w:szCs w:val="28"/>
          <w:vertAlign w:val="superscript"/>
        </w:rPr>
        <w:t>[24]</w:t>
      </w:r>
      <w:r>
        <w:rPr>
          <w:rFonts w:cs="Times New Roman"/>
          <w:sz w:val="28"/>
          <w:szCs w:val="28"/>
        </w:rPr>
        <w:t>, or the open-path Fourier transform infrared (OP-FTIR) spectroscopic concentration sensor</w:t>
      </w:r>
      <w:r>
        <w:rPr>
          <w:rFonts w:hint="eastAsia" w:cs="Times New Roman"/>
          <w:sz w:val="28"/>
          <w:szCs w:val="28"/>
          <w:vertAlign w:val="superscript"/>
        </w:rPr>
        <w:t>[25]</w:t>
      </w:r>
      <w:r>
        <w:rPr>
          <w:rFonts w:cs="Times New Roman"/>
          <w:sz w:val="28"/>
          <w:szCs w:val="28"/>
        </w:rPr>
        <w:t>.</w:t>
      </w:r>
    </w:p>
    <w:p w14:paraId="09BCBC1D">
      <w:pPr>
        <w:widowControl/>
        <w:spacing w:line="480" w:lineRule="auto"/>
        <w:rPr>
          <w:rFonts w:cs="Times New Roman"/>
          <w:sz w:val="28"/>
          <w:szCs w:val="28"/>
        </w:rPr>
      </w:pPr>
      <w:r>
        <w:rPr>
          <w:rFonts w:cs="Times New Roman"/>
          <w:sz w:val="28"/>
          <w:szCs w:val="28"/>
        </w:rPr>
        <w:t xml:space="preserve">The ratio </w:t>
      </w:r>
      <w:r>
        <w:rPr>
          <w:rFonts w:hint="eastAsia" w:cs="Times New Roman"/>
          <w:i/>
          <w:iCs/>
          <w:sz w:val="28"/>
          <w:szCs w:val="28"/>
        </w:rPr>
        <w:t>(c/Q)</w:t>
      </w:r>
      <w:r>
        <w:rPr>
          <w:rFonts w:hint="eastAsia" w:cs="Times New Roman"/>
          <w:i/>
          <w:iCs/>
          <w:sz w:val="28"/>
          <w:szCs w:val="28"/>
          <w:vertAlign w:val="subscript"/>
        </w:rPr>
        <w:t>sim</w:t>
      </w:r>
      <w:r>
        <w:rPr>
          <w:rFonts w:hint="eastAsia" w:cs="Times New Roman"/>
          <w:sz w:val="28"/>
          <w:szCs w:val="28"/>
        </w:rPr>
        <w:t xml:space="preserve"> </w:t>
      </w:r>
      <w:r>
        <w:rPr>
          <w:rFonts w:cs="Times New Roman"/>
          <w:sz w:val="28"/>
          <w:szCs w:val="28"/>
        </w:rPr>
        <w:t>is predicted by modeling the upwind transport trajectories of NH</w:t>
      </w:r>
      <w:r>
        <w:rPr>
          <w:rFonts w:cs="Times New Roman"/>
          <w:sz w:val="28"/>
          <w:szCs w:val="28"/>
          <w:vertAlign w:val="subscript"/>
        </w:rPr>
        <w:t>3</w:t>
      </w:r>
      <w:r>
        <w:rPr>
          <w:rFonts w:cs="Times New Roman"/>
          <w:sz w:val="28"/>
          <w:szCs w:val="28"/>
        </w:rPr>
        <w:t xml:space="preserve"> from the monitoring site back to its source, based on Monin</w:t>
      </w:r>
      <w:r>
        <w:rPr>
          <w:rFonts w:hAnsi="Times New Roman" w:cs="Times New Roman"/>
          <w:sz w:val="28"/>
          <w:szCs w:val="28"/>
        </w:rPr>
        <w:t>–</w:t>
      </w:r>
      <w:r>
        <w:rPr>
          <w:rFonts w:cs="Times New Roman"/>
          <w:sz w:val="28"/>
          <w:szCs w:val="28"/>
        </w:rPr>
        <w:t>Obukhov similarity theory (MOST) where wind flow is determined by atmospheric friction velocity (</w:t>
      </w:r>
      <w:r>
        <w:rPr>
          <w:rFonts w:cs="Times New Roman"/>
          <w:i/>
          <w:iCs/>
          <w:sz w:val="28"/>
          <w:szCs w:val="28"/>
        </w:rPr>
        <w:t>u</w:t>
      </w:r>
      <w:r>
        <w:rPr>
          <w:rFonts w:cs="Times New Roman"/>
          <w:i/>
          <w:iCs/>
          <w:sz w:val="28"/>
          <w:szCs w:val="28"/>
          <w:vertAlign w:val="subscript"/>
        </w:rPr>
        <w:t>*</w:t>
      </w:r>
      <w:r>
        <w:rPr>
          <w:rFonts w:cs="Times New Roman"/>
          <w:sz w:val="28"/>
          <w:szCs w:val="28"/>
        </w:rPr>
        <w:t>), the Obukhov stability length (</w:t>
      </w:r>
      <w:r>
        <w:rPr>
          <w:rFonts w:cs="Times New Roman"/>
          <w:i/>
          <w:iCs/>
          <w:sz w:val="28"/>
          <w:szCs w:val="28"/>
        </w:rPr>
        <w:t>L</w:t>
      </w:r>
      <w:r>
        <w:rPr>
          <w:rFonts w:cs="Times New Roman"/>
          <w:sz w:val="28"/>
          <w:szCs w:val="28"/>
        </w:rPr>
        <w:t>), the surface roughness length (</w:t>
      </w:r>
      <w:r>
        <w:rPr>
          <w:rFonts w:cs="Times New Roman"/>
          <w:i/>
          <w:iCs/>
          <w:sz w:val="28"/>
          <w:szCs w:val="28"/>
        </w:rPr>
        <w:t>z</w:t>
      </w:r>
      <w:r>
        <w:rPr>
          <w:rFonts w:cs="Times New Roman"/>
          <w:i/>
          <w:iCs/>
          <w:sz w:val="28"/>
          <w:szCs w:val="28"/>
          <w:vertAlign w:val="subscript"/>
        </w:rPr>
        <w:t>0</w:t>
      </w:r>
      <w:r>
        <w:rPr>
          <w:rFonts w:cs="Times New Roman"/>
          <w:sz w:val="28"/>
          <w:szCs w:val="28"/>
        </w:rPr>
        <w:t>) and wind direction (</w:t>
      </w:r>
      <w:r>
        <w:rPr>
          <w:rFonts w:cs="Times New Roman"/>
          <w:i/>
          <w:iCs/>
          <w:sz w:val="28"/>
          <w:szCs w:val="28"/>
        </w:rPr>
        <w:t>β</w:t>
      </w:r>
      <w:r>
        <w:rPr>
          <w:rFonts w:cs="Times New Roman"/>
          <w:sz w:val="28"/>
          <w:szCs w:val="28"/>
        </w:rPr>
        <w:t>), which can be obtained by measuring profiles of temperature and wind</w:t>
      </w:r>
      <w:r>
        <w:rPr>
          <w:rFonts w:hint="eastAsia" w:cs="Times New Roman"/>
          <w:sz w:val="28"/>
          <w:szCs w:val="28"/>
          <w:vertAlign w:val="superscript"/>
        </w:rPr>
        <w:t>[26]</w:t>
      </w:r>
      <w:r>
        <w:rPr>
          <w:rFonts w:cs="Times New Roman"/>
          <w:sz w:val="28"/>
          <w:szCs w:val="28"/>
        </w:rPr>
        <w:t xml:space="preserve">. </w:t>
      </w:r>
    </w:p>
    <w:p w14:paraId="525921A2">
      <w:pPr>
        <w:rPr>
          <w:sz w:val="28"/>
          <w:szCs w:val="28"/>
        </w:rPr>
      </w:pPr>
      <w:r>
        <w:rPr>
          <w:rFonts w:hint="eastAsia"/>
          <w:sz w:val="28"/>
          <w:szCs w:val="28"/>
        </w:rPr>
        <w:t>Table S1. Comparison of current cropland NH</w:t>
      </w:r>
      <w:r>
        <w:rPr>
          <w:rFonts w:hint="eastAsia"/>
          <w:sz w:val="28"/>
          <w:szCs w:val="28"/>
          <w:vertAlign w:val="subscript"/>
        </w:rPr>
        <w:t>3</w:t>
      </w:r>
      <w:r>
        <w:rPr>
          <w:rFonts w:hint="eastAsia"/>
          <w:sz w:val="28"/>
          <w:szCs w:val="28"/>
        </w:rPr>
        <w:t xml:space="preserve"> emission inventories</w:t>
      </w:r>
    </w:p>
    <w:tbl>
      <w:tblPr>
        <w:tblStyle w:val="6"/>
        <w:tblW w:w="86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2"/>
        <w:gridCol w:w="835"/>
        <w:gridCol w:w="848"/>
        <w:gridCol w:w="754"/>
        <w:gridCol w:w="2037"/>
        <w:gridCol w:w="2479"/>
      </w:tblGrid>
      <w:tr w14:paraId="74266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1662" w:type="dxa"/>
            <w:tcBorders>
              <w:top w:val="single" w:color="000000" w:sz="12" w:space="0"/>
              <w:left w:val="nil"/>
              <w:bottom w:val="single" w:color="000000" w:sz="4" w:space="0"/>
              <w:right w:val="nil"/>
              <w:tl2br w:val="nil"/>
            </w:tcBorders>
            <w:shd w:val="clear" w:color="auto" w:fill="FFFFFF"/>
          </w:tcPr>
          <w:p w14:paraId="1AAE4127">
            <w:pPr>
              <w:rPr>
                <w:color w:val="000000"/>
              </w:rPr>
            </w:pPr>
            <w:r>
              <w:rPr>
                <w:rFonts w:hint="eastAsia"/>
                <w:color w:val="000000"/>
              </w:rPr>
              <w:t>Studies</w:t>
            </w:r>
          </w:p>
        </w:tc>
        <w:tc>
          <w:tcPr>
            <w:tcW w:w="835" w:type="dxa"/>
            <w:tcBorders>
              <w:top w:val="single" w:color="000000" w:sz="12" w:space="0"/>
              <w:left w:val="nil"/>
              <w:bottom w:val="single" w:color="000000" w:sz="4" w:space="0"/>
              <w:right w:val="nil"/>
            </w:tcBorders>
            <w:shd w:val="clear" w:color="auto" w:fill="FFFFFF"/>
          </w:tcPr>
          <w:p w14:paraId="0EDC5DD3">
            <w:pPr>
              <w:rPr>
                <w:color w:val="000000"/>
              </w:rPr>
            </w:pPr>
            <w:r>
              <w:rPr>
                <w:rFonts w:hint="eastAsia"/>
                <w:color w:val="000000"/>
              </w:rPr>
              <w:t>Year</w:t>
            </w:r>
          </w:p>
        </w:tc>
        <w:tc>
          <w:tcPr>
            <w:tcW w:w="848" w:type="dxa"/>
            <w:tcBorders>
              <w:top w:val="single" w:color="000000" w:sz="12" w:space="0"/>
              <w:left w:val="nil"/>
              <w:bottom w:val="single" w:color="000000" w:sz="4" w:space="0"/>
              <w:right w:val="nil"/>
            </w:tcBorders>
            <w:shd w:val="clear" w:color="auto" w:fill="FFFFFF"/>
          </w:tcPr>
          <w:p w14:paraId="4B14B002">
            <w:pPr>
              <w:rPr>
                <w:color w:val="000000"/>
              </w:rPr>
            </w:pPr>
            <w:r>
              <w:rPr>
                <w:rFonts w:hint="eastAsia"/>
                <w:color w:val="000000"/>
              </w:rPr>
              <w:t>Global</w:t>
            </w:r>
          </w:p>
        </w:tc>
        <w:tc>
          <w:tcPr>
            <w:tcW w:w="754" w:type="dxa"/>
            <w:tcBorders>
              <w:top w:val="single" w:color="000000" w:sz="12" w:space="0"/>
              <w:left w:val="nil"/>
              <w:bottom w:val="single" w:color="000000" w:sz="4" w:space="0"/>
              <w:right w:val="nil"/>
            </w:tcBorders>
            <w:shd w:val="clear" w:color="auto" w:fill="FFFFFF"/>
          </w:tcPr>
          <w:p w14:paraId="5679A9E2">
            <w:pPr>
              <w:rPr>
                <w:color w:val="000000"/>
              </w:rPr>
            </w:pPr>
            <w:r>
              <w:rPr>
                <w:rFonts w:hint="eastAsia"/>
                <w:color w:val="000000"/>
              </w:rPr>
              <w:t>China</w:t>
            </w:r>
          </w:p>
        </w:tc>
        <w:tc>
          <w:tcPr>
            <w:tcW w:w="2037" w:type="dxa"/>
            <w:tcBorders>
              <w:top w:val="single" w:color="000000" w:sz="12" w:space="0"/>
              <w:left w:val="nil"/>
              <w:bottom w:val="single" w:color="000000" w:sz="4" w:space="0"/>
              <w:right w:val="nil"/>
            </w:tcBorders>
            <w:shd w:val="clear" w:color="auto" w:fill="FFFFFF"/>
          </w:tcPr>
          <w:p w14:paraId="055F4404">
            <w:pPr>
              <w:rPr>
                <w:color w:val="000000"/>
              </w:rPr>
            </w:pPr>
            <w:r>
              <w:rPr>
                <w:rFonts w:hint="eastAsia"/>
                <w:color w:val="000000"/>
              </w:rPr>
              <w:t>Method</w:t>
            </w:r>
          </w:p>
        </w:tc>
        <w:tc>
          <w:tcPr>
            <w:tcW w:w="2479" w:type="dxa"/>
            <w:tcBorders>
              <w:top w:val="single" w:color="000000" w:sz="12" w:space="0"/>
              <w:left w:val="nil"/>
              <w:bottom w:val="single" w:color="000000" w:sz="4" w:space="0"/>
              <w:right w:val="nil"/>
            </w:tcBorders>
            <w:shd w:val="clear" w:color="auto" w:fill="FFFFFF"/>
          </w:tcPr>
          <w:p w14:paraId="5F335C46">
            <w:pPr>
              <w:rPr>
                <w:color w:val="000000"/>
              </w:rPr>
            </w:pPr>
            <w:r>
              <w:rPr>
                <w:rFonts w:hint="eastAsia"/>
                <w:color w:val="000000"/>
              </w:rPr>
              <w:t>Fertilizer type</w:t>
            </w:r>
          </w:p>
        </w:tc>
      </w:tr>
      <w:tr w14:paraId="503ED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1662" w:type="dxa"/>
            <w:tcBorders>
              <w:top w:val="single" w:color="000000" w:sz="4" w:space="0"/>
              <w:left w:val="nil"/>
              <w:bottom w:val="nil"/>
              <w:right w:val="nil"/>
            </w:tcBorders>
            <w:shd w:val="clear" w:color="auto" w:fill="FFFFFF"/>
          </w:tcPr>
          <w:p w14:paraId="55ADBDAC">
            <w:pPr>
              <w:jc w:val="left"/>
              <w:rPr>
                <w:color w:val="000000"/>
              </w:rPr>
            </w:pPr>
            <w:r>
              <w:rPr>
                <w:rFonts w:hint="eastAsia"/>
                <w:color w:val="000000"/>
              </w:rPr>
              <w:t>Yan et al.</w:t>
            </w:r>
            <w:r>
              <w:rPr>
                <w:rFonts w:hint="eastAsia"/>
                <w:color w:val="000000"/>
                <w:vertAlign w:val="superscript"/>
              </w:rPr>
              <w:t>[27]</w:t>
            </w:r>
            <w:r>
              <w:rPr>
                <w:rFonts w:hint="eastAsia"/>
                <w:color w:val="000000"/>
              </w:rPr>
              <w:t xml:space="preserve"> </w:t>
            </w:r>
          </w:p>
        </w:tc>
        <w:tc>
          <w:tcPr>
            <w:tcW w:w="835" w:type="dxa"/>
            <w:tcBorders>
              <w:top w:val="single" w:color="000000" w:sz="4" w:space="0"/>
              <w:left w:val="nil"/>
              <w:bottom w:val="nil"/>
              <w:right w:val="nil"/>
            </w:tcBorders>
            <w:shd w:val="clear" w:color="auto" w:fill="FFFFFF"/>
          </w:tcPr>
          <w:p w14:paraId="60401D3D">
            <w:pPr>
              <w:rPr>
                <w:color w:val="000000"/>
              </w:rPr>
            </w:pPr>
            <w:r>
              <w:rPr>
                <w:rFonts w:hint="eastAsia"/>
                <w:color w:val="000000"/>
              </w:rPr>
              <w:t>1995</w:t>
            </w:r>
          </w:p>
        </w:tc>
        <w:tc>
          <w:tcPr>
            <w:tcW w:w="848" w:type="dxa"/>
            <w:tcBorders>
              <w:top w:val="single" w:color="000000" w:sz="4" w:space="0"/>
              <w:left w:val="nil"/>
              <w:bottom w:val="nil"/>
              <w:right w:val="nil"/>
            </w:tcBorders>
            <w:shd w:val="clear" w:color="auto" w:fill="FFFFFF"/>
          </w:tcPr>
          <w:p w14:paraId="44CF80E5">
            <w:pPr>
              <w:rPr>
                <w:color w:val="000000"/>
              </w:rPr>
            </w:pPr>
          </w:p>
        </w:tc>
        <w:tc>
          <w:tcPr>
            <w:tcW w:w="754" w:type="dxa"/>
            <w:tcBorders>
              <w:top w:val="single" w:color="000000" w:sz="4" w:space="0"/>
              <w:left w:val="nil"/>
              <w:bottom w:val="nil"/>
              <w:right w:val="nil"/>
            </w:tcBorders>
            <w:shd w:val="clear" w:color="auto" w:fill="FFFFFF"/>
          </w:tcPr>
          <w:p w14:paraId="009054E9">
            <w:pPr>
              <w:rPr>
                <w:color w:val="000000"/>
              </w:rPr>
            </w:pPr>
            <w:r>
              <w:rPr>
                <w:rFonts w:hint="eastAsia"/>
                <w:color w:val="000000"/>
              </w:rPr>
              <w:t>5.77</w:t>
            </w:r>
          </w:p>
        </w:tc>
        <w:tc>
          <w:tcPr>
            <w:tcW w:w="2037" w:type="dxa"/>
            <w:tcBorders>
              <w:top w:val="single" w:color="000000" w:sz="4" w:space="0"/>
              <w:left w:val="nil"/>
              <w:bottom w:val="nil"/>
              <w:right w:val="nil"/>
            </w:tcBorders>
            <w:shd w:val="clear" w:color="auto" w:fill="FFFFFF"/>
          </w:tcPr>
          <w:p w14:paraId="23B89D8C">
            <w:pPr>
              <w:rPr>
                <w:color w:val="000000"/>
              </w:rPr>
            </w:pPr>
            <w:r>
              <w:rPr>
                <w:rFonts w:hint="eastAsia"/>
                <w:color w:val="000000"/>
              </w:rPr>
              <w:t>Constant EF</w:t>
            </w:r>
          </w:p>
        </w:tc>
        <w:tc>
          <w:tcPr>
            <w:tcW w:w="2479" w:type="dxa"/>
            <w:tcBorders>
              <w:top w:val="single" w:color="000000" w:sz="4" w:space="0"/>
              <w:left w:val="nil"/>
              <w:bottom w:val="nil"/>
              <w:right w:val="nil"/>
            </w:tcBorders>
            <w:shd w:val="clear" w:color="auto" w:fill="FFFFFF"/>
          </w:tcPr>
          <w:p w14:paraId="02362BB1">
            <w:pPr>
              <w:jc w:val="left"/>
              <w:rPr>
                <w:color w:val="000000"/>
              </w:rPr>
            </w:pPr>
            <w:r>
              <w:rPr>
                <w:rFonts w:hint="eastAsia"/>
                <w:color w:val="000000"/>
              </w:rPr>
              <w:t>FSN, FAW, FBN and FCR</w:t>
            </w:r>
            <w:r>
              <w:rPr>
                <w:rFonts w:hint="eastAsia"/>
                <w:color w:val="000000"/>
                <w:vertAlign w:val="superscript"/>
              </w:rPr>
              <w:t>a</w:t>
            </w:r>
          </w:p>
        </w:tc>
      </w:tr>
      <w:tr w14:paraId="423A2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1662" w:type="dxa"/>
            <w:tcBorders>
              <w:top w:val="nil"/>
              <w:left w:val="nil"/>
              <w:bottom w:val="nil"/>
              <w:right w:val="nil"/>
            </w:tcBorders>
            <w:shd w:val="clear" w:color="auto" w:fill="FFFFFF"/>
          </w:tcPr>
          <w:p w14:paraId="6EE5431F">
            <w:pPr>
              <w:jc w:val="left"/>
              <w:rPr>
                <w:color w:val="000000"/>
              </w:rPr>
            </w:pPr>
            <w:r>
              <w:rPr>
                <w:rFonts w:hint="eastAsia"/>
                <w:color w:val="000000"/>
              </w:rPr>
              <w:t>Bouwman et al.</w:t>
            </w:r>
            <w:r>
              <w:rPr>
                <w:rFonts w:hint="eastAsia"/>
                <w:color w:val="000000"/>
                <w:vertAlign w:val="superscript"/>
              </w:rPr>
              <w:t>[28]</w:t>
            </w:r>
          </w:p>
        </w:tc>
        <w:tc>
          <w:tcPr>
            <w:tcW w:w="835" w:type="dxa"/>
            <w:tcBorders>
              <w:top w:val="nil"/>
              <w:left w:val="nil"/>
              <w:bottom w:val="nil"/>
              <w:right w:val="nil"/>
            </w:tcBorders>
            <w:shd w:val="clear" w:color="auto" w:fill="FFFFFF"/>
          </w:tcPr>
          <w:p w14:paraId="6F2B80C6">
            <w:pPr>
              <w:rPr>
                <w:color w:val="000000"/>
              </w:rPr>
            </w:pPr>
            <w:r>
              <w:rPr>
                <w:rFonts w:hint="eastAsia"/>
                <w:color w:val="000000"/>
              </w:rPr>
              <w:t>1995</w:t>
            </w:r>
          </w:p>
        </w:tc>
        <w:tc>
          <w:tcPr>
            <w:tcW w:w="848" w:type="dxa"/>
            <w:tcBorders>
              <w:top w:val="nil"/>
              <w:left w:val="nil"/>
              <w:bottom w:val="nil"/>
              <w:right w:val="nil"/>
            </w:tcBorders>
            <w:shd w:val="clear" w:color="auto" w:fill="FFFFFF"/>
          </w:tcPr>
          <w:p w14:paraId="4D7A97B6">
            <w:pPr>
              <w:rPr>
                <w:color w:val="000000"/>
              </w:rPr>
            </w:pPr>
            <w:r>
              <w:rPr>
                <w:rFonts w:hint="eastAsia"/>
                <w:color w:val="000000"/>
              </w:rPr>
              <w:t>9.0</w:t>
            </w:r>
          </w:p>
        </w:tc>
        <w:tc>
          <w:tcPr>
            <w:tcW w:w="754" w:type="dxa"/>
            <w:tcBorders>
              <w:top w:val="nil"/>
              <w:left w:val="nil"/>
              <w:bottom w:val="nil"/>
              <w:right w:val="nil"/>
            </w:tcBorders>
            <w:shd w:val="clear" w:color="auto" w:fill="FFFFFF"/>
          </w:tcPr>
          <w:p w14:paraId="1B9A323B">
            <w:pPr>
              <w:rPr>
                <w:color w:val="000000"/>
              </w:rPr>
            </w:pPr>
          </w:p>
        </w:tc>
        <w:tc>
          <w:tcPr>
            <w:tcW w:w="2037" w:type="dxa"/>
            <w:tcBorders>
              <w:top w:val="nil"/>
              <w:left w:val="nil"/>
              <w:bottom w:val="nil"/>
              <w:right w:val="nil"/>
            </w:tcBorders>
            <w:shd w:val="clear" w:color="auto" w:fill="FFFFFF"/>
          </w:tcPr>
          <w:p w14:paraId="683B27A9">
            <w:pPr>
              <w:rPr>
                <w:color w:val="000000"/>
              </w:rPr>
            </w:pPr>
            <w:r>
              <w:rPr>
                <w:rFonts w:hint="eastAsia"/>
                <w:color w:val="000000"/>
              </w:rPr>
              <w:t>Constant EF</w:t>
            </w:r>
          </w:p>
        </w:tc>
        <w:tc>
          <w:tcPr>
            <w:tcW w:w="2479" w:type="dxa"/>
            <w:tcBorders>
              <w:top w:val="nil"/>
              <w:left w:val="nil"/>
              <w:bottom w:val="nil"/>
              <w:right w:val="nil"/>
            </w:tcBorders>
            <w:shd w:val="clear" w:color="auto" w:fill="FFFFFF"/>
          </w:tcPr>
          <w:p w14:paraId="418CBBAB">
            <w:pPr>
              <w:rPr>
                <w:color w:val="000000"/>
              </w:rPr>
            </w:pPr>
            <w:r>
              <w:rPr>
                <w:rFonts w:hint="eastAsia"/>
                <w:color w:val="000000"/>
              </w:rPr>
              <w:t>FSN</w:t>
            </w:r>
          </w:p>
        </w:tc>
      </w:tr>
      <w:tr w14:paraId="048E1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1662" w:type="dxa"/>
            <w:tcBorders>
              <w:top w:val="nil"/>
              <w:left w:val="nil"/>
              <w:bottom w:val="nil"/>
              <w:right w:val="nil"/>
            </w:tcBorders>
            <w:shd w:val="clear" w:color="auto" w:fill="FFFFFF"/>
          </w:tcPr>
          <w:p w14:paraId="10F21FF8">
            <w:pPr>
              <w:jc w:val="left"/>
              <w:rPr>
                <w:color w:val="000000"/>
              </w:rPr>
            </w:pPr>
            <w:r>
              <w:rPr>
                <w:rFonts w:hint="eastAsia"/>
                <w:color w:val="000000"/>
              </w:rPr>
              <w:t>Bouwman et al.</w:t>
            </w:r>
            <w:r>
              <w:rPr>
                <w:rFonts w:hint="eastAsia"/>
                <w:color w:val="000000"/>
                <w:vertAlign w:val="superscript"/>
              </w:rPr>
              <w:t>[29]</w:t>
            </w:r>
            <w:r>
              <w:rPr>
                <w:rFonts w:hint="eastAsia"/>
                <w:color w:val="000000"/>
              </w:rPr>
              <w:t xml:space="preserve"> </w:t>
            </w:r>
          </w:p>
        </w:tc>
        <w:tc>
          <w:tcPr>
            <w:tcW w:w="835" w:type="dxa"/>
            <w:tcBorders>
              <w:top w:val="nil"/>
              <w:left w:val="nil"/>
              <w:bottom w:val="nil"/>
              <w:right w:val="nil"/>
            </w:tcBorders>
            <w:shd w:val="clear" w:color="auto" w:fill="FFFFFF"/>
          </w:tcPr>
          <w:p w14:paraId="7F559AB0">
            <w:pPr>
              <w:rPr>
                <w:color w:val="000000"/>
              </w:rPr>
            </w:pPr>
            <w:r>
              <w:rPr>
                <w:rFonts w:hint="eastAsia"/>
                <w:color w:val="000000"/>
              </w:rPr>
              <w:t>2001</w:t>
            </w:r>
          </w:p>
        </w:tc>
        <w:tc>
          <w:tcPr>
            <w:tcW w:w="848" w:type="dxa"/>
            <w:tcBorders>
              <w:top w:val="nil"/>
              <w:left w:val="nil"/>
              <w:bottom w:val="nil"/>
              <w:right w:val="nil"/>
            </w:tcBorders>
            <w:shd w:val="clear" w:color="auto" w:fill="FFFFFF"/>
          </w:tcPr>
          <w:p w14:paraId="3D7094B2">
            <w:pPr>
              <w:rPr>
                <w:color w:val="000000"/>
              </w:rPr>
            </w:pPr>
            <w:r>
              <w:rPr>
                <w:rFonts w:hint="eastAsia"/>
                <w:color w:val="000000"/>
              </w:rPr>
              <w:t>18.5</w:t>
            </w:r>
          </w:p>
        </w:tc>
        <w:tc>
          <w:tcPr>
            <w:tcW w:w="754" w:type="dxa"/>
            <w:tcBorders>
              <w:top w:val="nil"/>
              <w:left w:val="nil"/>
              <w:bottom w:val="nil"/>
              <w:right w:val="nil"/>
            </w:tcBorders>
            <w:shd w:val="clear" w:color="auto" w:fill="FFFFFF"/>
          </w:tcPr>
          <w:p w14:paraId="0CDEA2FB">
            <w:pPr>
              <w:rPr>
                <w:color w:val="000000"/>
              </w:rPr>
            </w:pPr>
          </w:p>
        </w:tc>
        <w:tc>
          <w:tcPr>
            <w:tcW w:w="2037" w:type="dxa"/>
            <w:tcBorders>
              <w:top w:val="nil"/>
              <w:left w:val="nil"/>
              <w:bottom w:val="nil"/>
              <w:right w:val="nil"/>
            </w:tcBorders>
            <w:shd w:val="clear" w:color="auto" w:fill="FFFFFF"/>
          </w:tcPr>
          <w:p w14:paraId="2BBAFD5E">
            <w:pPr>
              <w:jc w:val="left"/>
              <w:rPr>
                <w:color w:val="000000"/>
              </w:rPr>
            </w:pPr>
            <w:r>
              <w:rPr>
                <w:rFonts w:hint="eastAsia"/>
                <w:color w:val="000000"/>
              </w:rPr>
              <w:t>Linear regression model</w:t>
            </w:r>
          </w:p>
        </w:tc>
        <w:tc>
          <w:tcPr>
            <w:tcW w:w="2479" w:type="dxa"/>
            <w:tcBorders>
              <w:top w:val="nil"/>
              <w:left w:val="nil"/>
              <w:bottom w:val="nil"/>
              <w:right w:val="nil"/>
            </w:tcBorders>
            <w:shd w:val="clear" w:color="auto" w:fill="FFFFFF"/>
          </w:tcPr>
          <w:p w14:paraId="7F90AD4D">
            <w:pPr>
              <w:rPr>
                <w:color w:val="000000"/>
              </w:rPr>
            </w:pPr>
            <w:r>
              <w:rPr>
                <w:rFonts w:hint="eastAsia"/>
                <w:color w:val="000000"/>
              </w:rPr>
              <w:t>FSN and FAW</w:t>
            </w:r>
          </w:p>
        </w:tc>
      </w:tr>
      <w:tr w14:paraId="5B135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1662" w:type="dxa"/>
            <w:tcBorders>
              <w:top w:val="nil"/>
              <w:left w:val="nil"/>
              <w:bottom w:val="nil"/>
              <w:right w:val="nil"/>
            </w:tcBorders>
            <w:shd w:val="clear" w:color="auto" w:fill="FFFFFF"/>
          </w:tcPr>
          <w:p w14:paraId="581D9E38">
            <w:pPr>
              <w:jc w:val="left"/>
              <w:rPr>
                <w:color w:val="000000"/>
              </w:rPr>
            </w:pPr>
            <w:r>
              <w:rPr>
                <w:rFonts w:hint="eastAsia"/>
                <w:color w:val="000000"/>
              </w:rPr>
              <w:t>Riddick et al.</w:t>
            </w:r>
            <w:r>
              <w:rPr>
                <w:rFonts w:hint="eastAsia"/>
                <w:color w:val="000000"/>
                <w:vertAlign w:val="superscript"/>
              </w:rPr>
              <w:t>[30]</w:t>
            </w:r>
          </w:p>
        </w:tc>
        <w:tc>
          <w:tcPr>
            <w:tcW w:w="835" w:type="dxa"/>
            <w:tcBorders>
              <w:top w:val="nil"/>
              <w:left w:val="nil"/>
              <w:bottom w:val="nil"/>
              <w:right w:val="nil"/>
            </w:tcBorders>
            <w:shd w:val="clear" w:color="auto" w:fill="FFFFFF"/>
          </w:tcPr>
          <w:p w14:paraId="2F8552C5">
            <w:pPr>
              <w:rPr>
                <w:color w:val="000000"/>
              </w:rPr>
            </w:pPr>
            <w:r>
              <w:rPr>
                <w:rFonts w:hint="eastAsia"/>
                <w:color w:val="000000"/>
              </w:rPr>
              <w:t>2000</w:t>
            </w:r>
          </w:p>
        </w:tc>
        <w:tc>
          <w:tcPr>
            <w:tcW w:w="848" w:type="dxa"/>
            <w:tcBorders>
              <w:top w:val="nil"/>
              <w:left w:val="nil"/>
              <w:bottom w:val="nil"/>
              <w:right w:val="nil"/>
            </w:tcBorders>
            <w:shd w:val="clear" w:color="auto" w:fill="FFFFFF"/>
          </w:tcPr>
          <w:p w14:paraId="412601F5">
            <w:pPr>
              <w:rPr>
                <w:color w:val="000000"/>
              </w:rPr>
            </w:pPr>
            <w:r>
              <w:rPr>
                <w:rFonts w:hint="eastAsia"/>
                <w:color w:val="000000"/>
              </w:rPr>
              <w:t>12.0</w:t>
            </w:r>
          </w:p>
        </w:tc>
        <w:tc>
          <w:tcPr>
            <w:tcW w:w="754" w:type="dxa"/>
            <w:tcBorders>
              <w:top w:val="nil"/>
              <w:left w:val="nil"/>
              <w:bottom w:val="nil"/>
              <w:right w:val="nil"/>
            </w:tcBorders>
            <w:shd w:val="clear" w:color="auto" w:fill="FFFFFF"/>
          </w:tcPr>
          <w:p w14:paraId="2FB8A574">
            <w:pPr>
              <w:rPr>
                <w:color w:val="000000"/>
              </w:rPr>
            </w:pPr>
            <w:r>
              <w:rPr>
                <w:rFonts w:hint="eastAsia"/>
                <w:color w:val="000000"/>
              </w:rPr>
              <w:t>2.6</w:t>
            </w:r>
          </w:p>
        </w:tc>
        <w:tc>
          <w:tcPr>
            <w:tcW w:w="2037" w:type="dxa"/>
            <w:tcBorders>
              <w:top w:val="nil"/>
              <w:left w:val="nil"/>
              <w:bottom w:val="nil"/>
              <w:right w:val="nil"/>
            </w:tcBorders>
            <w:shd w:val="clear" w:color="auto" w:fill="FFFFFF"/>
          </w:tcPr>
          <w:p w14:paraId="78114E59">
            <w:pPr>
              <w:rPr>
                <w:color w:val="000000"/>
              </w:rPr>
            </w:pPr>
            <w:r>
              <w:rPr>
                <w:rFonts w:hint="eastAsia"/>
                <w:color w:val="000000"/>
              </w:rPr>
              <w:t>Process-based model</w:t>
            </w:r>
          </w:p>
        </w:tc>
        <w:tc>
          <w:tcPr>
            <w:tcW w:w="2479" w:type="dxa"/>
            <w:tcBorders>
              <w:top w:val="nil"/>
              <w:left w:val="nil"/>
              <w:bottom w:val="nil"/>
              <w:right w:val="nil"/>
            </w:tcBorders>
            <w:shd w:val="clear" w:color="auto" w:fill="FFFFFF"/>
          </w:tcPr>
          <w:p w14:paraId="0A3DE8BF">
            <w:pPr>
              <w:rPr>
                <w:color w:val="000000"/>
              </w:rPr>
            </w:pPr>
            <w:r>
              <w:rPr>
                <w:rFonts w:hint="eastAsia"/>
                <w:color w:val="000000"/>
              </w:rPr>
              <w:t>FSN</w:t>
            </w:r>
          </w:p>
        </w:tc>
      </w:tr>
      <w:tr w14:paraId="41520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1662" w:type="dxa"/>
            <w:vMerge w:val="restart"/>
            <w:tcBorders>
              <w:top w:val="nil"/>
              <w:left w:val="nil"/>
              <w:bottom w:val="nil"/>
              <w:right w:val="nil"/>
            </w:tcBorders>
            <w:shd w:val="clear" w:color="auto" w:fill="FFFFFF"/>
          </w:tcPr>
          <w:p w14:paraId="79A2E864">
            <w:pPr>
              <w:jc w:val="left"/>
              <w:rPr>
                <w:color w:val="000000"/>
              </w:rPr>
            </w:pPr>
            <w:r>
              <w:rPr>
                <w:rFonts w:hint="eastAsia"/>
                <w:color w:val="000000"/>
              </w:rPr>
              <w:t>Xu et al.</w:t>
            </w:r>
            <w:r>
              <w:rPr>
                <w:rFonts w:hint="eastAsia"/>
                <w:color w:val="000000"/>
                <w:vertAlign w:val="superscript"/>
              </w:rPr>
              <w:t>[31]</w:t>
            </w:r>
          </w:p>
        </w:tc>
        <w:tc>
          <w:tcPr>
            <w:tcW w:w="835" w:type="dxa"/>
            <w:tcBorders>
              <w:top w:val="nil"/>
              <w:left w:val="nil"/>
              <w:bottom w:val="nil"/>
              <w:right w:val="nil"/>
            </w:tcBorders>
            <w:shd w:val="clear" w:color="auto" w:fill="FFFFFF"/>
          </w:tcPr>
          <w:p w14:paraId="51240494">
            <w:pPr>
              <w:rPr>
                <w:color w:val="000000"/>
              </w:rPr>
            </w:pPr>
            <w:r>
              <w:rPr>
                <w:rFonts w:hint="eastAsia"/>
                <w:color w:val="000000"/>
              </w:rPr>
              <w:t>2000</w:t>
            </w:r>
          </w:p>
        </w:tc>
        <w:tc>
          <w:tcPr>
            <w:tcW w:w="848" w:type="dxa"/>
            <w:tcBorders>
              <w:top w:val="nil"/>
              <w:left w:val="nil"/>
              <w:bottom w:val="nil"/>
              <w:right w:val="nil"/>
            </w:tcBorders>
            <w:shd w:val="clear" w:color="auto" w:fill="FFFFFF"/>
          </w:tcPr>
          <w:p w14:paraId="28951E7E">
            <w:pPr>
              <w:rPr>
                <w:color w:val="000000"/>
              </w:rPr>
            </w:pPr>
            <w:r>
              <w:rPr>
                <w:rFonts w:hint="eastAsia"/>
                <w:color w:val="000000"/>
              </w:rPr>
              <w:t>13.6</w:t>
            </w:r>
          </w:p>
        </w:tc>
        <w:tc>
          <w:tcPr>
            <w:tcW w:w="754" w:type="dxa"/>
            <w:tcBorders>
              <w:top w:val="nil"/>
              <w:left w:val="nil"/>
              <w:bottom w:val="nil"/>
              <w:right w:val="nil"/>
            </w:tcBorders>
            <w:shd w:val="clear" w:color="auto" w:fill="FFFFFF"/>
          </w:tcPr>
          <w:p w14:paraId="4F64CFCC">
            <w:pPr>
              <w:rPr>
                <w:color w:val="000000"/>
              </w:rPr>
            </w:pPr>
            <w:r>
              <w:rPr>
                <w:rFonts w:hint="eastAsia"/>
                <w:color w:val="000000"/>
              </w:rPr>
              <w:t>3.3</w:t>
            </w:r>
          </w:p>
        </w:tc>
        <w:tc>
          <w:tcPr>
            <w:tcW w:w="2037" w:type="dxa"/>
            <w:tcBorders>
              <w:top w:val="nil"/>
              <w:left w:val="nil"/>
              <w:bottom w:val="nil"/>
              <w:right w:val="nil"/>
            </w:tcBorders>
            <w:shd w:val="clear" w:color="auto" w:fill="FFFFFF"/>
          </w:tcPr>
          <w:p w14:paraId="21685708">
            <w:pPr>
              <w:rPr>
                <w:color w:val="000000"/>
              </w:rPr>
            </w:pPr>
            <w:r>
              <w:rPr>
                <w:rFonts w:hint="eastAsia"/>
                <w:color w:val="000000"/>
              </w:rPr>
              <w:t>DLEM-Bi-NH</w:t>
            </w:r>
            <w:r>
              <w:rPr>
                <w:rFonts w:hint="eastAsia"/>
                <w:color w:val="000000"/>
                <w:vertAlign w:val="subscript"/>
              </w:rPr>
              <w:t>3</w:t>
            </w:r>
          </w:p>
        </w:tc>
        <w:tc>
          <w:tcPr>
            <w:tcW w:w="2479" w:type="dxa"/>
            <w:tcBorders>
              <w:top w:val="nil"/>
              <w:left w:val="nil"/>
              <w:bottom w:val="nil"/>
              <w:right w:val="nil"/>
            </w:tcBorders>
            <w:shd w:val="clear" w:color="auto" w:fill="FFFFFF"/>
          </w:tcPr>
          <w:p w14:paraId="646F38B2">
            <w:pPr>
              <w:rPr>
                <w:color w:val="000000"/>
              </w:rPr>
            </w:pPr>
            <w:r>
              <w:rPr>
                <w:rFonts w:hint="eastAsia"/>
                <w:color w:val="000000"/>
              </w:rPr>
              <w:t>FSN</w:t>
            </w:r>
          </w:p>
        </w:tc>
      </w:tr>
      <w:tr w14:paraId="1C68F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1662" w:type="dxa"/>
            <w:vMerge w:val="continue"/>
            <w:tcBorders>
              <w:top w:val="nil"/>
              <w:left w:val="nil"/>
              <w:bottom w:val="nil"/>
              <w:right w:val="nil"/>
            </w:tcBorders>
            <w:shd w:val="clear" w:color="auto" w:fill="FFFFFF"/>
          </w:tcPr>
          <w:p w14:paraId="7A9185B2">
            <w:pPr>
              <w:jc w:val="left"/>
              <w:rPr>
                <w:color w:val="000000"/>
              </w:rPr>
            </w:pPr>
          </w:p>
        </w:tc>
        <w:tc>
          <w:tcPr>
            <w:tcW w:w="835" w:type="dxa"/>
            <w:tcBorders>
              <w:top w:val="nil"/>
              <w:left w:val="nil"/>
              <w:bottom w:val="nil"/>
              <w:right w:val="nil"/>
            </w:tcBorders>
            <w:shd w:val="clear" w:color="auto" w:fill="FFFFFF"/>
          </w:tcPr>
          <w:p w14:paraId="290674BC">
            <w:pPr>
              <w:rPr>
                <w:color w:val="000000"/>
              </w:rPr>
            </w:pPr>
            <w:r>
              <w:rPr>
                <w:rFonts w:hint="eastAsia"/>
                <w:color w:val="000000"/>
              </w:rPr>
              <w:t>2010</w:t>
            </w:r>
          </w:p>
        </w:tc>
        <w:tc>
          <w:tcPr>
            <w:tcW w:w="848" w:type="dxa"/>
            <w:tcBorders>
              <w:top w:val="nil"/>
              <w:left w:val="nil"/>
              <w:bottom w:val="nil"/>
              <w:right w:val="nil"/>
            </w:tcBorders>
            <w:shd w:val="clear" w:color="auto" w:fill="FFFFFF"/>
          </w:tcPr>
          <w:p w14:paraId="072A9780">
            <w:pPr>
              <w:rPr>
                <w:color w:val="000000"/>
              </w:rPr>
            </w:pPr>
            <w:r>
              <w:rPr>
                <w:rFonts w:hint="eastAsia"/>
                <w:color w:val="000000"/>
              </w:rPr>
              <w:t>16.7</w:t>
            </w:r>
          </w:p>
        </w:tc>
        <w:tc>
          <w:tcPr>
            <w:tcW w:w="754" w:type="dxa"/>
            <w:tcBorders>
              <w:top w:val="nil"/>
              <w:left w:val="nil"/>
              <w:bottom w:val="nil"/>
              <w:right w:val="nil"/>
            </w:tcBorders>
            <w:shd w:val="clear" w:color="auto" w:fill="FFFFFF"/>
          </w:tcPr>
          <w:p w14:paraId="30D40A49">
            <w:pPr>
              <w:rPr>
                <w:color w:val="000000"/>
              </w:rPr>
            </w:pPr>
            <w:r>
              <w:rPr>
                <w:rFonts w:hint="eastAsia"/>
                <w:color w:val="000000"/>
              </w:rPr>
              <w:t>4.2</w:t>
            </w:r>
          </w:p>
        </w:tc>
        <w:tc>
          <w:tcPr>
            <w:tcW w:w="2037" w:type="dxa"/>
            <w:tcBorders>
              <w:top w:val="nil"/>
              <w:left w:val="nil"/>
              <w:bottom w:val="nil"/>
              <w:right w:val="nil"/>
            </w:tcBorders>
            <w:shd w:val="clear" w:color="auto" w:fill="FFFFFF"/>
          </w:tcPr>
          <w:p w14:paraId="449E7635">
            <w:pPr>
              <w:rPr>
                <w:color w:val="000000"/>
              </w:rPr>
            </w:pPr>
            <w:r>
              <w:rPr>
                <w:rFonts w:hint="eastAsia"/>
                <w:color w:val="000000"/>
              </w:rPr>
              <w:t>DLEM-Bi-NH</w:t>
            </w:r>
            <w:r>
              <w:rPr>
                <w:rFonts w:hint="eastAsia"/>
                <w:color w:val="000000"/>
                <w:vertAlign w:val="subscript"/>
              </w:rPr>
              <w:t>3</w:t>
            </w:r>
          </w:p>
        </w:tc>
        <w:tc>
          <w:tcPr>
            <w:tcW w:w="2479" w:type="dxa"/>
            <w:tcBorders>
              <w:top w:val="nil"/>
              <w:left w:val="nil"/>
              <w:bottom w:val="nil"/>
              <w:right w:val="nil"/>
            </w:tcBorders>
            <w:shd w:val="clear" w:color="auto" w:fill="FFFFFF"/>
          </w:tcPr>
          <w:p w14:paraId="549231F8">
            <w:pPr>
              <w:rPr>
                <w:color w:val="000000"/>
              </w:rPr>
            </w:pPr>
            <w:r>
              <w:rPr>
                <w:rFonts w:hint="eastAsia"/>
                <w:color w:val="000000"/>
              </w:rPr>
              <w:t>FSN</w:t>
            </w:r>
          </w:p>
        </w:tc>
      </w:tr>
      <w:tr w14:paraId="3862E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1662" w:type="dxa"/>
            <w:tcBorders>
              <w:top w:val="nil"/>
              <w:left w:val="nil"/>
              <w:bottom w:val="nil"/>
              <w:right w:val="nil"/>
            </w:tcBorders>
            <w:shd w:val="clear" w:color="auto" w:fill="FFFFFF"/>
          </w:tcPr>
          <w:p w14:paraId="27ED3BBB">
            <w:pPr>
              <w:jc w:val="left"/>
              <w:rPr>
                <w:color w:val="000000"/>
              </w:rPr>
            </w:pPr>
            <w:r>
              <w:rPr>
                <w:rFonts w:hint="eastAsia"/>
                <w:color w:val="000000"/>
              </w:rPr>
              <w:t>IPCC Tier 1</w:t>
            </w:r>
          </w:p>
        </w:tc>
        <w:tc>
          <w:tcPr>
            <w:tcW w:w="835" w:type="dxa"/>
            <w:tcBorders>
              <w:top w:val="nil"/>
              <w:left w:val="nil"/>
              <w:bottom w:val="nil"/>
              <w:right w:val="nil"/>
            </w:tcBorders>
            <w:shd w:val="clear" w:color="auto" w:fill="FFFFFF"/>
          </w:tcPr>
          <w:p w14:paraId="67F3744F">
            <w:pPr>
              <w:rPr>
                <w:color w:val="000000"/>
              </w:rPr>
            </w:pPr>
            <w:r>
              <w:rPr>
                <w:rFonts w:hint="eastAsia"/>
                <w:color w:val="000000"/>
              </w:rPr>
              <w:t>2000</w:t>
            </w:r>
          </w:p>
        </w:tc>
        <w:tc>
          <w:tcPr>
            <w:tcW w:w="848" w:type="dxa"/>
            <w:tcBorders>
              <w:top w:val="nil"/>
              <w:left w:val="nil"/>
              <w:bottom w:val="nil"/>
              <w:right w:val="nil"/>
            </w:tcBorders>
            <w:shd w:val="clear" w:color="auto" w:fill="FFFFFF"/>
          </w:tcPr>
          <w:p w14:paraId="1484AD05">
            <w:pPr>
              <w:rPr>
                <w:color w:val="000000"/>
              </w:rPr>
            </w:pPr>
            <w:r>
              <w:rPr>
                <w:rFonts w:hint="eastAsia"/>
                <w:color w:val="000000"/>
              </w:rPr>
              <w:t>13.8</w:t>
            </w:r>
          </w:p>
        </w:tc>
        <w:tc>
          <w:tcPr>
            <w:tcW w:w="754" w:type="dxa"/>
            <w:tcBorders>
              <w:top w:val="nil"/>
              <w:left w:val="nil"/>
              <w:bottom w:val="nil"/>
              <w:right w:val="nil"/>
            </w:tcBorders>
            <w:shd w:val="clear" w:color="auto" w:fill="FFFFFF"/>
          </w:tcPr>
          <w:p w14:paraId="727580EF">
            <w:pPr>
              <w:rPr>
                <w:color w:val="000000"/>
              </w:rPr>
            </w:pPr>
          </w:p>
        </w:tc>
        <w:tc>
          <w:tcPr>
            <w:tcW w:w="2037" w:type="dxa"/>
            <w:tcBorders>
              <w:top w:val="nil"/>
              <w:left w:val="nil"/>
              <w:bottom w:val="nil"/>
              <w:right w:val="nil"/>
            </w:tcBorders>
            <w:shd w:val="clear" w:color="auto" w:fill="FFFFFF"/>
          </w:tcPr>
          <w:p w14:paraId="34940C8B">
            <w:pPr>
              <w:rPr>
                <w:color w:val="000000"/>
              </w:rPr>
            </w:pPr>
            <w:r>
              <w:rPr>
                <w:rFonts w:hint="eastAsia"/>
                <w:color w:val="000000"/>
              </w:rPr>
              <w:t>Constant EF</w:t>
            </w:r>
          </w:p>
        </w:tc>
        <w:tc>
          <w:tcPr>
            <w:tcW w:w="2479" w:type="dxa"/>
            <w:tcBorders>
              <w:top w:val="nil"/>
              <w:left w:val="nil"/>
              <w:bottom w:val="nil"/>
              <w:right w:val="nil"/>
            </w:tcBorders>
            <w:shd w:val="clear" w:color="auto" w:fill="FFFFFF"/>
          </w:tcPr>
          <w:p w14:paraId="7542824E">
            <w:pPr>
              <w:rPr>
                <w:color w:val="000000"/>
              </w:rPr>
            </w:pPr>
            <w:r>
              <w:rPr>
                <w:rFonts w:hint="eastAsia"/>
                <w:color w:val="000000"/>
              </w:rPr>
              <w:t>FSN, FAW, and FCR</w:t>
            </w:r>
          </w:p>
        </w:tc>
      </w:tr>
      <w:tr w14:paraId="20878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1662" w:type="dxa"/>
            <w:tcBorders>
              <w:top w:val="nil"/>
              <w:left w:val="nil"/>
              <w:bottom w:val="nil"/>
              <w:right w:val="nil"/>
            </w:tcBorders>
            <w:shd w:val="clear" w:color="auto" w:fill="FFFFFF"/>
          </w:tcPr>
          <w:p w14:paraId="317157F7">
            <w:pPr>
              <w:jc w:val="left"/>
              <w:rPr>
                <w:color w:val="000000"/>
              </w:rPr>
            </w:pPr>
            <w:r>
              <w:rPr>
                <w:rFonts w:hint="eastAsia"/>
                <w:color w:val="000000"/>
              </w:rPr>
              <w:t>Paulot et al.</w:t>
            </w:r>
            <w:r>
              <w:rPr>
                <w:rFonts w:hint="eastAsia"/>
                <w:color w:val="000000"/>
                <w:vertAlign w:val="superscript"/>
              </w:rPr>
              <w:t>[32]</w:t>
            </w:r>
          </w:p>
        </w:tc>
        <w:tc>
          <w:tcPr>
            <w:tcW w:w="835" w:type="dxa"/>
            <w:tcBorders>
              <w:top w:val="nil"/>
              <w:left w:val="nil"/>
              <w:bottom w:val="nil"/>
              <w:right w:val="nil"/>
            </w:tcBorders>
            <w:shd w:val="clear" w:color="auto" w:fill="FFFFFF"/>
          </w:tcPr>
          <w:p w14:paraId="346A7499">
            <w:pPr>
              <w:rPr>
                <w:color w:val="000000"/>
              </w:rPr>
            </w:pPr>
            <w:r>
              <w:rPr>
                <w:rFonts w:hint="eastAsia"/>
                <w:color w:val="000000"/>
              </w:rPr>
              <w:t>2005-2008</w:t>
            </w:r>
          </w:p>
        </w:tc>
        <w:tc>
          <w:tcPr>
            <w:tcW w:w="848" w:type="dxa"/>
            <w:tcBorders>
              <w:top w:val="nil"/>
              <w:left w:val="nil"/>
              <w:bottom w:val="nil"/>
              <w:right w:val="nil"/>
            </w:tcBorders>
            <w:shd w:val="clear" w:color="auto" w:fill="FFFFFF"/>
          </w:tcPr>
          <w:p w14:paraId="6ABB6389">
            <w:pPr>
              <w:rPr>
                <w:color w:val="000000"/>
              </w:rPr>
            </w:pPr>
            <w:r>
              <w:rPr>
                <w:rFonts w:hint="eastAsia"/>
                <w:color w:val="000000"/>
              </w:rPr>
              <w:t>9.4</w:t>
            </w:r>
          </w:p>
        </w:tc>
        <w:tc>
          <w:tcPr>
            <w:tcW w:w="754" w:type="dxa"/>
            <w:tcBorders>
              <w:top w:val="nil"/>
              <w:left w:val="nil"/>
              <w:bottom w:val="nil"/>
              <w:right w:val="nil"/>
            </w:tcBorders>
            <w:shd w:val="clear" w:color="auto" w:fill="FFFFFF"/>
          </w:tcPr>
          <w:p w14:paraId="18C2FBD1">
            <w:pPr>
              <w:rPr>
                <w:color w:val="000000"/>
              </w:rPr>
            </w:pPr>
            <w:r>
              <w:rPr>
                <w:rFonts w:hint="eastAsia"/>
                <w:color w:val="000000"/>
              </w:rPr>
              <w:t>3.0</w:t>
            </w:r>
          </w:p>
        </w:tc>
        <w:tc>
          <w:tcPr>
            <w:tcW w:w="2037" w:type="dxa"/>
            <w:tcBorders>
              <w:top w:val="nil"/>
              <w:left w:val="nil"/>
              <w:bottom w:val="nil"/>
              <w:right w:val="nil"/>
            </w:tcBorders>
            <w:shd w:val="clear" w:color="auto" w:fill="FFFFFF"/>
          </w:tcPr>
          <w:p w14:paraId="4F710291">
            <w:pPr>
              <w:jc w:val="left"/>
              <w:rPr>
                <w:color w:val="000000"/>
              </w:rPr>
            </w:pPr>
            <w:r>
              <w:rPr>
                <w:rFonts w:hint="eastAsia"/>
                <w:color w:val="000000"/>
              </w:rPr>
              <w:t>Data-driven model</w:t>
            </w:r>
          </w:p>
        </w:tc>
        <w:tc>
          <w:tcPr>
            <w:tcW w:w="2479" w:type="dxa"/>
            <w:tcBorders>
              <w:top w:val="nil"/>
              <w:left w:val="nil"/>
              <w:bottom w:val="nil"/>
              <w:right w:val="nil"/>
            </w:tcBorders>
            <w:shd w:val="clear" w:color="auto" w:fill="FFFFFF"/>
          </w:tcPr>
          <w:p w14:paraId="7DE2AE2B">
            <w:pPr>
              <w:rPr>
                <w:color w:val="000000"/>
              </w:rPr>
            </w:pPr>
            <w:r>
              <w:rPr>
                <w:rFonts w:hint="eastAsia"/>
                <w:color w:val="000000"/>
              </w:rPr>
              <w:t>FSN</w:t>
            </w:r>
          </w:p>
        </w:tc>
      </w:tr>
      <w:tr w14:paraId="04406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1662" w:type="dxa"/>
            <w:tcBorders>
              <w:top w:val="nil"/>
              <w:left w:val="nil"/>
              <w:bottom w:val="nil"/>
              <w:right w:val="nil"/>
            </w:tcBorders>
            <w:shd w:val="clear" w:color="auto" w:fill="FFFFFF"/>
          </w:tcPr>
          <w:p w14:paraId="1358292F">
            <w:pPr>
              <w:jc w:val="left"/>
              <w:rPr>
                <w:color w:val="000000"/>
              </w:rPr>
            </w:pPr>
            <w:r>
              <w:rPr>
                <w:rFonts w:hint="eastAsia"/>
                <w:color w:val="000000"/>
              </w:rPr>
              <w:t>Vira et al.</w:t>
            </w:r>
            <w:r>
              <w:rPr>
                <w:rFonts w:hint="eastAsia"/>
                <w:color w:val="000000"/>
                <w:vertAlign w:val="superscript"/>
              </w:rPr>
              <w:t>[33]</w:t>
            </w:r>
          </w:p>
        </w:tc>
        <w:tc>
          <w:tcPr>
            <w:tcW w:w="835" w:type="dxa"/>
            <w:tcBorders>
              <w:top w:val="nil"/>
              <w:left w:val="nil"/>
              <w:bottom w:val="nil"/>
              <w:right w:val="nil"/>
            </w:tcBorders>
            <w:shd w:val="clear" w:color="auto" w:fill="FFFFFF"/>
          </w:tcPr>
          <w:p w14:paraId="7CF66CA7">
            <w:pPr>
              <w:rPr>
                <w:color w:val="000000"/>
              </w:rPr>
            </w:pPr>
            <w:r>
              <w:rPr>
                <w:rFonts w:hint="eastAsia"/>
                <w:color w:val="000000"/>
              </w:rPr>
              <w:t>2010-2015</w:t>
            </w:r>
          </w:p>
        </w:tc>
        <w:tc>
          <w:tcPr>
            <w:tcW w:w="848" w:type="dxa"/>
            <w:tcBorders>
              <w:top w:val="nil"/>
              <w:left w:val="nil"/>
              <w:bottom w:val="nil"/>
              <w:right w:val="nil"/>
            </w:tcBorders>
            <w:shd w:val="clear" w:color="auto" w:fill="FFFFFF"/>
          </w:tcPr>
          <w:p w14:paraId="5CA8C62C">
            <w:pPr>
              <w:rPr>
                <w:color w:val="000000"/>
              </w:rPr>
            </w:pPr>
            <w:r>
              <w:rPr>
                <w:rFonts w:hint="eastAsia"/>
                <w:color w:val="000000"/>
              </w:rPr>
              <w:t>11.0</w:t>
            </w:r>
          </w:p>
        </w:tc>
        <w:tc>
          <w:tcPr>
            <w:tcW w:w="754" w:type="dxa"/>
            <w:tcBorders>
              <w:top w:val="nil"/>
              <w:left w:val="nil"/>
              <w:bottom w:val="nil"/>
              <w:right w:val="nil"/>
            </w:tcBorders>
            <w:shd w:val="clear" w:color="auto" w:fill="FFFFFF"/>
          </w:tcPr>
          <w:p w14:paraId="6BD638E6">
            <w:pPr>
              <w:rPr>
                <w:color w:val="000000"/>
              </w:rPr>
            </w:pPr>
            <w:r>
              <w:rPr>
                <w:rFonts w:hint="eastAsia"/>
                <w:color w:val="000000"/>
              </w:rPr>
              <w:t>2.3</w:t>
            </w:r>
          </w:p>
        </w:tc>
        <w:tc>
          <w:tcPr>
            <w:tcW w:w="2037" w:type="dxa"/>
            <w:tcBorders>
              <w:top w:val="nil"/>
              <w:left w:val="nil"/>
              <w:bottom w:val="nil"/>
              <w:right w:val="nil"/>
            </w:tcBorders>
            <w:shd w:val="clear" w:color="auto" w:fill="FFFFFF"/>
          </w:tcPr>
          <w:p w14:paraId="1CE3E845">
            <w:pPr>
              <w:jc w:val="left"/>
              <w:rPr>
                <w:color w:val="000000"/>
              </w:rPr>
            </w:pPr>
            <w:r>
              <w:rPr>
                <w:rFonts w:hint="eastAsia"/>
                <w:color w:val="000000"/>
              </w:rPr>
              <w:t>Process-based model</w:t>
            </w:r>
          </w:p>
        </w:tc>
        <w:tc>
          <w:tcPr>
            <w:tcW w:w="2479" w:type="dxa"/>
            <w:tcBorders>
              <w:top w:val="nil"/>
              <w:left w:val="nil"/>
              <w:bottom w:val="nil"/>
              <w:right w:val="nil"/>
            </w:tcBorders>
            <w:shd w:val="clear" w:color="auto" w:fill="FFFFFF"/>
          </w:tcPr>
          <w:p w14:paraId="7681644B">
            <w:pPr>
              <w:rPr>
                <w:color w:val="000000"/>
              </w:rPr>
            </w:pPr>
            <w:r>
              <w:rPr>
                <w:rFonts w:hint="eastAsia"/>
                <w:color w:val="000000"/>
              </w:rPr>
              <w:t>FSN</w:t>
            </w:r>
          </w:p>
        </w:tc>
      </w:tr>
      <w:tr w14:paraId="052AD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1662" w:type="dxa"/>
            <w:tcBorders>
              <w:top w:val="nil"/>
              <w:left w:val="nil"/>
              <w:bottom w:val="nil"/>
              <w:right w:val="nil"/>
            </w:tcBorders>
            <w:shd w:val="clear" w:color="auto" w:fill="FFFFFF"/>
          </w:tcPr>
          <w:p w14:paraId="5DD1567A">
            <w:pPr>
              <w:jc w:val="left"/>
              <w:rPr>
                <w:color w:val="000000"/>
              </w:rPr>
            </w:pPr>
            <w:r>
              <w:rPr>
                <w:rFonts w:hint="eastAsia"/>
                <w:color w:val="000000"/>
              </w:rPr>
              <w:t>Zhan et al.</w:t>
            </w:r>
            <w:r>
              <w:rPr>
                <w:rFonts w:hint="eastAsia"/>
                <w:color w:val="000000"/>
                <w:vertAlign w:val="superscript"/>
              </w:rPr>
              <w:t>[34]</w:t>
            </w:r>
          </w:p>
        </w:tc>
        <w:tc>
          <w:tcPr>
            <w:tcW w:w="835" w:type="dxa"/>
            <w:tcBorders>
              <w:top w:val="nil"/>
              <w:left w:val="nil"/>
              <w:bottom w:val="nil"/>
              <w:right w:val="nil"/>
            </w:tcBorders>
            <w:shd w:val="clear" w:color="auto" w:fill="FFFFFF"/>
          </w:tcPr>
          <w:p w14:paraId="0969CBE9">
            <w:pPr>
              <w:rPr>
                <w:color w:val="000000"/>
              </w:rPr>
            </w:pPr>
            <w:r>
              <w:rPr>
                <w:rFonts w:hint="eastAsia"/>
                <w:color w:val="000000"/>
              </w:rPr>
              <w:t>2000</w:t>
            </w:r>
          </w:p>
        </w:tc>
        <w:tc>
          <w:tcPr>
            <w:tcW w:w="848" w:type="dxa"/>
            <w:tcBorders>
              <w:top w:val="nil"/>
              <w:left w:val="nil"/>
              <w:bottom w:val="nil"/>
              <w:right w:val="nil"/>
            </w:tcBorders>
            <w:shd w:val="clear" w:color="auto" w:fill="FFFFFF"/>
          </w:tcPr>
          <w:p w14:paraId="27891110">
            <w:pPr>
              <w:rPr>
                <w:color w:val="000000"/>
              </w:rPr>
            </w:pPr>
            <w:r>
              <w:rPr>
                <w:rFonts w:hint="eastAsia"/>
                <w:color w:val="000000"/>
              </w:rPr>
              <w:t>14.4</w:t>
            </w:r>
          </w:p>
        </w:tc>
        <w:tc>
          <w:tcPr>
            <w:tcW w:w="754" w:type="dxa"/>
            <w:tcBorders>
              <w:top w:val="nil"/>
              <w:left w:val="nil"/>
              <w:bottom w:val="nil"/>
              <w:right w:val="nil"/>
            </w:tcBorders>
            <w:shd w:val="clear" w:color="auto" w:fill="FFFFFF"/>
          </w:tcPr>
          <w:p w14:paraId="2F4A1E9C">
            <w:pPr>
              <w:rPr>
                <w:color w:val="000000"/>
              </w:rPr>
            </w:pPr>
            <w:r>
              <w:rPr>
                <w:rFonts w:hint="eastAsia"/>
                <w:color w:val="000000"/>
              </w:rPr>
              <w:t>4.5</w:t>
            </w:r>
          </w:p>
        </w:tc>
        <w:tc>
          <w:tcPr>
            <w:tcW w:w="2037" w:type="dxa"/>
            <w:tcBorders>
              <w:top w:val="nil"/>
              <w:left w:val="nil"/>
              <w:bottom w:val="nil"/>
              <w:right w:val="nil"/>
            </w:tcBorders>
            <w:shd w:val="clear" w:color="auto" w:fill="FFFFFF"/>
          </w:tcPr>
          <w:p w14:paraId="5A254E92">
            <w:pPr>
              <w:jc w:val="left"/>
              <w:rPr>
                <w:color w:val="000000"/>
              </w:rPr>
            </w:pPr>
            <w:r>
              <w:rPr>
                <w:rFonts w:hint="eastAsia"/>
                <w:color w:val="000000"/>
              </w:rPr>
              <w:t>U</w:t>
            </w:r>
            <w:r>
              <w:rPr>
                <w:color w:val="000000"/>
              </w:rPr>
              <w:t>pdated data-driven model</w:t>
            </w:r>
          </w:p>
        </w:tc>
        <w:tc>
          <w:tcPr>
            <w:tcW w:w="2479" w:type="dxa"/>
            <w:tcBorders>
              <w:top w:val="nil"/>
              <w:left w:val="nil"/>
              <w:bottom w:val="nil"/>
              <w:right w:val="nil"/>
            </w:tcBorders>
            <w:shd w:val="clear" w:color="auto" w:fill="FFFFFF"/>
          </w:tcPr>
          <w:p w14:paraId="72C976D6">
            <w:pPr>
              <w:rPr>
                <w:color w:val="000000"/>
              </w:rPr>
            </w:pPr>
            <w:r>
              <w:rPr>
                <w:rFonts w:hint="eastAsia"/>
                <w:color w:val="000000"/>
              </w:rPr>
              <w:t>FSN, FAW, and FCR</w:t>
            </w:r>
          </w:p>
        </w:tc>
      </w:tr>
      <w:tr w14:paraId="4613C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1662" w:type="dxa"/>
            <w:tcBorders>
              <w:top w:val="nil"/>
              <w:left w:val="nil"/>
              <w:bottom w:val="nil"/>
              <w:right w:val="nil"/>
            </w:tcBorders>
            <w:shd w:val="clear" w:color="auto" w:fill="FFFFFF"/>
          </w:tcPr>
          <w:p w14:paraId="22DB504C">
            <w:pPr>
              <w:jc w:val="left"/>
              <w:rPr>
                <w:color w:val="000000"/>
              </w:rPr>
            </w:pPr>
            <w:r>
              <w:rPr>
                <w:rFonts w:hint="eastAsia"/>
                <w:color w:val="000000"/>
              </w:rPr>
              <w:t>Xu et al.</w:t>
            </w:r>
            <w:r>
              <w:rPr>
                <w:rFonts w:hint="eastAsia"/>
                <w:color w:val="000000"/>
                <w:vertAlign w:val="superscript"/>
              </w:rPr>
              <w:t>[35]</w:t>
            </w:r>
            <w:r>
              <w:rPr>
                <w:rFonts w:hint="eastAsia"/>
                <w:color w:val="000000"/>
              </w:rPr>
              <w:t xml:space="preserve"> </w:t>
            </w:r>
          </w:p>
        </w:tc>
        <w:tc>
          <w:tcPr>
            <w:tcW w:w="835" w:type="dxa"/>
            <w:tcBorders>
              <w:top w:val="nil"/>
              <w:left w:val="nil"/>
              <w:bottom w:val="nil"/>
              <w:right w:val="nil"/>
            </w:tcBorders>
            <w:shd w:val="clear" w:color="auto" w:fill="FFFFFF"/>
          </w:tcPr>
          <w:p w14:paraId="2BF57C86">
            <w:pPr>
              <w:rPr>
                <w:color w:val="000000"/>
              </w:rPr>
            </w:pPr>
            <w:r>
              <w:rPr>
                <w:rFonts w:hint="eastAsia"/>
                <w:color w:val="000000"/>
              </w:rPr>
              <w:t>2018</w:t>
            </w:r>
          </w:p>
        </w:tc>
        <w:tc>
          <w:tcPr>
            <w:tcW w:w="848" w:type="dxa"/>
            <w:tcBorders>
              <w:top w:val="nil"/>
              <w:left w:val="nil"/>
              <w:bottom w:val="nil"/>
              <w:right w:val="nil"/>
            </w:tcBorders>
            <w:shd w:val="clear" w:color="auto" w:fill="FFFFFF"/>
          </w:tcPr>
          <w:p w14:paraId="0735EFB1">
            <w:pPr>
              <w:rPr>
                <w:color w:val="000000"/>
              </w:rPr>
            </w:pPr>
            <w:r>
              <w:rPr>
                <w:rFonts w:hint="eastAsia"/>
                <w:color w:val="000000"/>
              </w:rPr>
              <w:t>4.3</w:t>
            </w:r>
          </w:p>
        </w:tc>
        <w:tc>
          <w:tcPr>
            <w:tcW w:w="754" w:type="dxa"/>
            <w:tcBorders>
              <w:top w:val="nil"/>
              <w:left w:val="nil"/>
              <w:bottom w:val="nil"/>
              <w:right w:val="nil"/>
            </w:tcBorders>
            <w:shd w:val="clear" w:color="auto" w:fill="FFFFFF"/>
          </w:tcPr>
          <w:p w14:paraId="76F1B82A">
            <w:pPr>
              <w:rPr>
                <w:color w:val="000000"/>
              </w:rPr>
            </w:pPr>
            <w:r>
              <w:rPr>
                <w:rFonts w:hint="eastAsia"/>
                <w:color w:val="000000"/>
              </w:rPr>
              <w:t xml:space="preserve">1.4 </w:t>
            </w:r>
          </w:p>
        </w:tc>
        <w:tc>
          <w:tcPr>
            <w:tcW w:w="2037" w:type="dxa"/>
            <w:tcBorders>
              <w:top w:val="nil"/>
              <w:left w:val="nil"/>
              <w:bottom w:val="nil"/>
              <w:right w:val="nil"/>
            </w:tcBorders>
            <w:shd w:val="clear" w:color="auto" w:fill="FFFFFF"/>
          </w:tcPr>
          <w:p w14:paraId="4549E67A">
            <w:pPr>
              <w:jc w:val="left"/>
              <w:rPr>
                <w:color w:val="000000"/>
              </w:rPr>
            </w:pPr>
            <w:r>
              <w:rPr>
                <w:rFonts w:hint="eastAsia"/>
                <w:color w:val="000000"/>
              </w:rPr>
              <w:t xml:space="preserve">Machine learning model </w:t>
            </w:r>
          </w:p>
        </w:tc>
        <w:tc>
          <w:tcPr>
            <w:tcW w:w="2479" w:type="dxa"/>
            <w:tcBorders>
              <w:top w:val="nil"/>
              <w:left w:val="nil"/>
              <w:bottom w:val="nil"/>
              <w:right w:val="nil"/>
            </w:tcBorders>
            <w:shd w:val="clear" w:color="auto" w:fill="FFFFFF"/>
          </w:tcPr>
          <w:p w14:paraId="44B80DD3">
            <w:pPr>
              <w:jc w:val="left"/>
              <w:rPr>
                <w:color w:val="000000"/>
              </w:rPr>
            </w:pPr>
            <w:r>
              <w:rPr>
                <w:rFonts w:hint="eastAsia"/>
                <w:color w:val="000000"/>
              </w:rPr>
              <w:t>FSN and FAW in rice, maize and wheat fields</w:t>
            </w:r>
          </w:p>
        </w:tc>
      </w:tr>
      <w:tr w14:paraId="10785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1662" w:type="dxa"/>
            <w:tcBorders>
              <w:top w:val="nil"/>
              <w:left w:val="nil"/>
              <w:bottom w:val="nil"/>
              <w:right w:val="nil"/>
            </w:tcBorders>
            <w:shd w:val="clear" w:color="auto" w:fill="FFFFFF"/>
          </w:tcPr>
          <w:p w14:paraId="79847ECE">
            <w:pPr>
              <w:rPr>
                <w:color w:val="000000"/>
              </w:rPr>
            </w:pPr>
            <w:r>
              <w:rPr>
                <w:rFonts w:hint="eastAsia"/>
                <w:color w:val="000000"/>
              </w:rPr>
              <w:t>Zhang et al.</w:t>
            </w:r>
            <w:r>
              <w:rPr>
                <w:rFonts w:hint="eastAsia"/>
                <w:color w:val="000000"/>
                <w:vertAlign w:val="superscript"/>
              </w:rPr>
              <w:t>[36]</w:t>
            </w:r>
          </w:p>
        </w:tc>
        <w:tc>
          <w:tcPr>
            <w:tcW w:w="835" w:type="dxa"/>
            <w:tcBorders>
              <w:top w:val="nil"/>
              <w:left w:val="nil"/>
              <w:bottom w:val="nil"/>
              <w:right w:val="nil"/>
            </w:tcBorders>
            <w:shd w:val="clear" w:color="auto" w:fill="FFFFFF"/>
          </w:tcPr>
          <w:p w14:paraId="798A7008">
            <w:pPr>
              <w:rPr>
                <w:color w:val="000000"/>
              </w:rPr>
            </w:pPr>
            <w:r>
              <w:rPr>
                <w:rFonts w:hint="eastAsia"/>
                <w:color w:val="000000"/>
              </w:rPr>
              <w:t>2020</w:t>
            </w:r>
          </w:p>
        </w:tc>
        <w:tc>
          <w:tcPr>
            <w:tcW w:w="848" w:type="dxa"/>
            <w:tcBorders>
              <w:top w:val="nil"/>
              <w:left w:val="nil"/>
              <w:bottom w:val="nil"/>
              <w:right w:val="nil"/>
            </w:tcBorders>
            <w:shd w:val="clear" w:color="auto" w:fill="FFFFFF"/>
          </w:tcPr>
          <w:p w14:paraId="6CD4AACB">
            <w:pPr>
              <w:rPr>
                <w:color w:val="000000"/>
              </w:rPr>
            </w:pPr>
            <w:r>
              <w:rPr>
                <w:rFonts w:hint="eastAsia"/>
                <w:color w:val="000000"/>
              </w:rPr>
              <w:t>22</w:t>
            </w:r>
          </w:p>
        </w:tc>
        <w:tc>
          <w:tcPr>
            <w:tcW w:w="754" w:type="dxa"/>
            <w:tcBorders>
              <w:top w:val="nil"/>
              <w:left w:val="nil"/>
              <w:bottom w:val="nil"/>
              <w:right w:val="nil"/>
            </w:tcBorders>
            <w:shd w:val="clear" w:color="auto" w:fill="FFFFFF"/>
          </w:tcPr>
          <w:p w14:paraId="12CFA7D4">
            <w:pPr>
              <w:rPr>
                <w:color w:val="000000"/>
              </w:rPr>
            </w:pPr>
          </w:p>
        </w:tc>
        <w:tc>
          <w:tcPr>
            <w:tcW w:w="2037" w:type="dxa"/>
            <w:tcBorders>
              <w:top w:val="nil"/>
              <w:left w:val="nil"/>
              <w:bottom w:val="nil"/>
              <w:right w:val="nil"/>
            </w:tcBorders>
            <w:shd w:val="clear" w:color="auto" w:fill="FFFFFF"/>
          </w:tcPr>
          <w:p w14:paraId="153A59F2">
            <w:pPr>
              <w:jc w:val="left"/>
              <w:rPr>
                <w:color w:val="000000"/>
              </w:rPr>
            </w:pPr>
            <w:r>
              <w:rPr>
                <w:rFonts w:hint="eastAsia"/>
                <w:color w:val="000000"/>
              </w:rPr>
              <w:t>CHANS mass-balance model</w:t>
            </w:r>
          </w:p>
        </w:tc>
        <w:tc>
          <w:tcPr>
            <w:tcW w:w="2479" w:type="dxa"/>
            <w:tcBorders>
              <w:top w:val="nil"/>
              <w:left w:val="nil"/>
              <w:bottom w:val="nil"/>
              <w:right w:val="nil"/>
            </w:tcBorders>
            <w:shd w:val="clear" w:color="auto" w:fill="FFFFFF"/>
          </w:tcPr>
          <w:p w14:paraId="4F081E81">
            <w:pPr>
              <w:rPr>
                <w:color w:val="000000"/>
              </w:rPr>
            </w:pPr>
            <w:r>
              <w:rPr>
                <w:rFonts w:hint="eastAsia"/>
                <w:color w:val="000000"/>
              </w:rPr>
              <w:t>All N fertilizer input</w:t>
            </w:r>
          </w:p>
        </w:tc>
      </w:tr>
      <w:tr w14:paraId="69A8F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1662" w:type="dxa"/>
            <w:tcBorders>
              <w:top w:val="nil"/>
              <w:left w:val="nil"/>
              <w:bottom w:val="nil"/>
              <w:right w:val="nil"/>
            </w:tcBorders>
            <w:shd w:val="clear" w:color="auto" w:fill="FFFFFF"/>
          </w:tcPr>
          <w:p w14:paraId="19C6ED3A">
            <w:pPr>
              <w:rPr>
                <w:color w:val="000000"/>
              </w:rPr>
            </w:pPr>
            <w:r>
              <w:rPr>
                <w:rFonts w:hint="eastAsia"/>
                <w:color w:val="000000"/>
              </w:rPr>
              <w:t>Zhang et al.</w:t>
            </w:r>
            <w:r>
              <w:rPr>
                <w:rFonts w:hint="eastAsia"/>
                <w:color w:val="000000"/>
                <w:vertAlign w:val="superscript"/>
              </w:rPr>
              <w:t>[37]</w:t>
            </w:r>
          </w:p>
        </w:tc>
        <w:tc>
          <w:tcPr>
            <w:tcW w:w="835" w:type="dxa"/>
            <w:tcBorders>
              <w:top w:val="nil"/>
              <w:left w:val="nil"/>
              <w:bottom w:val="nil"/>
              <w:right w:val="nil"/>
            </w:tcBorders>
            <w:shd w:val="clear" w:color="auto" w:fill="FFFFFF"/>
          </w:tcPr>
          <w:p w14:paraId="68092BFC">
            <w:pPr>
              <w:rPr>
                <w:color w:val="000000"/>
              </w:rPr>
            </w:pPr>
            <w:r>
              <w:rPr>
                <w:rFonts w:hint="eastAsia"/>
                <w:color w:val="000000"/>
              </w:rPr>
              <w:t>2015</w:t>
            </w:r>
          </w:p>
        </w:tc>
        <w:tc>
          <w:tcPr>
            <w:tcW w:w="848" w:type="dxa"/>
            <w:tcBorders>
              <w:top w:val="nil"/>
              <w:left w:val="nil"/>
              <w:bottom w:val="nil"/>
              <w:right w:val="nil"/>
            </w:tcBorders>
            <w:shd w:val="clear" w:color="auto" w:fill="FFFFFF"/>
          </w:tcPr>
          <w:p w14:paraId="65EAFB96">
            <w:pPr>
              <w:rPr>
                <w:color w:val="000000"/>
              </w:rPr>
            </w:pPr>
          </w:p>
        </w:tc>
        <w:tc>
          <w:tcPr>
            <w:tcW w:w="754" w:type="dxa"/>
            <w:tcBorders>
              <w:top w:val="nil"/>
              <w:left w:val="nil"/>
              <w:bottom w:val="nil"/>
              <w:right w:val="nil"/>
            </w:tcBorders>
            <w:shd w:val="clear" w:color="auto" w:fill="FFFFFF"/>
          </w:tcPr>
          <w:p w14:paraId="266B46C6">
            <w:pPr>
              <w:rPr>
                <w:color w:val="000000"/>
              </w:rPr>
            </w:pPr>
            <w:r>
              <w:rPr>
                <w:rFonts w:hint="eastAsia"/>
                <w:color w:val="000000"/>
              </w:rPr>
              <w:t>8.2</w:t>
            </w:r>
          </w:p>
        </w:tc>
        <w:tc>
          <w:tcPr>
            <w:tcW w:w="2037" w:type="dxa"/>
            <w:tcBorders>
              <w:top w:val="nil"/>
              <w:left w:val="nil"/>
              <w:bottom w:val="nil"/>
              <w:right w:val="nil"/>
            </w:tcBorders>
            <w:shd w:val="clear" w:color="auto" w:fill="FFFFFF"/>
          </w:tcPr>
          <w:p w14:paraId="59D2161D">
            <w:pPr>
              <w:jc w:val="left"/>
              <w:rPr>
                <w:color w:val="000000"/>
              </w:rPr>
            </w:pPr>
            <w:r>
              <w:rPr>
                <w:rFonts w:hint="eastAsia"/>
                <w:color w:val="000000"/>
              </w:rPr>
              <w:t>CHANS mass-balance model</w:t>
            </w:r>
          </w:p>
        </w:tc>
        <w:tc>
          <w:tcPr>
            <w:tcW w:w="2479" w:type="dxa"/>
            <w:tcBorders>
              <w:top w:val="nil"/>
              <w:left w:val="nil"/>
              <w:bottom w:val="nil"/>
              <w:right w:val="nil"/>
            </w:tcBorders>
            <w:shd w:val="clear" w:color="auto" w:fill="FFFFFF"/>
          </w:tcPr>
          <w:p w14:paraId="6DDB8D0E">
            <w:pPr>
              <w:rPr>
                <w:color w:val="000000"/>
              </w:rPr>
            </w:pPr>
            <w:r>
              <w:rPr>
                <w:rFonts w:hint="eastAsia"/>
                <w:color w:val="000000"/>
              </w:rPr>
              <w:t>FSN, FAW</w:t>
            </w:r>
          </w:p>
        </w:tc>
      </w:tr>
      <w:tr w14:paraId="7437C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1662" w:type="dxa"/>
            <w:tcBorders>
              <w:top w:val="nil"/>
              <w:left w:val="nil"/>
              <w:bottom w:val="single" w:color="000000" w:sz="12" w:space="0"/>
              <w:right w:val="nil"/>
            </w:tcBorders>
            <w:shd w:val="clear" w:color="auto" w:fill="FFFFFF"/>
          </w:tcPr>
          <w:p w14:paraId="158C9F63">
            <w:pPr>
              <w:rPr>
                <w:color w:val="000000"/>
              </w:rPr>
            </w:pPr>
            <w:r>
              <w:rPr>
                <w:rFonts w:hint="eastAsia"/>
                <w:color w:val="000000"/>
              </w:rPr>
              <w:t>Wang et al.</w:t>
            </w:r>
            <w:r>
              <w:rPr>
                <w:rFonts w:hint="eastAsia"/>
                <w:color w:val="000000"/>
                <w:vertAlign w:val="superscript"/>
              </w:rPr>
              <w:t>[38]</w:t>
            </w:r>
          </w:p>
        </w:tc>
        <w:tc>
          <w:tcPr>
            <w:tcW w:w="835" w:type="dxa"/>
            <w:tcBorders>
              <w:top w:val="nil"/>
              <w:left w:val="nil"/>
              <w:bottom w:val="single" w:color="000000" w:sz="12" w:space="0"/>
              <w:right w:val="nil"/>
            </w:tcBorders>
            <w:shd w:val="clear" w:color="auto" w:fill="FFFFFF"/>
          </w:tcPr>
          <w:p w14:paraId="3D34CCDB">
            <w:pPr>
              <w:rPr>
                <w:color w:val="000000"/>
              </w:rPr>
            </w:pPr>
            <w:r>
              <w:rPr>
                <w:rFonts w:hint="eastAsia"/>
                <w:color w:val="000000"/>
              </w:rPr>
              <w:t>2013</w:t>
            </w:r>
          </w:p>
        </w:tc>
        <w:tc>
          <w:tcPr>
            <w:tcW w:w="848" w:type="dxa"/>
            <w:tcBorders>
              <w:top w:val="nil"/>
              <w:left w:val="nil"/>
              <w:bottom w:val="single" w:color="000000" w:sz="12" w:space="0"/>
              <w:right w:val="nil"/>
            </w:tcBorders>
            <w:shd w:val="clear" w:color="auto" w:fill="FFFFFF"/>
          </w:tcPr>
          <w:p w14:paraId="7623D6DA">
            <w:pPr>
              <w:rPr>
                <w:color w:val="000000"/>
              </w:rPr>
            </w:pPr>
          </w:p>
        </w:tc>
        <w:tc>
          <w:tcPr>
            <w:tcW w:w="754" w:type="dxa"/>
            <w:tcBorders>
              <w:top w:val="nil"/>
              <w:left w:val="nil"/>
              <w:bottom w:val="single" w:color="000000" w:sz="12" w:space="0"/>
              <w:right w:val="nil"/>
            </w:tcBorders>
            <w:shd w:val="clear" w:color="auto" w:fill="FFFFFF"/>
          </w:tcPr>
          <w:p w14:paraId="63D3F3CF">
            <w:pPr>
              <w:rPr>
                <w:color w:val="000000"/>
              </w:rPr>
            </w:pPr>
            <w:r>
              <w:rPr>
                <w:rFonts w:hint="eastAsia"/>
                <w:color w:val="000000"/>
              </w:rPr>
              <w:t>1.7</w:t>
            </w:r>
          </w:p>
        </w:tc>
        <w:tc>
          <w:tcPr>
            <w:tcW w:w="2037" w:type="dxa"/>
            <w:tcBorders>
              <w:top w:val="nil"/>
              <w:left w:val="nil"/>
              <w:bottom w:val="single" w:color="000000" w:sz="12" w:space="0"/>
              <w:right w:val="nil"/>
            </w:tcBorders>
            <w:shd w:val="clear" w:color="auto" w:fill="FFFFFF"/>
          </w:tcPr>
          <w:p w14:paraId="25B67681">
            <w:pPr>
              <w:jc w:val="left"/>
              <w:rPr>
                <w:color w:val="000000"/>
              </w:rPr>
            </w:pPr>
            <w:r>
              <w:rPr>
                <w:rFonts w:hint="eastAsia"/>
                <w:color w:val="000000"/>
              </w:rPr>
              <w:t>Multi-place field measurements</w:t>
            </w:r>
          </w:p>
        </w:tc>
        <w:tc>
          <w:tcPr>
            <w:tcW w:w="2479" w:type="dxa"/>
            <w:tcBorders>
              <w:top w:val="nil"/>
              <w:left w:val="nil"/>
              <w:bottom w:val="single" w:color="000000" w:sz="12" w:space="0"/>
              <w:right w:val="nil"/>
            </w:tcBorders>
            <w:shd w:val="clear" w:color="auto" w:fill="FFFFFF"/>
          </w:tcPr>
          <w:p w14:paraId="0E64C2CC">
            <w:pPr>
              <w:rPr>
                <w:color w:val="000000"/>
              </w:rPr>
            </w:pPr>
            <w:r>
              <w:rPr>
                <w:rFonts w:hint="eastAsia"/>
                <w:color w:val="000000"/>
              </w:rPr>
              <w:t>FSN</w:t>
            </w:r>
          </w:p>
        </w:tc>
      </w:tr>
    </w:tbl>
    <w:p w14:paraId="2AF4267A">
      <w:r>
        <w:rPr>
          <w:rFonts w:hint="eastAsia"/>
          <w:vertAlign w:val="superscript"/>
        </w:rPr>
        <w:t>a</w:t>
      </w:r>
      <w:r>
        <w:rPr>
          <w:rFonts w:hint="eastAsia"/>
        </w:rPr>
        <w:t>FSN, synthetic N fertilizer; FAW, animal excreta used as fertilizer; FBN, biologically fixed N; FCR, N in crop residue returned to croplands</w:t>
      </w:r>
    </w:p>
    <w:p w14:paraId="45B2C29B">
      <w:pPr>
        <w:widowControl/>
        <w:spacing w:line="480" w:lineRule="auto"/>
        <w:rPr>
          <w:rFonts w:cs="Times New Roman"/>
          <w:b/>
          <w:bCs/>
          <w:sz w:val="28"/>
          <w:szCs w:val="28"/>
        </w:rPr>
      </w:pPr>
      <w:r>
        <w:rPr>
          <w:rFonts w:hint="eastAsia" w:cs="Times New Roman"/>
          <w:b/>
          <w:bCs/>
          <w:sz w:val="28"/>
          <w:szCs w:val="28"/>
        </w:rPr>
        <w:t>References</w:t>
      </w:r>
    </w:p>
    <w:p w14:paraId="57668249">
      <w:pPr>
        <w:pStyle w:val="10"/>
        <w:keepNext w:val="0"/>
        <w:keepLines w:val="0"/>
        <w:pageBreakBefore w:val="0"/>
        <w:widowControl/>
        <w:kinsoku/>
        <w:wordWrap/>
        <w:overflowPunct/>
        <w:topLinePunct w:val="0"/>
        <w:autoSpaceDE/>
        <w:autoSpaceDN/>
        <w:bidi w:val="0"/>
        <w:adjustRightInd/>
        <w:snapToGrid/>
        <w:ind w:left="720" w:hanging="720"/>
        <w:jc w:val="left"/>
        <w:textAlignment w:val="auto"/>
        <w:rPr>
          <w:rFonts w:hint="default" w:ascii="Times New Roman" w:hAnsi="Times New Roman" w:cs="Times New Roman" w:eastAsiaTheme="minorEastAsia"/>
          <w:i w:val="0"/>
          <w:color w:val="auto"/>
          <w:highlight w:val="none"/>
          <w:lang w:eastAsia="zh-CN"/>
        </w:rPr>
      </w:pPr>
      <w:r>
        <w:rPr>
          <w:rFonts w:hint="default" w:ascii="Times New Roman" w:hAnsi="Times New Roman" w:cs="Times New Roman"/>
          <w:color w:val="auto"/>
          <w:highlight w:val="none"/>
          <w:lang w:eastAsia="zh-CN"/>
        </w:rPr>
        <w:t xml:space="preserve">[1] Wang ZH, Liu XJ, Ju XT, Zhang FS, Malhi SS. 2004. Ammonia volatilization loss from surface-broadcast urea: comparison of vented- and closed-chamber methods and loss in winter wheat–summer maize rotation in North China Plain. </w:t>
      </w:r>
      <w:r>
        <w:rPr>
          <w:rFonts w:hint="default" w:ascii="Times New Roman" w:hAnsi="Times New Roman" w:cs="Times New Roman"/>
          <w:i/>
          <w:color w:val="auto"/>
          <w:highlight w:val="none"/>
          <w:lang w:eastAsia="zh-CN"/>
        </w:rPr>
        <w:t>Communications in Soil Science and Plant Analysis</w:t>
      </w:r>
      <w:r>
        <w:rPr>
          <w:rFonts w:hint="default" w:ascii="Times New Roman" w:hAnsi="Times New Roman" w:cs="Times New Roman"/>
          <w:i w:val="0"/>
          <w:color w:val="auto"/>
          <w:highlight w:val="none"/>
          <w:lang w:eastAsia="zh-CN"/>
        </w:rPr>
        <w:t xml:space="preserve"> 35(19−20):2917−2939 https://doi.org/10.1081/CSS-200036499 </w:t>
      </w:r>
      <w:r>
        <w:rPr>
          <w:rFonts w:hint="default" w:ascii="Times New Roman" w:hAnsi="Times New Roman" w:cs="Times New Roman"/>
          <w:i w:val="0"/>
          <w:color w:val="auto"/>
          <w:highlight w:val="none"/>
          <w:lang w:eastAsia="zh-CN"/>
        </w:rPr>
        <w:fldChar w:fldCharType="begin"/>
      </w:r>
      <w:r>
        <w:rPr>
          <w:rFonts w:hint="default" w:ascii="Times New Roman" w:hAnsi="Times New Roman" w:cs="Times New Roman"/>
          <w:i w:val="0"/>
          <w:color w:val="auto"/>
          <w:highlight w:val="none"/>
          <w:lang w:eastAsia="zh-CN"/>
        </w:rPr>
        <w:instrText xml:space="preserve"> HYPERLINK "http://dx.doi.org/10.1081/CSS-200036499" \o "自助复核" </w:instrText>
      </w:r>
      <w:r>
        <w:rPr>
          <w:rFonts w:hint="default" w:ascii="Times New Roman" w:hAnsi="Times New Roman" w:cs="Times New Roman"/>
          <w:i w:val="0"/>
          <w:color w:val="auto"/>
          <w:highlight w:val="none"/>
          <w:lang w:eastAsia="zh-CN"/>
        </w:rPr>
        <w:fldChar w:fldCharType="separate"/>
      </w:r>
      <w:r>
        <w:rPr>
          <w:rFonts w:hint="default" w:ascii="Times New Roman" w:hAnsi="Times New Roman" w:cs="Times New Roman"/>
          <w:i w:val="0"/>
          <w:color w:val="auto"/>
          <w:highlight w:val="none"/>
          <w:lang w:eastAsia="zh-CN"/>
        </w:rPr>
        <w:fldChar w:fldCharType="end"/>
      </w:r>
    </w:p>
    <w:p w14:paraId="01FD6DED">
      <w:pPr>
        <w:pStyle w:val="10"/>
        <w:keepNext w:val="0"/>
        <w:keepLines w:val="0"/>
        <w:pageBreakBefore w:val="0"/>
        <w:widowControl/>
        <w:kinsoku/>
        <w:wordWrap/>
        <w:overflowPunct/>
        <w:topLinePunct w:val="0"/>
        <w:autoSpaceDE/>
        <w:autoSpaceDN/>
        <w:bidi w:val="0"/>
        <w:adjustRightInd/>
        <w:snapToGrid/>
        <w:ind w:left="720" w:hanging="720"/>
        <w:jc w:val="left"/>
        <w:textAlignment w:val="auto"/>
        <w:rPr>
          <w:rFonts w:hint="default" w:ascii="Times New Roman" w:hAnsi="Times New Roman" w:cs="Times New Roman" w:eastAsiaTheme="minorEastAsia"/>
          <w:i w:val="0"/>
          <w:color w:val="auto"/>
          <w:highlight w:val="none"/>
          <w:lang w:eastAsia="zh-CN"/>
        </w:rPr>
      </w:pPr>
      <w:r>
        <w:rPr>
          <w:rFonts w:hint="default" w:ascii="Times New Roman" w:hAnsi="Times New Roman" w:cs="Times New Roman"/>
          <w:color w:val="auto"/>
          <w:highlight w:val="none"/>
          <w:lang w:eastAsia="zh-CN"/>
        </w:rPr>
        <w:t xml:space="preserve">[2] Pacholski A, Cai G, Nieder R, Richter J, Fan X, et al. 2006. Calibration of a simple method for determining ammonia volatilization in the field–comparative measurements in Henan Province, China. </w:t>
      </w:r>
      <w:r>
        <w:rPr>
          <w:rFonts w:hint="default" w:ascii="Times New Roman" w:hAnsi="Times New Roman" w:cs="Times New Roman"/>
          <w:i/>
          <w:color w:val="auto"/>
          <w:highlight w:val="none"/>
          <w:lang w:eastAsia="zh-CN"/>
        </w:rPr>
        <w:t>Nutrient Cycling in Agroecosystems</w:t>
      </w:r>
      <w:r>
        <w:rPr>
          <w:rFonts w:hint="default" w:ascii="Times New Roman" w:hAnsi="Times New Roman" w:cs="Times New Roman"/>
          <w:i w:val="0"/>
          <w:color w:val="auto"/>
          <w:highlight w:val="none"/>
          <w:lang w:eastAsia="zh-CN"/>
        </w:rPr>
        <w:t xml:space="preserve"> 74(3):259−273 https://doi.org/10.1007/s10705-006-9003-4 </w:t>
      </w:r>
      <w:bookmarkStart w:id="0" w:name="_GoBack"/>
      <w:bookmarkEnd w:id="0"/>
      <w:r>
        <w:rPr>
          <w:rFonts w:hint="default" w:ascii="Times New Roman" w:hAnsi="Times New Roman" w:cs="Times New Roman"/>
          <w:i w:val="0"/>
          <w:color w:val="auto"/>
          <w:highlight w:val="none"/>
          <w:lang w:eastAsia="zh-CN"/>
        </w:rPr>
        <w:fldChar w:fldCharType="begin"/>
      </w:r>
      <w:r>
        <w:rPr>
          <w:rFonts w:hint="default" w:ascii="Times New Roman" w:hAnsi="Times New Roman" w:cs="Times New Roman"/>
          <w:i w:val="0"/>
          <w:color w:val="auto"/>
          <w:highlight w:val="none"/>
          <w:lang w:eastAsia="zh-CN"/>
        </w:rPr>
        <w:instrText xml:space="preserve"> HYPERLINK "http://dx.doi.org/10.1007/s10705-006-9003-4" \o "自助复核" </w:instrText>
      </w:r>
      <w:r>
        <w:rPr>
          <w:rFonts w:hint="default" w:ascii="Times New Roman" w:hAnsi="Times New Roman" w:cs="Times New Roman"/>
          <w:i w:val="0"/>
          <w:color w:val="auto"/>
          <w:highlight w:val="none"/>
          <w:lang w:eastAsia="zh-CN"/>
        </w:rPr>
        <w:fldChar w:fldCharType="separate"/>
      </w:r>
      <w:r>
        <w:rPr>
          <w:rFonts w:hint="default" w:ascii="Times New Roman" w:hAnsi="Times New Roman" w:cs="Times New Roman"/>
          <w:i w:val="0"/>
          <w:color w:val="auto"/>
          <w:highlight w:val="none"/>
          <w:lang w:eastAsia="zh-CN"/>
        </w:rPr>
        <w:fldChar w:fldCharType="end"/>
      </w:r>
    </w:p>
    <w:p w14:paraId="2F7BE7A4">
      <w:pPr>
        <w:pStyle w:val="10"/>
        <w:keepNext w:val="0"/>
        <w:keepLines w:val="0"/>
        <w:pageBreakBefore w:val="0"/>
        <w:widowControl/>
        <w:kinsoku/>
        <w:wordWrap/>
        <w:overflowPunct/>
        <w:topLinePunct w:val="0"/>
        <w:autoSpaceDE/>
        <w:autoSpaceDN/>
        <w:bidi w:val="0"/>
        <w:adjustRightInd/>
        <w:snapToGrid/>
        <w:ind w:left="720" w:hanging="720"/>
        <w:jc w:val="left"/>
        <w:textAlignment w:val="auto"/>
        <w:rPr>
          <w:rFonts w:hint="default" w:ascii="Times New Roman" w:hAnsi="Times New Roman" w:cs="Times New Roman" w:eastAsiaTheme="minorEastAsia"/>
          <w:i w:val="0"/>
          <w:color w:val="auto"/>
          <w:highlight w:val="none"/>
          <w:vertAlign w:val="baseline"/>
          <w:lang w:eastAsia="zh-CN"/>
        </w:rPr>
      </w:pPr>
      <w:r>
        <w:rPr>
          <w:rFonts w:hint="default" w:ascii="Times New Roman" w:hAnsi="Times New Roman" w:cs="Times New Roman"/>
          <w:color w:val="auto"/>
          <w:highlight w:val="none"/>
          <w:lang w:eastAsia="zh-CN"/>
        </w:rPr>
        <w:t>[3] Bouwmeester RJB, Vlek PLG. 1981. Wind-tunnel simulation and assessment of ammonia volatilization from ponded Water</w:t>
      </w:r>
      <w:r>
        <w:rPr>
          <w:rFonts w:hint="default" w:ascii="Times New Roman" w:hAnsi="Times New Roman" w:cs="Times New Roman"/>
          <w:color w:val="auto"/>
          <w:highlight w:val="none"/>
          <w:vertAlign w:val="superscript"/>
          <w:lang w:eastAsia="zh-CN"/>
        </w:rPr>
        <w:t>1</w:t>
      </w:r>
      <w:r>
        <w:rPr>
          <w:rFonts w:hint="default" w:ascii="Times New Roman" w:hAnsi="Times New Roman" w:cs="Times New Roman"/>
          <w:color w:val="auto"/>
          <w:highlight w:val="none"/>
          <w:vertAlign w:val="baseline"/>
          <w:lang w:eastAsia="zh-CN"/>
        </w:rPr>
        <w:t xml:space="preserve">. </w:t>
      </w:r>
      <w:r>
        <w:rPr>
          <w:rFonts w:hint="default" w:ascii="Times New Roman" w:hAnsi="Times New Roman" w:cs="Times New Roman"/>
          <w:i/>
          <w:color w:val="auto"/>
          <w:highlight w:val="none"/>
          <w:vertAlign w:val="baseline"/>
          <w:lang w:eastAsia="zh-CN"/>
        </w:rPr>
        <w:t>Agronomy Journal</w:t>
      </w:r>
      <w:r>
        <w:rPr>
          <w:rFonts w:hint="default" w:ascii="Times New Roman" w:hAnsi="Times New Roman" w:cs="Times New Roman"/>
          <w:i w:val="0"/>
          <w:color w:val="auto"/>
          <w:highlight w:val="none"/>
          <w:vertAlign w:val="baseline"/>
          <w:lang w:eastAsia="zh-CN"/>
        </w:rPr>
        <w:t xml:space="preserve"> 73(3):546−552 https://doi.org/10.2134/agronj1981.00021962007300030033x </w:t>
      </w:r>
      <w:r>
        <w:rPr>
          <w:rFonts w:hint="default" w:ascii="Times New Roman" w:hAnsi="Times New Roman" w:cs="Times New Roman"/>
          <w:i w:val="0"/>
          <w:color w:val="auto"/>
          <w:highlight w:val="none"/>
          <w:vertAlign w:val="baseline"/>
          <w:lang w:eastAsia="zh-CN"/>
        </w:rPr>
        <w:fldChar w:fldCharType="begin"/>
      </w:r>
      <w:r>
        <w:rPr>
          <w:rFonts w:hint="default" w:ascii="Times New Roman" w:hAnsi="Times New Roman" w:cs="Times New Roman"/>
          <w:i w:val="0"/>
          <w:color w:val="auto"/>
          <w:highlight w:val="none"/>
          <w:vertAlign w:val="baseline"/>
          <w:lang w:eastAsia="zh-CN"/>
        </w:rPr>
        <w:instrText xml:space="preserve"> HYPERLINK "https://doi.org/10.2134/agronj1981.00021962007300030033x" \o "自助复核" </w:instrText>
      </w:r>
      <w:r>
        <w:rPr>
          <w:rFonts w:hint="default" w:ascii="Times New Roman" w:hAnsi="Times New Roman" w:cs="Times New Roman"/>
          <w:i w:val="0"/>
          <w:color w:val="auto"/>
          <w:highlight w:val="none"/>
          <w:vertAlign w:val="baseline"/>
          <w:lang w:eastAsia="zh-CN"/>
        </w:rPr>
        <w:fldChar w:fldCharType="separate"/>
      </w:r>
      <w:r>
        <w:rPr>
          <w:rFonts w:hint="default" w:ascii="Times New Roman" w:hAnsi="Times New Roman" w:cs="Times New Roman"/>
          <w:i w:val="0"/>
          <w:color w:val="auto"/>
          <w:highlight w:val="none"/>
          <w:vertAlign w:val="baseline"/>
          <w:lang w:eastAsia="zh-CN"/>
        </w:rPr>
        <w:fldChar w:fldCharType="end"/>
      </w:r>
    </w:p>
    <w:p w14:paraId="18002F05">
      <w:pPr>
        <w:pStyle w:val="10"/>
        <w:keepNext w:val="0"/>
        <w:keepLines w:val="0"/>
        <w:pageBreakBefore w:val="0"/>
        <w:widowControl/>
        <w:kinsoku/>
        <w:wordWrap/>
        <w:overflowPunct/>
        <w:topLinePunct w:val="0"/>
        <w:autoSpaceDE/>
        <w:autoSpaceDN/>
        <w:bidi w:val="0"/>
        <w:adjustRightInd/>
        <w:snapToGrid/>
        <w:ind w:left="720" w:hanging="720"/>
        <w:jc w:val="left"/>
        <w:textAlignment w:val="auto"/>
        <w:rPr>
          <w:rFonts w:hint="default" w:ascii="Times New Roman" w:hAnsi="Times New Roman" w:cs="Times New Roman" w:eastAsiaTheme="minorEastAsia"/>
          <w:i w:val="0"/>
          <w:color w:val="auto"/>
          <w:highlight w:val="none"/>
          <w:lang w:eastAsia="zh-CN"/>
        </w:rPr>
      </w:pPr>
      <w:r>
        <w:rPr>
          <w:rFonts w:hint="default" w:ascii="Times New Roman" w:hAnsi="Times New Roman" w:cs="Times New Roman"/>
          <w:color w:val="auto"/>
          <w:highlight w:val="none"/>
          <w:lang w:eastAsia="zh-CN"/>
        </w:rPr>
        <w:t xml:space="preserve">[4] Loubet B, Cellier P, Flura D, Génermont S. 1999. An evaluation of the wind-tunnel technique for estimating ammonia volatilization from land: part 1. analysis and improvement of accuracy. </w:t>
      </w:r>
      <w:r>
        <w:rPr>
          <w:rFonts w:hint="default" w:ascii="Times New Roman" w:hAnsi="Times New Roman" w:cs="Times New Roman"/>
          <w:i/>
          <w:color w:val="auto"/>
          <w:highlight w:val="none"/>
          <w:lang w:eastAsia="zh-CN"/>
        </w:rPr>
        <w:t>Journal of Agricultural Engineering Research</w:t>
      </w:r>
      <w:r>
        <w:rPr>
          <w:rFonts w:hint="default" w:ascii="Times New Roman" w:hAnsi="Times New Roman" w:cs="Times New Roman"/>
          <w:i w:val="0"/>
          <w:color w:val="auto"/>
          <w:highlight w:val="none"/>
          <w:lang w:eastAsia="zh-CN"/>
        </w:rPr>
        <w:t xml:space="preserve"> 72(1):71−81 https://doi.org/10.1006/jaer.1998.0348 </w:t>
      </w:r>
      <w:r>
        <w:rPr>
          <w:rFonts w:hint="default" w:ascii="Times New Roman" w:hAnsi="Times New Roman" w:cs="Times New Roman"/>
          <w:i w:val="0"/>
          <w:color w:val="auto"/>
          <w:highlight w:val="none"/>
          <w:lang w:eastAsia="zh-CN"/>
        </w:rPr>
        <w:fldChar w:fldCharType="begin"/>
      </w:r>
      <w:r>
        <w:rPr>
          <w:rFonts w:hint="default" w:ascii="Times New Roman" w:hAnsi="Times New Roman" w:cs="Times New Roman"/>
          <w:i w:val="0"/>
          <w:color w:val="auto"/>
          <w:highlight w:val="none"/>
          <w:lang w:eastAsia="zh-CN"/>
        </w:rPr>
        <w:instrText xml:space="preserve"> HYPERLINK "http://dx.doi.org/10.1006/jaer.1998.0348" \o "自助复核" </w:instrText>
      </w:r>
      <w:r>
        <w:rPr>
          <w:rFonts w:hint="default" w:ascii="Times New Roman" w:hAnsi="Times New Roman" w:cs="Times New Roman"/>
          <w:i w:val="0"/>
          <w:color w:val="auto"/>
          <w:highlight w:val="none"/>
          <w:lang w:eastAsia="zh-CN"/>
        </w:rPr>
        <w:fldChar w:fldCharType="separate"/>
      </w:r>
      <w:r>
        <w:rPr>
          <w:rFonts w:hint="default" w:ascii="Times New Roman" w:hAnsi="Times New Roman" w:cs="Times New Roman"/>
          <w:i w:val="0"/>
          <w:color w:val="auto"/>
          <w:highlight w:val="none"/>
          <w:lang w:eastAsia="zh-CN"/>
        </w:rPr>
        <w:fldChar w:fldCharType="end"/>
      </w:r>
    </w:p>
    <w:p w14:paraId="0F11293C">
      <w:pPr>
        <w:pStyle w:val="10"/>
        <w:keepNext w:val="0"/>
        <w:keepLines w:val="0"/>
        <w:pageBreakBefore w:val="0"/>
        <w:widowControl/>
        <w:kinsoku/>
        <w:wordWrap/>
        <w:overflowPunct/>
        <w:topLinePunct w:val="0"/>
        <w:autoSpaceDE/>
        <w:autoSpaceDN/>
        <w:bidi w:val="0"/>
        <w:adjustRightInd/>
        <w:snapToGrid/>
        <w:ind w:left="720" w:hanging="720"/>
        <w:jc w:val="left"/>
        <w:textAlignment w:val="auto"/>
        <w:rPr>
          <w:rFonts w:hint="default" w:ascii="Times New Roman" w:hAnsi="Times New Roman" w:cs="Times New Roman" w:eastAsiaTheme="minorEastAsia"/>
          <w:i w:val="0"/>
          <w:color w:val="auto"/>
          <w:highlight w:val="none"/>
          <w:lang w:eastAsia="zh-CN"/>
        </w:rPr>
      </w:pPr>
      <w:r>
        <w:rPr>
          <w:rFonts w:hint="default" w:ascii="Times New Roman" w:hAnsi="Times New Roman" w:cs="Times New Roman"/>
          <w:color w:val="auto"/>
          <w:highlight w:val="none"/>
          <w:lang w:eastAsia="zh-CN"/>
        </w:rPr>
        <w:t xml:space="preserve">[5] Rochette P, Angers DA, Chantigny MH, MacDonald JD, Gasser MO, et al. 2009. Reducing ammonia volatilization in a no-till soil by incorporating urea and pig slurry in shallow bands. </w:t>
      </w:r>
      <w:r>
        <w:rPr>
          <w:rFonts w:hint="default" w:ascii="Times New Roman" w:hAnsi="Times New Roman" w:cs="Times New Roman"/>
          <w:i/>
          <w:color w:val="auto"/>
          <w:highlight w:val="none"/>
          <w:lang w:eastAsia="zh-CN"/>
        </w:rPr>
        <w:t>Nutrient Cycling in Agroecosystems</w:t>
      </w:r>
      <w:r>
        <w:rPr>
          <w:rFonts w:hint="default" w:ascii="Times New Roman" w:hAnsi="Times New Roman" w:cs="Times New Roman"/>
          <w:i w:val="0"/>
          <w:color w:val="auto"/>
          <w:highlight w:val="none"/>
          <w:lang w:eastAsia="zh-CN"/>
        </w:rPr>
        <w:t xml:space="preserve"> 84(1):71−80 https://doi.org/10.1007/s10705-008-9227-6 </w:t>
      </w:r>
      <w:r>
        <w:rPr>
          <w:rFonts w:hint="default" w:ascii="Times New Roman" w:hAnsi="Times New Roman" w:cs="Times New Roman"/>
          <w:i w:val="0"/>
          <w:color w:val="auto"/>
          <w:highlight w:val="none"/>
          <w:lang w:eastAsia="zh-CN"/>
        </w:rPr>
        <w:fldChar w:fldCharType="begin"/>
      </w:r>
      <w:r>
        <w:rPr>
          <w:rFonts w:hint="default" w:ascii="Times New Roman" w:hAnsi="Times New Roman" w:cs="Times New Roman"/>
          <w:i w:val="0"/>
          <w:color w:val="auto"/>
          <w:highlight w:val="none"/>
          <w:lang w:eastAsia="zh-CN"/>
        </w:rPr>
        <w:instrText xml:space="preserve"> HYPERLINK "http://dx.doi.org/10.1007/s10705-008-9227-6" \o "自助复核" </w:instrText>
      </w:r>
      <w:r>
        <w:rPr>
          <w:rFonts w:hint="default" w:ascii="Times New Roman" w:hAnsi="Times New Roman" w:cs="Times New Roman"/>
          <w:i w:val="0"/>
          <w:color w:val="auto"/>
          <w:highlight w:val="none"/>
          <w:lang w:eastAsia="zh-CN"/>
        </w:rPr>
        <w:fldChar w:fldCharType="separate"/>
      </w:r>
      <w:r>
        <w:rPr>
          <w:rFonts w:hint="default" w:ascii="Times New Roman" w:hAnsi="Times New Roman" w:cs="Times New Roman"/>
          <w:i w:val="0"/>
          <w:color w:val="auto"/>
          <w:highlight w:val="none"/>
          <w:lang w:eastAsia="zh-CN"/>
        </w:rPr>
        <w:fldChar w:fldCharType="end"/>
      </w:r>
    </w:p>
    <w:p w14:paraId="5CC1105C">
      <w:pPr>
        <w:pStyle w:val="10"/>
        <w:keepNext w:val="0"/>
        <w:keepLines w:val="0"/>
        <w:pageBreakBefore w:val="0"/>
        <w:widowControl/>
        <w:kinsoku/>
        <w:wordWrap/>
        <w:overflowPunct/>
        <w:topLinePunct w:val="0"/>
        <w:autoSpaceDE/>
        <w:autoSpaceDN/>
        <w:bidi w:val="0"/>
        <w:adjustRightInd/>
        <w:snapToGrid/>
        <w:ind w:left="720" w:hanging="720"/>
        <w:jc w:val="left"/>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[6]</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 xml:space="preserve">Zhang C, Li XQ, Su F, Zhu B, Ju XT. 2016. Effects of different fertilization and measurement methods on ammonia volatilization of summer maize in purple soil. </w:t>
      </w:r>
      <w:r>
        <w:rPr>
          <w:rFonts w:hint="default" w:ascii="Times New Roman" w:hAnsi="Times New Roman" w:cs="Times New Roman"/>
          <w:i/>
          <w:color w:val="auto"/>
          <w:highlight w:val="none"/>
        </w:rPr>
        <w:t>J</w:t>
      </w:r>
      <w:r>
        <w:rPr>
          <w:rFonts w:hint="default" w:ascii="Times New Roman" w:hAnsi="Times New Roman" w:cs="Times New Roman"/>
          <w:i/>
          <w:color w:val="auto"/>
          <w:highlight w:val="none"/>
          <w:lang w:val="en-US" w:eastAsia="zh-CN"/>
        </w:rPr>
        <w:t>ournal of</w:t>
      </w:r>
      <w:r>
        <w:rPr>
          <w:rFonts w:hint="default" w:ascii="Times New Roman" w:hAnsi="Times New Roman" w:cs="Times New Roman"/>
          <w:i/>
          <w:color w:val="auto"/>
          <w:highlight w:val="none"/>
        </w:rPr>
        <w:t xml:space="preserve"> Agro-Environ</w:t>
      </w:r>
      <w:r>
        <w:rPr>
          <w:rFonts w:hint="default" w:ascii="Times New Roman" w:hAnsi="Times New Roman" w:cs="Times New Roman"/>
          <w:i/>
          <w:color w:val="auto"/>
          <w:highlight w:val="none"/>
          <w:lang w:val="en-US" w:eastAsia="zh-CN"/>
        </w:rPr>
        <w:t xml:space="preserve">ment </w:t>
      </w:r>
      <w:r>
        <w:rPr>
          <w:rFonts w:hint="default" w:ascii="Times New Roman" w:hAnsi="Times New Roman" w:cs="Times New Roman"/>
          <w:i/>
          <w:color w:val="auto"/>
          <w:highlight w:val="none"/>
        </w:rPr>
        <w:t>Sci</w:t>
      </w:r>
      <w:r>
        <w:rPr>
          <w:rFonts w:hint="default" w:ascii="Times New Roman" w:hAnsi="Times New Roman" w:cs="Times New Roman"/>
          <w:i/>
          <w:color w:val="auto"/>
          <w:highlight w:val="none"/>
          <w:lang w:val="en-US" w:eastAsia="zh-CN"/>
        </w:rPr>
        <w:t>ence</w:t>
      </w:r>
      <w:r>
        <w:rPr>
          <w:rFonts w:hint="default" w:ascii="Times New Roman" w:hAnsi="Times New Roman" w:cs="Times New Roman"/>
          <w:color w:val="auto"/>
          <w:highlight w:val="none"/>
        </w:rPr>
        <w:t xml:space="preserve"> 35:1194</w:t>
      </w:r>
      <w:r>
        <w:rPr>
          <w:rFonts w:hint="default" w:ascii="Times New Roman" w:hAnsi="Times New Roman" w:cs="Times New Roman"/>
          <w:i w:val="0"/>
          <w:color w:val="auto"/>
          <w:highlight w:val="none"/>
          <w:lang w:eastAsia="zh-CN"/>
        </w:rPr>
        <w:t>−</w:t>
      </w:r>
      <w:r>
        <w:rPr>
          <w:rFonts w:hint="default" w:ascii="Times New Roman" w:hAnsi="Times New Roman" w:cs="Times New Roman"/>
          <w:color w:val="auto"/>
          <w:highlight w:val="none"/>
        </w:rPr>
        <w:t xml:space="preserve">1201 </w:t>
      </w:r>
      <w:r>
        <w:rPr>
          <w:rFonts w:hint="default" w:ascii="Times New Roman" w:hAnsi="Times New Roman" w:cs="Times New Roman"/>
          <w:i w:val="0"/>
          <w:color w:val="auto"/>
          <w:highlight w:val="none"/>
          <w:lang w:eastAsia="zh-CN"/>
        </w:rPr>
        <w:t>https://doi.org/</w:t>
      </w:r>
      <w:r>
        <w:rPr>
          <w:rFonts w:hint="default" w:ascii="Times New Roman" w:hAnsi="Times New Roman" w:cs="Times New Roman"/>
          <w:color w:val="auto"/>
          <w:highlight w:val="none"/>
        </w:rPr>
        <w:t>10.11654/jaes.2016.06.024</w:t>
      </w:r>
    </w:p>
    <w:p w14:paraId="488C3577">
      <w:pPr>
        <w:pStyle w:val="10"/>
        <w:keepNext w:val="0"/>
        <w:keepLines w:val="0"/>
        <w:pageBreakBefore w:val="0"/>
        <w:widowControl/>
        <w:kinsoku/>
        <w:wordWrap/>
        <w:overflowPunct/>
        <w:topLinePunct w:val="0"/>
        <w:autoSpaceDE/>
        <w:autoSpaceDN/>
        <w:bidi w:val="0"/>
        <w:adjustRightInd/>
        <w:snapToGrid/>
        <w:ind w:left="720" w:hanging="720"/>
        <w:jc w:val="left"/>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[7]</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 xml:space="preserve">Su F, Ding XQ, Gao ZL, Huang BX, Chen XP, et al. 2007. Ammonia volatilization from nitrogen fertilization of winter wheat-summer maize rotation system in the North China Plain. </w:t>
      </w:r>
      <w:r>
        <w:rPr>
          <w:rFonts w:hint="default" w:ascii="Times New Roman" w:hAnsi="Times New Roman" w:cs="Times New Roman"/>
          <w:i/>
          <w:color w:val="auto"/>
          <w:highlight w:val="none"/>
        </w:rPr>
        <w:t>China Environmental Science</w:t>
      </w:r>
      <w:r>
        <w:rPr>
          <w:rFonts w:hint="default" w:ascii="Times New Roman" w:hAnsi="Times New Roman" w:cs="Times New Roman"/>
          <w:color w:val="auto"/>
          <w:highlight w:val="none"/>
        </w:rPr>
        <w:t xml:space="preserve"> 27:409</w:t>
      </w:r>
      <w:r>
        <w:rPr>
          <w:rFonts w:hint="default" w:ascii="Times New Roman" w:hAnsi="Times New Roman" w:cs="Times New Roman"/>
          <w:i w:val="0"/>
          <w:color w:val="auto"/>
          <w:highlight w:val="none"/>
          <w:lang w:eastAsia="zh-CN"/>
        </w:rPr>
        <w:t>−</w:t>
      </w:r>
      <w:r>
        <w:rPr>
          <w:rFonts w:hint="default" w:ascii="Times New Roman" w:hAnsi="Times New Roman" w:cs="Times New Roman"/>
          <w:color w:val="auto"/>
          <w:highlight w:val="none"/>
        </w:rPr>
        <w:t xml:space="preserve">413 </w:t>
      </w:r>
    </w:p>
    <w:p w14:paraId="1875882C">
      <w:pPr>
        <w:pStyle w:val="10"/>
        <w:keepNext w:val="0"/>
        <w:keepLines w:val="0"/>
        <w:pageBreakBefore w:val="0"/>
        <w:widowControl/>
        <w:kinsoku/>
        <w:wordWrap/>
        <w:overflowPunct/>
        <w:topLinePunct w:val="0"/>
        <w:autoSpaceDE/>
        <w:autoSpaceDN/>
        <w:bidi w:val="0"/>
        <w:adjustRightInd/>
        <w:snapToGrid/>
        <w:ind w:left="720" w:hanging="720"/>
        <w:jc w:val="left"/>
        <w:textAlignment w:val="auto"/>
        <w:rPr>
          <w:rFonts w:hint="default" w:ascii="Times New Roman" w:hAnsi="Times New Roman" w:cs="Times New Roman" w:eastAsiaTheme="minorEastAsia"/>
          <w:i w:val="0"/>
          <w:color w:val="auto"/>
          <w:highlight w:val="none"/>
          <w:lang w:eastAsia="zh-CN"/>
        </w:rPr>
      </w:pPr>
      <w:r>
        <w:rPr>
          <w:rFonts w:hint="default" w:ascii="Times New Roman" w:hAnsi="Times New Roman" w:cs="Times New Roman"/>
          <w:color w:val="auto"/>
          <w:highlight w:val="none"/>
          <w:lang w:eastAsia="zh-CN"/>
        </w:rPr>
        <w:t xml:space="preserve">[8] Pedersen JM, Feilberg A, Kamp JN, Hafner S, Nyord T. 2020. Ammonia emission measurement with an online wind tunnel system for evaluation of manure application techniques. </w:t>
      </w:r>
      <w:r>
        <w:rPr>
          <w:rFonts w:hint="default" w:ascii="Times New Roman" w:hAnsi="Times New Roman" w:cs="Times New Roman"/>
          <w:i/>
          <w:color w:val="auto"/>
          <w:highlight w:val="none"/>
          <w:lang w:eastAsia="zh-CN"/>
        </w:rPr>
        <w:t>Atmospheric Environment</w:t>
      </w:r>
      <w:r>
        <w:rPr>
          <w:rFonts w:hint="default" w:ascii="Times New Roman" w:hAnsi="Times New Roman" w:cs="Times New Roman"/>
          <w:i w:val="0"/>
          <w:color w:val="auto"/>
          <w:highlight w:val="none"/>
          <w:lang w:eastAsia="zh-CN"/>
        </w:rPr>
        <w:t xml:space="preserve"> 230:117562 https://doi.org/10.1016/j.atmosenv.2020.117562 </w:t>
      </w:r>
      <w:r>
        <w:rPr>
          <w:rFonts w:hint="default" w:ascii="Times New Roman" w:hAnsi="Times New Roman" w:cs="Times New Roman"/>
          <w:i w:val="0"/>
          <w:color w:val="auto"/>
          <w:highlight w:val="none"/>
          <w:lang w:eastAsia="zh-CN"/>
        </w:rPr>
        <w:fldChar w:fldCharType="begin"/>
      </w:r>
      <w:r>
        <w:rPr>
          <w:rFonts w:hint="default" w:ascii="Times New Roman" w:hAnsi="Times New Roman" w:cs="Times New Roman"/>
          <w:i w:val="0"/>
          <w:color w:val="auto"/>
          <w:highlight w:val="none"/>
          <w:lang w:eastAsia="zh-CN"/>
        </w:rPr>
        <w:instrText xml:space="preserve"> HYPERLINK "http://dx.doi.org/10.1016/j.atmosenv.2020.117562" \o "自助复核" </w:instrText>
      </w:r>
      <w:r>
        <w:rPr>
          <w:rFonts w:hint="default" w:ascii="Times New Roman" w:hAnsi="Times New Roman" w:cs="Times New Roman"/>
          <w:i w:val="0"/>
          <w:color w:val="auto"/>
          <w:highlight w:val="none"/>
          <w:lang w:eastAsia="zh-CN"/>
        </w:rPr>
        <w:fldChar w:fldCharType="separate"/>
      </w:r>
      <w:r>
        <w:rPr>
          <w:rFonts w:hint="default" w:ascii="Times New Roman" w:hAnsi="Times New Roman" w:cs="Times New Roman"/>
          <w:i w:val="0"/>
          <w:color w:val="auto"/>
          <w:highlight w:val="none"/>
          <w:lang w:eastAsia="zh-CN"/>
        </w:rPr>
        <w:fldChar w:fldCharType="end"/>
      </w:r>
    </w:p>
    <w:p w14:paraId="5105DD39">
      <w:pPr>
        <w:pStyle w:val="10"/>
        <w:keepNext w:val="0"/>
        <w:keepLines w:val="0"/>
        <w:pageBreakBefore w:val="0"/>
        <w:widowControl/>
        <w:kinsoku/>
        <w:wordWrap/>
        <w:overflowPunct/>
        <w:topLinePunct w:val="0"/>
        <w:autoSpaceDE/>
        <w:autoSpaceDN/>
        <w:bidi w:val="0"/>
        <w:adjustRightInd/>
        <w:snapToGrid/>
        <w:ind w:left="720" w:hanging="720"/>
        <w:jc w:val="left"/>
        <w:textAlignment w:val="auto"/>
        <w:rPr>
          <w:rFonts w:hint="default" w:ascii="Times New Roman" w:hAnsi="Times New Roman" w:cs="Times New Roman" w:eastAsiaTheme="minorEastAsia"/>
          <w:i w:val="0"/>
          <w:color w:val="auto"/>
          <w:highlight w:val="none"/>
          <w:lang w:eastAsia="zh-CN"/>
        </w:rPr>
      </w:pPr>
      <w:r>
        <w:rPr>
          <w:rFonts w:hint="default" w:ascii="Times New Roman" w:hAnsi="Times New Roman" w:cs="Times New Roman"/>
          <w:color w:val="auto"/>
          <w:highlight w:val="none"/>
          <w:lang w:eastAsia="zh-CN"/>
        </w:rPr>
        <w:t xml:space="preserve">[9] Denmead OT, Simpson JR, Freney JR. 1977. A direct field measurement of ammonia emission after injection of anhydrous ammonia. </w:t>
      </w:r>
      <w:r>
        <w:rPr>
          <w:rFonts w:hint="default" w:ascii="Times New Roman" w:hAnsi="Times New Roman" w:cs="Times New Roman"/>
          <w:i/>
          <w:color w:val="auto"/>
          <w:highlight w:val="none"/>
          <w:lang w:eastAsia="zh-CN"/>
        </w:rPr>
        <w:t>Soil Science Society of America Journal</w:t>
      </w:r>
      <w:r>
        <w:rPr>
          <w:rFonts w:hint="default" w:ascii="Times New Roman" w:hAnsi="Times New Roman" w:cs="Times New Roman"/>
          <w:i w:val="0"/>
          <w:color w:val="auto"/>
          <w:highlight w:val="none"/>
          <w:lang w:eastAsia="zh-CN"/>
        </w:rPr>
        <w:t xml:space="preserve"> 41(5):1001−1004 https://doi.org/10.2136/sssaj1977.03615995004100050039x </w:t>
      </w:r>
      <w:r>
        <w:rPr>
          <w:rFonts w:hint="default" w:ascii="Times New Roman" w:hAnsi="Times New Roman" w:cs="Times New Roman"/>
          <w:i w:val="0"/>
          <w:color w:val="auto"/>
          <w:highlight w:val="none"/>
          <w:lang w:eastAsia="zh-CN"/>
        </w:rPr>
        <w:fldChar w:fldCharType="begin"/>
      </w:r>
      <w:r>
        <w:rPr>
          <w:rFonts w:hint="default" w:ascii="Times New Roman" w:hAnsi="Times New Roman" w:cs="Times New Roman"/>
          <w:i w:val="0"/>
          <w:color w:val="auto"/>
          <w:highlight w:val="none"/>
          <w:lang w:eastAsia="zh-CN"/>
        </w:rPr>
        <w:instrText xml:space="preserve"> HYPERLINK "http://dx.doi.org/10.2136/sssaj1977.03615995004100050039x" \o "自助复核" </w:instrText>
      </w:r>
      <w:r>
        <w:rPr>
          <w:rFonts w:hint="default" w:ascii="Times New Roman" w:hAnsi="Times New Roman" w:cs="Times New Roman"/>
          <w:i w:val="0"/>
          <w:color w:val="auto"/>
          <w:highlight w:val="none"/>
          <w:lang w:eastAsia="zh-CN"/>
        </w:rPr>
        <w:fldChar w:fldCharType="separate"/>
      </w:r>
      <w:r>
        <w:rPr>
          <w:rFonts w:hint="default" w:ascii="Times New Roman" w:hAnsi="Times New Roman" w:cs="Times New Roman"/>
          <w:i w:val="0"/>
          <w:color w:val="auto"/>
          <w:highlight w:val="none"/>
          <w:lang w:eastAsia="zh-CN"/>
        </w:rPr>
        <w:fldChar w:fldCharType="end"/>
      </w:r>
    </w:p>
    <w:p w14:paraId="3318E23B">
      <w:pPr>
        <w:pStyle w:val="10"/>
        <w:keepNext w:val="0"/>
        <w:keepLines w:val="0"/>
        <w:pageBreakBefore w:val="0"/>
        <w:widowControl/>
        <w:kinsoku/>
        <w:wordWrap/>
        <w:overflowPunct/>
        <w:topLinePunct w:val="0"/>
        <w:autoSpaceDE/>
        <w:autoSpaceDN/>
        <w:bidi w:val="0"/>
        <w:adjustRightInd/>
        <w:snapToGrid/>
        <w:ind w:left="720" w:hanging="720"/>
        <w:jc w:val="left"/>
        <w:textAlignment w:val="auto"/>
        <w:rPr>
          <w:rFonts w:hint="default" w:ascii="Times New Roman" w:hAnsi="Times New Roman" w:cs="Times New Roman" w:eastAsiaTheme="minorEastAsia"/>
          <w:i w:val="0"/>
          <w:color w:val="auto"/>
          <w:highlight w:val="none"/>
          <w:lang w:eastAsia="zh-CN"/>
        </w:rPr>
      </w:pPr>
      <w:r>
        <w:rPr>
          <w:rFonts w:hint="default" w:ascii="Times New Roman" w:hAnsi="Times New Roman" w:cs="Times New Roman"/>
          <w:color w:val="auto"/>
          <w:highlight w:val="none"/>
          <w:lang w:eastAsia="zh-CN"/>
        </w:rPr>
        <w:t xml:space="preserve">[10] Ryden JC, McNeill JE. 1984. Application of the micrometeorological mass balance method to the determination of ammonia loss from a grazed sward. </w:t>
      </w:r>
      <w:r>
        <w:rPr>
          <w:rFonts w:hint="default" w:ascii="Times New Roman" w:hAnsi="Times New Roman" w:cs="Times New Roman"/>
          <w:i/>
          <w:color w:val="auto"/>
          <w:highlight w:val="none"/>
          <w:lang w:eastAsia="zh-CN"/>
        </w:rPr>
        <w:t>Journal of the Science of Food and Agriculture</w:t>
      </w:r>
      <w:r>
        <w:rPr>
          <w:rFonts w:hint="default" w:ascii="Times New Roman" w:hAnsi="Times New Roman" w:cs="Times New Roman"/>
          <w:i w:val="0"/>
          <w:color w:val="auto"/>
          <w:highlight w:val="none"/>
          <w:lang w:eastAsia="zh-CN"/>
        </w:rPr>
        <w:t xml:space="preserve"> 35(12):1297−1310 https://doi.org/10.1002/jsfa.2740351206 </w:t>
      </w:r>
      <w:r>
        <w:rPr>
          <w:rFonts w:hint="default" w:ascii="Times New Roman" w:hAnsi="Times New Roman" w:cs="Times New Roman"/>
          <w:i w:val="0"/>
          <w:color w:val="auto"/>
          <w:highlight w:val="none"/>
          <w:lang w:eastAsia="zh-CN"/>
        </w:rPr>
        <w:fldChar w:fldCharType="begin"/>
      </w:r>
      <w:r>
        <w:rPr>
          <w:rFonts w:hint="default" w:ascii="Times New Roman" w:hAnsi="Times New Roman" w:cs="Times New Roman"/>
          <w:i w:val="0"/>
          <w:color w:val="auto"/>
          <w:highlight w:val="none"/>
          <w:lang w:eastAsia="zh-CN"/>
        </w:rPr>
        <w:instrText xml:space="preserve"> HYPERLINK "https://doi.org/10.1002/jsfa.2740351206" \o "自助复核" </w:instrText>
      </w:r>
      <w:r>
        <w:rPr>
          <w:rFonts w:hint="default" w:ascii="Times New Roman" w:hAnsi="Times New Roman" w:cs="Times New Roman"/>
          <w:i w:val="0"/>
          <w:color w:val="auto"/>
          <w:highlight w:val="none"/>
          <w:lang w:eastAsia="zh-CN"/>
        </w:rPr>
        <w:fldChar w:fldCharType="separate"/>
      </w:r>
      <w:r>
        <w:rPr>
          <w:rFonts w:hint="default" w:ascii="Times New Roman" w:hAnsi="Times New Roman" w:cs="Times New Roman"/>
          <w:i w:val="0"/>
          <w:color w:val="auto"/>
          <w:highlight w:val="none"/>
          <w:lang w:eastAsia="zh-CN"/>
        </w:rPr>
        <w:fldChar w:fldCharType="end"/>
      </w:r>
    </w:p>
    <w:p w14:paraId="59DE0D45">
      <w:pPr>
        <w:pStyle w:val="10"/>
        <w:keepNext w:val="0"/>
        <w:keepLines w:val="0"/>
        <w:pageBreakBefore w:val="0"/>
        <w:widowControl/>
        <w:kinsoku/>
        <w:wordWrap/>
        <w:overflowPunct/>
        <w:topLinePunct w:val="0"/>
        <w:autoSpaceDE/>
        <w:autoSpaceDN/>
        <w:bidi w:val="0"/>
        <w:adjustRightInd/>
        <w:snapToGrid/>
        <w:ind w:left="720" w:hanging="720"/>
        <w:jc w:val="left"/>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[11]</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 xml:space="preserve">Cai GX, Fan XH, Yang Z, Zhu ZL. 1998. Gaseous loss of nitrogen from fertilizers applied to wheat on a calcareous soil in North China Plain. </w:t>
      </w:r>
      <w:r>
        <w:rPr>
          <w:rFonts w:hint="default" w:ascii="Times New Roman" w:hAnsi="Times New Roman" w:cs="Times New Roman"/>
          <w:i/>
          <w:color w:val="auto"/>
          <w:highlight w:val="none"/>
        </w:rPr>
        <w:t>P</w:t>
      </w:r>
      <w:r>
        <w:rPr>
          <w:rFonts w:hint="default" w:ascii="Times New Roman" w:hAnsi="Times New Roman" w:cs="Times New Roman"/>
          <w:i/>
          <w:color w:val="auto"/>
          <w:highlight w:val="none"/>
          <w:lang w:val="en-US" w:eastAsia="zh-CN"/>
        </w:rPr>
        <w:t>edosphere</w:t>
      </w:r>
      <w:r>
        <w:rPr>
          <w:rFonts w:hint="default" w:ascii="Times New Roman" w:hAnsi="Times New Roman" w:cs="Times New Roman"/>
          <w:color w:val="auto"/>
          <w:highlight w:val="none"/>
        </w:rPr>
        <w:t xml:space="preserve"> 8:45</w:t>
      </w:r>
      <w:r>
        <w:rPr>
          <w:rFonts w:hint="default" w:ascii="Times New Roman" w:hAnsi="Times New Roman" w:cs="Times New Roman"/>
          <w:i w:val="0"/>
          <w:color w:val="auto"/>
          <w:highlight w:val="none"/>
          <w:lang w:eastAsia="zh-CN"/>
        </w:rPr>
        <w:t>−</w:t>
      </w:r>
      <w:r>
        <w:rPr>
          <w:rFonts w:hint="default" w:ascii="Times New Roman" w:hAnsi="Times New Roman" w:cs="Times New Roman"/>
          <w:color w:val="auto"/>
          <w:highlight w:val="none"/>
        </w:rPr>
        <w:t>52</w:t>
      </w:r>
    </w:p>
    <w:p w14:paraId="1B89E08E">
      <w:pPr>
        <w:pStyle w:val="10"/>
        <w:keepNext w:val="0"/>
        <w:keepLines w:val="0"/>
        <w:pageBreakBefore w:val="0"/>
        <w:widowControl/>
        <w:kinsoku/>
        <w:wordWrap/>
        <w:overflowPunct/>
        <w:topLinePunct w:val="0"/>
        <w:autoSpaceDE/>
        <w:autoSpaceDN/>
        <w:bidi w:val="0"/>
        <w:adjustRightInd/>
        <w:snapToGrid/>
        <w:ind w:left="720" w:hanging="720"/>
        <w:jc w:val="left"/>
        <w:textAlignment w:val="auto"/>
        <w:rPr>
          <w:rFonts w:hint="default" w:ascii="Times New Roman" w:hAnsi="Times New Roman" w:cs="Times New Roman" w:eastAsiaTheme="minorEastAsia"/>
          <w:i w:val="0"/>
          <w:color w:val="auto"/>
          <w:highlight w:val="none"/>
          <w:lang w:eastAsia="zh-CN"/>
        </w:rPr>
      </w:pPr>
      <w:r>
        <w:rPr>
          <w:rFonts w:hint="default" w:ascii="Times New Roman" w:hAnsi="Times New Roman" w:cs="Times New Roman"/>
          <w:color w:val="auto"/>
          <w:highlight w:val="none"/>
          <w:lang w:eastAsia="zh-CN"/>
        </w:rPr>
        <w:t xml:space="preserve">[12] Abalos D, Sanz-Cobena A, Misselbrook T, Vallejo A. 2012. Effectiveness of urease inhibition on the abatement of ammonia, nitrous oxide and nitric oxide emissions in a non-irrigated Mediterranean barley field. </w:t>
      </w:r>
      <w:r>
        <w:rPr>
          <w:rFonts w:hint="default" w:ascii="Times New Roman" w:hAnsi="Times New Roman" w:cs="Times New Roman"/>
          <w:i/>
          <w:color w:val="auto"/>
          <w:highlight w:val="none"/>
          <w:lang w:eastAsia="zh-CN"/>
        </w:rPr>
        <w:t>Chemosphere</w:t>
      </w:r>
      <w:r>
        <w:rPr>
          <w:rFonts w:hint="default" w:ascii="Times New Roman" w:hAnsi="Times New Roman" w:cs="Times New Roman"/>
          <w:i w:val="0"/>
          <w:color w:val="auto"/>
          <w:highlight w:val="none"/>
          <w:lang w:eastAsia="zh-CN"/>
        </w:rPr>
        <w:t xml:space="preserve"> 89(3):310−318 https://doi.org/10.1016/j.chemosphere.2012.04.043 </w:t>
      </w:r>
      <w:r>
        <w:rPr>
          <w:rFonts w:hint="default" w:ascii="Times New Roman" w:hAnsi="Times New Roman" w:cs="Times New Roman"/>
          <w:i w:val="0"/>
          <w:color w:val="auto"/>
          <w:highlight w:val="none"/>
          <w:lang w:eastAsia="zh-CN"/>
        </w:rPr>
        <w:fldChar w:fldCharType="begin"/>
      </w:r>
      <w:r>
        <w:rPr>
          <w:rFonts w:hint="default" w:ascii="Times New Roman" w:hAnsi="Times New Roman" w:cs="Times New Roman"/>
          <w:i w:val="0"/>
          <w:color w:val="auto"/>
          <w:highlight w:val="none"/>
          <w:lang w:eastAsia="zh-CN"/>
        </w:rPr>
        <w:instrText xml:space="preserve"> HYPERLINK "https://pubmed.ncbi.nlm.nih.gov/22583784/" \o "自助复核" </w:instrText>
      </w:r>
      <w:r>
        <w:rPr>
          <w:rFonts w:hint="default" w:ascii="Times New Roman" w:hAnsi="Times New Roman" w:cs="Times New Roman"/>
          <w:i w:val="0"/>
          <w:color w:val="auto"/>
          <w:highlight w:val="none"/>
          <w:lang w:eastAsia="zh-CN"/>
        </w:rPr>
        <w:fldChar w:fldCharType="separate"/>
      </w:r>
      <w:r>
        <w:rPr>
          <w:rFonts w:hint="default" w:ascii="Times New Roman" w:hAnsi="Times New Roman" w:cs="Times New Roman"/>
          <w:i w:val="0"/>
          <w:color w:val="auto"/>
          <w:highlight w:val="none"/>
          <w:lang w:eastAsia="zh-CN"/>
        </w:rPr>
        <w:fldChar w:fldCharType="end"/>
      </w:r>
    </w:p>
    <w:p w14:paraId="3203EDB2">
      <w:pPr>
        <w:pStyle w:val="10"/>
        <w:keepNext w:val="0"/>
        <w:keepLines w:val="0"/>
        <w:pageBreakBefore w:val="0"/>
        <w:widowControl/>
        <w:kinsoku/>
        <w:wordWrap/>
        <w:overflowPunct/>
        <w:topLinePunct w:val="0"/>
        <w:autoSpaceDE/>
        <w:autoSpaceDN/>
        <w:bidi w:val="0"/>
        <w:adjustRightInd/>
        <w:snapToGrid/>
        <w:ind w:left="720" w:hanging="720"/>
        <w:jc w:val="left"/>
        <w:textAlignment w:val="auto"/>
        <w:rPr>
          <w:rFonts w:hint="default" w:ascii="Times New Roman" w:hAnsi="Times New Roman" w:cs="Times New Roman" w:eastAsiaTheme="minorEastAsia"/>
          <w:i w:val="0"/>
          <w:color w:val="auto"/>
          <w:highlight w:val="none"/>
          <w:lang w:eastAsia="zh-CN"/>
        </w:rPr>
      </w:pPr>
      <w:r>
        <w:rPr>
          <w:rFonts w:hint="default" w:ascii="Times New Roman" w:hAnsi="Times New Roman" w:cs="Times New Roman"/>
          <w:color w:val="auto"/>
          <w:highlight w:val="none"/>
          <w:lang w:eastAsia="zh-CN"/>
        </w:rPr>
        <w:t xml:space="preserve">[13] Sanz-Cobena A, Misselbrook TH, Arce A, Mingot JI, Diez JA, et al. 2008. An inhibitor of urease activity effectively reduces ammonia emissions from soil treated with urea under Mediterranean conditions. </w:t>
      </w:r>
      <w:r>
        <w:rPr>
          <w:rFonts w:hint="default" w:ascii="Times New Roman" w:hAnsi="Times New Roman" w:cs="Times New Roman"/>
          <w:i/>
          <w:color w:val="auto"/>
          <w:highlight w:val="none"/>
          <w:lang w:eastAsia="zh-CN"/>
        </w:rPr>
        <w:t>Agriculture</w:t>
      </w:r>
      <w:r>
        <w:rPr>
          <w:rFonts w:hint="default" w:ascii="Times New Roman" w:hAnsi="Times New Roman" w:cs="Times New Roman"/>
          <w:i w:val="0"/>
          <w:color w:val="auto"/>
          <w:highlight w:val="none"/>
          <w:lang w:eastAsia="zh-CN"/>
        </w:rPr>
        <w:t xml:space="preserve">, </w:t>
      </w:r>
      <w:r>
        <w:rPr>
          <w:rFonts w:hint="default" w:ascii="Times New Roman" w:hAnsi="Times New Roman" w:cs="Times New Roman"/>
          <w:i/>
          <w:color w:val="auto"/>
          <w:highlight w:val="none"/>
          <w:lang w:eastAsia="zh-CN"/>
        </w:rPr>
        <w:t>Ecosystems &amp; Environment</w:t>
      </w:r>
      <w:r>
        <w:rPr>
          <w:rFonts w:hint="default" w:ascii="Times New Roman" w:hAnsi="Times New Roman" w:cs="Times New Roman"/>
          <w:i w:val="0"/>
          <w:color w:val="auto"/>
          <w:highlight w:val="none"/>
          <w:lang w:eastAsia="zh-CN"/>
        </w:rPr>
        <w:t xml:space="preserve"> 126(3−4):243−249 https://doi.org/10.1016/j.agee.2008.02.001 </w:t>
      </w:r>
      <w:r>
        <w:rPr>
          <w:rFonts w:hint="default" w:ascii="Times New Roman" w:hAnsi="Times New Roman" w:cs="Times New Roman"/>
          <w:i w:val="0"/>
          <w:color w:val="auto"/>
          <w:highlight w:val="none"/>
          <w:lang w:eastAsia="zh-CN"/>
        </w:rPr>
        <w:fldChar w:fldCharType="begin"/>
      </w:r>
      <w:r>
        <w:rPr>
          <w:rFonts w:hint="default" w:ascii="Times New Roman" w:hAnsi="Times New Roman" w:cs="Times New Roman"/>
          <w:i w:val="0"/>
          <w:color w:val="auto"/>
          <w:highlight w:val="none"/>
          <w:lang w:eastAsia="zh-CN"/>
        </w:rPr>
        <w:instrText xml:space="preserve"> HYPERLINK "http://dx.doi.org/10.1016/j.agee.2008.02.001" \o "自助复核" </w:instrText>
      </w:r>
      <w:r>
        <w:rPr>
          <w:rFonts w:hint="default" w:ascii="Times New Roman" w:hAnsi="Times New Roman" w:cs="Times New Roman"/>
          <w:i w:val="0"/>
          <w:color w:val="auto"/>
          <w:highlight w:val="none"/>
          <w:lang w:eastAsia="zh-CN"/>
        </w:rPr>
        <w:fldChar w:fldCharType="separate"/>
      </w:r>
      <w:r>
        <w:rPr>
          <w:rFonts w:hint="default" w:ascii="Times New Roman" w:hAnsi="Times New Roman" w:cs="Times New Roman"/>
          <w:i w:val="0"/>
          <w:color w:val="auto"/>
          <w:highlight w:val="none"/>
          <w:lang w:eastAsia="zh-CN"/>
        </w:rPr>
        <w:fldChar w:fldCharType="end"/>
      </w:r>
    </w:p>
    <w:p w14:paraId="7EB4DE57">
      <w:pPr>
        <w:pStyle w:val="10"/>
        <w:keepNext w:val="0"/>
        <w:keepLines w:val="0"/>
        <w:pageBreakBefore w:val="0"/>
        <w:widowControl/>
        <w:kinsoku/>
        <w:wordWrap/>
        <w:overflowPunct/>
        <w:topLinePunct w:val="0"/>
        <w:autoSpaceDE/>
        <w:autoSpaceDN/>
        <w:bidi w:val="0"/>
        <w:adjustRightInd/>
        <w:snapToGrid/>
        <w:ind w:left="720" w:hanging="720"/>
        <w:jc w:val="left"/>
        <w:textAlignment w:val="auto"/>
        <w:rPr>
          <w:rFonts w:hint="default" w:ascii="Times New Roman" w:hAnsi="Times New Roman" w:cs="Times New Roman" w:eastAsiaTheme="minorEastAsia"/>
          <w:i w:val="0"/>
          <w:color w:val="auto"/>
          <w:highlight w:val="none"/>
          <w:lang w:eastAsia="zh-CN"/>
        </w:rPr>
      </w:pPr>
      <w:r>
        <w:rPr>
          <w:rFonts w:hint="default" w:ascii="Times New Roman" w:hAnsi="Times New Roman" w:cs="Times New Roman"/>
          <w:color w:val="auto"/>
          <w:highlight w:val="none"/>
          <w:lang w:eastAsia="zh-CN"/>
        </w:rPr>
        <w:t xml:space="preserve">[14] Leuning R, Freney JR, Denmead OT, Simpson JR. 1985. A sampler for measuring atmospheric ammonia flux. </w:t>
      </w:r>
      <w:r>
        <w:rPr>
          <w:rFonts w:hint="default" w:ascii="Times New Roman" w:hAnsi="Times New Roman" w:cs="Times New Roman"/>
          <w:i/>
          <w:color w:val="auto"/>
          <w:highlight w:val="none"/>
          <w:lang w:eastAsia="zh-CN"/>
        </w:rPr>
        <w:t>Atmospheric Environment</w:t>
      </w:r>
      <w:r>
        <w:rPr>
          <w:rFonts w:hint="default" w:ascii="Times New Roman" w:hAnsi="Times New Roman" w:cs="Times New Roman"/>
          <w:i w:val="0"/>
          <w:color w:val="auto"/>
          <w:highlight w:val="none"/>
          <w:lang w:eastAsia="zh-CN"/>
        </w:rPr>
        <w:t xml:space="preserve"> (</w:t>
      </w:r>
      <w:r>
        <w:rPr>
          <w:rFonts w:hint="default" w:ascii="Times New Roman" w:hAnsi="Times New Roman" w:cs="Times New Roman"/>
          <w:i/>
          <w:color w:val="auto"/>
          <w:highlight w:val="none"/>
          <w:lang w:eastAsia="zh-CN"/>
        </w:rPr>
        <w:t>1967</w:t>
      </w:r>
      <w:r>
        <w:rPr>
          <w:rFonts w:hint="default" w:ascii="Times New Roman" w:hAnsi="Times New Roman" w:cs="Times New Roman"/>
          <w:i w:val="0"/>
          <w:color w:val="auto"/>
          <w:highlight w:val="none"/>
          <w:lang w:eastAsia="zh-CN"/>
        </w:rPr>
        <w:t xml:space="preserve">) 19(7):1117−1124 https://doi.org/10.1016/0004-6981(85)90196-9 </w:t>
      </w:r>
      <w:r>
        <w:rPr>
          <w:rFonts w:hint="default" w:ascii="Times New Roman" w:hAnsi="Times New Roman" w:cs="Times New Roman"/>
          <w:i w:val="0"/>
          <w:color w:val="auto"/>
          <w:highlight w:val="none"/>
          <w:lang w:eastAsia="zh-CN"/>
        </w:rPr>
        <w:fldChar w:fldCharType="begin"/>
      </w:r>
      <w:r>
        <w:rPr>
          <w:rFonts w:hint="default" w:ascii="Times New Roman" w:hAnsi="Times New Roman" w:cs="Times New Roman"/>
          <w:i w:val="0"/>
          <w:color w:val="auto"/>
          <w:highlight w:val="none"/>
          <w:lang w:eastAsia="zh-CN"/>
        </w:rPr>
        <w:instrText xml:space="preserve"> HYPERLINK "http://dx.doi.org/10.1016/0004-6981(85)90196-9" \o "自助复核" </w:instrText>
      </w:r>
      <w:r>
        <w:rPr>
          <w:rFonts w:hint="default" w:ascii="Times New Roman" w:hAnsi="Times New Roman" w:cs="Times New Roman"/>
          <w:i w:val="0"/>
          <w:color w:val="auto"/>
          <w:highlight w:val="none"/>
          <w:lang w:eastAsia="zh-CN"/>
        </w:rPr>
        <w:fldChar w:fldCharType="separate"/>
      </w:r>
      <w:r>
        <w:rPr>
          <w:rFonts w:hint="default" w:ascii="Times New Roman" w:hAnsi="Times New Roman" w:cs="Times New Roman"/>
          <w:i w:val="0"/>
          <w:color w:val="auto"/>
          <w:highlight w:val="none"/>
          <w:lang w:eastAsia="zh-CN"/>
        </w:rPr>
        <w:fldChar w:fldCharType="end"/>
      </w:r>
    </w:p>
    <w:p w14:paraId="71491627">
      <w:pPr>
        <w:pStyle w:val="10"/>
        <w:keepNext w:val="0"/>
        <w:keepLines w:val="0"/>
        <w:pageBreakBefore w:val="0"/>
        <w:widowControl/>
        <w:kinsoku/>
        <w:wordWrap/>
        <w:overflowPunct/>
        <w:topLinePunct w:val="0"/>
        <w:autoSpaceDE/>
        <w:autoSpaceDN/>
        <w:bidi w:val="0"/>
        <w:adjustRightInd/>
        <w:snapToGrid/>
        <w:ind w:left="720" w:hanging="720"/>
        <w:jc w:val="left"/>
        <w:textAlignment w:val="auto"/>
        <w:rPr>
          <w:rFonts w:hint="default" w:ascii="Times New Roman" w:hAnsi="Times New Roman" w:cs="Times New Roman" w:eastAsiaTheme="minorEastAsia"/>
          <w:i w:val="0"/>
          <w:color w:val="auto"/>
          <w:highlight w:val="none"/>
          <w:lang w:eastAsia="zh-CN"/>
        </w:rPr>
      </w:pPr>
      <w:r>
        <w:rPr>
          <w:rFonts w:hint="default" w:ascii="Times New Roman" w:hAnsi="Times New Roman" w:cs="Times New Roman"/>
          <w:color w:val="auto"/>
          <w:highlight w:val="none"/>
          <w:lang w:eastAsia="zh-CN"/>
        </w:rPr>
        <w:t xml:space="preserve">[15] Sutton MA, Flower D, Moncriefe JB. 1993. The exchange of atmospheric ammonia with vegetated surfaces. I: Unfertilized vegetation. </w:t>
      </w:r>
      <w:r>
        <w:rPr>
          <w:rFonts w:hint="default" w:ascii="Times New Roman" w:hAnsi="Times New Roman" w:cs="Times New Roman"/>
          <w:i/>
          <w:color w:val="auto"/>
          <w:highlight w:val="none"/>
          <w:lang w:eastAsia="zh-CN"/>
        </w:rPr>
        <w:t>Quarterly Journal of the Royal Meteorological Society</w:t>
      </w:r>
      <w:r>
        <w:rPr>
          <w:rFonts w:hint="default" w:ascii="Times New Roman" w:hAnsi="Times New Roman" w:cs="Times New Roman"/>
          <w:i w:val="0"/>
          <w:color w:val="auto"/>
          <w:highlight w:val="none"/>
          <w:lang w:eastAsia="zh-CN"/>
        </w:rPr>
        <w:t xml:space="preserve"> 119(513):1023−1045 https://doi.org/10.1002/qj.49711951309 </w:t>
      </w:r>
      <w:r>
        <w:rPr>
          <w:rFonts w:hint="default" w:ascii="Times New Roman" w:hAnsi="Times New Roman" w:cs="Times New Roman"/>
          <w:i w:val="0"/>
          <w:color w:val="auto"/>
          <w:highlight w:val="none"/>
          <w:lang w:eastAsia="zh-CN"/>
        </w:rPr>
        <w:fldChar w:fldCharType="begin"/>
      </w:r>
      <w:r>
        <w:rPr>
          <w:rFonts w:hint="default" w:ascii="Times New Roman" w:hAnsi="Times New Roman" w:cs="Times New Roman"/>
          <w:i w:val="0"/>
          <w:color w:val="auto"/>
          <w:highlight w:val="none"/>
          <w:lang w:eastAsia="zh-CN"/>
        </w:rPr>
        <w:instrText xml:space="preserve"> HYPERLINK "https://doi.org/10.1002/qj.49711951309" \o "自助复核" </w:instrText>
      </w:r>
      <w:r>
        <w:rPr>
          <w:rFonts w:hint="default" w:ascii="Times New Roman" w:hAnsi="Times New Roman" w:cs="Times New Roman"/>
          <w:i w:val="0"/>
          <w:color w:val="auto"/>
          <w:highlight w:val="none"/>
          <w:lang w:eastAsia="zh-CN"/>
        </w:rPr>
        <w:fldChar w:fldCharType="separate"/>
      </w:r>
      <w:r>
        <w:rPr>
          <w:rFonts w:hint="default" w:ascii="Times New Roman" w:hAnsi="Times New Roman" w:cs="Times New Roman"/>
          <w:i w:val="0"/>
          <w:color w:val="auto"/>
          <w:highlight w:val="none"/>
          <w:lang w:eastAsia="zh-CN"/>
        </w:rPr>
        <w:fldChar w:fldCharType="end"/>
      </w:r>
    </w:p>
    <w:p w14:paraId="113D190A">
      <w:pPr>
        <w:pStyle w:val="10"/>
        <w:keepNext w:val="0"/>
        <w:keepLines w:val="0"/>
        <w:pageBreakBefore w:val="0"/>
        <w:widowControl/>
        <w:kinsoku/>
        <w:wordWrap/>
        <w:overflowPunct/>
        <w:topLinePunct w:val="0"/>
        <w:autoSpaceDE/>
        <w:autoSpaceDN/>
        <w:bidi w:val="0"/>
        <w:adjustRightInd/>
        <w:snapToGrid/>
        <w:ind w:left="720" w:hanging="720"/>
        <w:jc w:val="left"/>
        <w:textAlignment w:val="auto"/>
        <w:rPr>
          <w:rFonts w:hint="default" w:ascii="Times New Roman" w:hAnsi="Times New Roman" w:cs="Times New Roman" w:eastAsiaTheme="minorEastAsia"/>
          <w:i w:val="0"/>
          <w:color w:val="auto"/>
          <w:highlight w:val="none"/>
          <w:lang w:eastAsia="zh-CN"/>
        </w:rPr>
      </w:pPr>
      <w:r>
        <w:rPr>
          <w:rFonts w:hint="default" w:ascii="Times New Roman" w:hAnsi="Times New Roman" w:cs="Times New Roman"/>
          <w:color w:val="auto"/>
          <w:highlight w:val="none"/>
          <w:lang w:eastAsia="zh-CN"/>
        </w:rPr>
        <w:t xml:space="preserve">[16] Milford C, Theobald MR, Nemitz E, Hargreaves KJ, Horvath L, et al. 2009. Ammonia fluxes in relation to cutting and fertilization of an intensively managed grassland derived from an inter-comparison of gradient measurements. </w:t>
      </w:r>
      <w:r>
        <w:rPr>
          <w:rFonts w:hint="default" w:ascii="Times New Roman" w:hAnsi="Times New Roman" w:cs="Times New Roman"/>
          <w:i/>
          <w:color w:val="auto"/>
          <w:highlight w:val="none"/>
          <w:lang w:eastAsia="zh-CN"/>
        </w:rPr>
        <w:t>Biogeosciences</w:t>
      </w:r>
      <w:r>
        <w:rPr>
          <w:rFonts w:hint="default" w:ascii="Times New Roman" w:hAnsi="Times New Roman" w:cs="Times New Roman"/>
          <w:i w:val="0"/>
          <w:color w:val="auto"/>
          <w:highlight w:val="none"/>
          <w:lang w:eastAsia="zh-CN"/>
        </w:rPr>
        <w:t xml:space="preserve"> 6(5):819−834 https://doi.org/10.5194/bg-6-819-2009 </w:t>
      </w:r>
      <w:r>
        <w:rPr>
          <w:rFonts w:hint="default" w:ascii="Times New Roman" w:hAnsi="Times New Roman" w:cs="Times New Roman"/>
          <w:i w:val="0"/>
          <w:color w:val="auto"/>
          <w:highlight w:val="none"/>
          <w:lang w:eastAsia="zh-CN"/>
        </w:rPr>
        <w:fldChar w:fldCharType="begin"/>
      </w:r>
      <w:r>
        <w:rPr>
          <w:rFonts w:hint="default" w:ascii="Times New Roman" w:hAnsi="Times New Roman" w:cs="Times New Roman"/>
          <w:i w:val="0"/>
          <w:color w:val="auto"/>
          <w:highlight w:val="none"/>
          <w:lang w:eastAsia="zh-CN"/>
        </w:rPr>
        <w:instrText xml:space="preserve"> HYPERLINK "https://doi.org/10.5194/bg-6-819-2009" \o "自助复核" </w:instrText>
      </w:r>
      <w:r>
        <w:rPr>
          <w:rFonts w:hint="default" w:ascii="Times New Roman" w:hAnsi="Times New Roman" w:cs="Times New Roman"/>
          <w:i w:val="0"/>
          <w:color w:val="auto"/>
          <w:highlight w:val="none"/>
          <w:lang w:eastAsia="zh-CN"/>
        </w:rPr>
        <w:fldChar w:fldCharType="separate"/>
      </w:r>
      <w:r>
        <w:rPr>
          <w:rFonts w:hint="default" w:ascii="Times New Roman" w:hAnsi="Times New Roman" w:cs="Times New Roman"/>
          <w:i w:val="0"/>
          <w:color w:val="auto"/>
          <w:highlight w:val="none"/>
          <w:lang w:eastAsia="zh-CN"/>
        </w:rPr>
        <w:fldChar w:fldCharType="end"/>
      </w:r>
    </w:p>
    <w:p w14:paraId="7381F85E">
      <w:pPr>
        <w:pStyle w:val="10"/>
        <w:keepNext w:val="0"/>
        <w:keepLines w:val="0"/>
        <w:pageBreakBefore w:val="0"/>
        <w:widowControl/>
        <w:kinsoku/>
        <w:wordWrap/>
        <w:overflowPunct/>
        <w:topLinePunct w:val="0"/>
        <w:autoSpaceDE/>
        <w:autoSpaceDN/>
        <w:bidi w:val="0"/>
        <w:adjustRightInd/>
        <w:snapToGrid/>
        <w:ind w:left="720" w:hanging="720"/>
        <w:jc w:val="left"/>
        <w:textAlignment w:val="auto"/>
        <w:rPr>
          <w:rFonts w:hint="default" w:ascii="Times New Roman" w:hAnsi="Times New Roman" w:cs="Times New Roman" w:eastAsiaTheme="minorEastAsia"/>
          <w:i w:val="0"/>
          <w:color w:val="auto"/>
          <w:highlight w:val="none"/>
          <w:lang w:eastAsia="zh-CN"/>
        </w:rPr>
      </w:pPr>
      <w:r>
        <w:rPr>
          <w:rFonts w:hint="default" w:ascii="Times New Roman" w:hAnsi="Times New Roman" w:cs="Times New Roman"/>
          <w:color w:val="auto"/>
          <w:highlight w:val="none"/>
          <w:lang w:eastAsia="zh-CN"/>
        </w:rPr>
        <w:t xml:space="preserve">[17] Nemitz E, Sutton MA, Wyers GP, Otjes RP, Schjoerring JK, et al. 2000. Surface/atmosphere exchange and chemical interaction of gases and aerosols over oilseed rape. </w:t>
      </w:r>
      <w:r>
        <w:rPr>
          <w:rFonts w:hint="default" w:ascii="Times New Roman" w:hAnsi="Times New Roman" w:cs="Times New Roman"/>
          <w:i/>
          <w:color w:val="auto"/>
          <w:highlight w:val="none"/>
          <w:lang w:eastAsia="zh-CN"/>
        </w:rPr>
        <w:t>Agricultural and Forest Meteorology</w:t>
      </w:r>
      <w:r>
        <w:rPr>
          <w:rFonts w:hint="default" w:ascii="Times New Roman" w:hAnsi="Times New Roman" w:cs="Times New Roman"/>
          <w:i w:val="0"/>
          <w:color w:val="auto"/>
          <w:highlight w:val="none"/>
          <w:lang w:eastAsia="zh-CN"/>
        </w:rPr>
        <w:t xml:space="preserve"> 105(4):427−445 https://doi.org/10.1016/S0168-1923(00)00207-0 </w:t>
      </w:r>
      <w:r>
        <w:rPr>
          <w:rFonts w:hint="default" w:ascii="Times New Roman" w:hAnsi="Times New Roman" w:cs="Times New Roman"/>
          <w:i w:val="0"/>
          <w:color w:val="auto"/>
          <w:highlight w:val="none"/>
          <w:lang w:eastAsia="zh-CN"/>
        </w:rPr>
        <w:fldChar w:fldCharType="begin"/>
      </w:r>
      <w:r>
        <w:rPr>
          <w:rFonts w:hint="default" w:ascii="Times New Roman" w:hAnsi="Times New Roman" w:cs="Times New Roman"/>
          <w:i w:val="0"/>
          <w:color w:val="auto"/>
          <w:highlight w:val="none"/>
          <w:lang w:eastAsia="zh-CN"/>
        </w:rPr>
        <w:instrText xml:space="preserve"> HYPERLINK "http://dx.doi.org/10.1016/S0168-1923(00)00207-0" \o "自助复核" </w:instrText>
      </w:r>
      <w:r>
        <w:rPr>
          <w:rFonts w:hint="default" w:ascii="Times New Roman" w:hAnsi="Times New Roman" w:cs="Times New Roman"/>
          <w:i w:val="0"/>
          <w:color w:val="auto"/>
          <w:highlight w:val="none"/>
          <w:lang w:eastAsia="zh-CN"/>
        </w:rPr>
        <w:fldChar w:fldCharType="separate"/>
      </w:r>
      <w:r>
        <w:rPr>
          <w:rFonts w:hint="default" w:ascii="Times New Roman" w:hAnsi="Times New Roman" w:cs="Times New Roman"/>
          <w:i w:val="0"/>
          <w:color w:val="auto"/>
          <w:highlight w:val="none"/>
          <w:lang w:eastAsia="zh-CN"/>
        </w:rPr>
        <w:fldChar w:fldCharType="end"/>
      </w:r>
    </w:p>
    <w:p w14:paraId="0CA0195A">
      <w:pPr>
        <w:pStyle w:val="10"/>
        <w:keepNext w:val="0"/>
        <w:keepLines w:val="0"/>
        <w:pageBreakBefore w:val="0"/>
        <w:widowControl/>
        <w:kinsoku/>
        <w:wordWrap/>
        <w:overflowPunct/>
        <w:topLinePunct w:val="0"/>
        <w:autoSpaceDE/>
        <w:autoSpaceDN/>
        <w:bidi w:val="0"/>
        <w:adjustRightInd/>
        <w:snapToGrid/>
        <w:ind w:left="720" w:hanging="720"/>
        <w:jc w:val="left"/>
        <w:textAlignment w:val="auto"/>
        <w:rPr>
          <w:rFonts w:hint="default" w:ascii="Times New Roman" w:hAnsi="Times New Roman" w:cs="Times New Roman" w:eastAsiaTheme="minorEastAsia"/>
          <w:i w:val="0"/>
          <w:color w:val="auto"/>
          <w:highlight w:val="none"/>
          <w:lang w:eastAsia="zh-CN"/>
        </w:rPr>
      </w:pPr>
      <w:r>
        <w:rPr>
          <w:rFonts w:hint="default" w:ascii="Times New Roman" w:hAnsi="Times New Roman" w:cs="Times New Roman"/>
          <w:color w:val="auto"/>
          <w:highlight w:val="none"/>
          <w:lang w:eastAsia="zh-CN"/>
        </w:rPr>
        <w:t xml:space="preserve">[18] Sutton MA, Nemitz E, Milford C, Fowler D, Moreno J, et al. 2000. Micrometeorological measurements of net ammonia fluxes over oilseed rape during two vegetation periods. </w:t>
      </w:r>
      <w:r>
        <w:rPr>
          <w:rFonts w:hint="default" w:ascii="Times New Roman" w:hAnsi="Times New Roman" w:cs="Times New Roman"/>
          <w:i/>
          <w:color w:val="auto"/>
          <w:highlight w:val="none"/>
          <w:lang w:eastAsia="zh-CN"/>
        </w:rPr>
        <w:t>Agricultural and Forest Meteorology</w:t>
      </w:r>
      <w:r>
        <w:rPr>
          <w:rFonts w:hint="default" w:ascii="Times New Roman" w:hAnsi="Times New Roman" w:cs="Times New Roman"/>
          <w:i w:val="0"/>
          <w:color w:val="auto"/>
          <w:highlight w:val="none"/>
          <w:lang w:eastAsia="zh-CN"/>
        </w:rPr>
        <w:t xml:space="preserve"> 105(4):351−369 https://doi.org/10.1016/S0168-1923(00)00203-3 </w:t>
      </w:r>
      <w:r>
        <w:rPr>
          <w:rFonts w:hint="default" w:ascii="Times New Roman" w:hAnsi="Times New Roman" w:cs="Times New Roman"/>
          <w:i w:val="0"/>
          <w:color w:val="auto"/>
          <w:highlight w:val="none"/>
          <w:lang w:eastAsia="zh-CN"/>
        </w:rPr>
        <w:fldChar w:fldCharType="begin"/>
      </w:r>
      <w:r>
        <w:rPr>
          <w:rFonts w:hint="default" w:ascii="Times New Roman" w:hAnsi="Times New Roman" w:cs="Times New Roman"/>
          <w:i w:val="0"/>
          <w:color w:val="auto"/>
          <w:highlight w:val="none"/>
          <w:lang w:eastAsia="zh-CN"/>
        </w:rPr>
        <w:instrText xml:space="preserve"> HYPERLINK "http://dx.doi.org/10.1016/S0168-1923(00)00203-3" \o "自助复核" </w:instrText>
      </w:r>
      <w:r>
        <w:rPr>
          <w:rFonts w:hint="default" w:ascii="Times New Roman" w:hAnsi="Times New Roman" w:cs="Times New Roman"/>
          <w:i w:val="0"/>
          <w:color w:val="auto"/>
          <w:highlight w:val="none"/>
          <w:lang w:eastAsia="zh-CN"/>
        </w:rPr>
        <w:fldChar w:fldCharType="separate"/>
      </w:r>
      <w:r>
        <w:rPr>
          <w:rFonts w:hint="default" w:ascii="Times New Roman" w:hAnsi="Times New Roman" w:cs="Times New Roman"/>
          <w:i w:val="0"/>
          <w:color w:val="auto"/>
          <w:highlight w:val="none"/>
          <w:lang w:eastAsia="zh-CN"/>
        </w:rPr>
        <w:fldChar w:fldCharType="end"/>
      </w:r>
    </w:p>
    <w:p w14:paraId="6A935019">
      <w:pPr>
        <w:pStyle w:val="10"/>
        <w:keepNext w:val="0"/>
        <w:keepLines w:val="0"/>
        <w:pageBreakBefore w:val="0"/>
        <w:widowControl/>
        <w:kinsoku/>
        <w:wordWrap/>
        <w:overflowPunct/>
        <w:topLinePunct w:val="0"/>
        <w:autoSpaceDE/>
        <w:autoSpaceDN/>
        <w:bidi w:val="0"/>
        <w:adjustRightInd/>
        <w:snapToGrid/>
        <w:ind w:left="720" w:hanging="720"/>
        <w:jc w:val="left"/>
        <w:textAlignment w:val="auto"/>
        <w:rPr>
          <w:rFonts w:hint="default" w:ascii="Times New Roman" w:hAnsi="Times New Roman" w:cs="Times New Roman" w:eastAsiaTheme="minorEastAsia"/>
          <w:i w:val="0"/>
          <w:color w:val="auto"/>
          <w:highlight w:val="none"/>
          <w:lang w:eastAsia="zh-CN"/>
        </w:rPr>
      </w:pPr>
      <w:r>
        <w:rPr>
          <w:rFonts w:hint="default" w:ascii="Times New Roman" w:hAnsi="Times New Roman" w:cs="Times New Roman"/>
          <w:color w:val="auto"/>
          <w:highlight w:val="none"/>
          <w:lang w:eastAsia="zh-CN"/>
        </w:rPr>
        <w:t xml:space="preserve">[19] Hayashi K, Koga N, Yanai Y. 2009. Effects of field-applied composted cattle manure and chemical fertilizer on ammonia and particulate ammonium exchanges at an upland field. </w:t>
      </w:r>
      <w:r>
        <w:rPr>
          <w:rFonts w:hint="default" w:ascii="Times New Roman" w:hAnsi="Times New Roman" w:cs="Times New Roman"/>
          <w:i/>
          <w:color w:val="auto"/>
          <w:highlight w:val="none"/>
          <w:lang w:eastAsia="zh-CN"/>
        </w:rPr>
        <w:t>Atmospheric Environment</w:t>
      </w:r>
      <w:r>
        <w:rPr>
          <w:rFonts w:hint="default" w:ascii="Times New Roman" w:hAnsi="Times New Roman" w:cs="Times New Roman"/>
          <w:i w:val="0"/>
          <w:color w:val="auto"/>
          <w:highlight w:val="none"/>
          <w:lang w:eastAsia="zh-CN"/>
        </w:rPr>
        <w:t xml:space="preserve"> 43(35):5702−5707 https://doi.org/10.1016/j.atmosenv.2009.07.043 </w:t>
      </w:r>
      <w:r>
        <w:rPr>
          <w:rFonts w:hint="default" w:ascii="Times New Roman" w:hAnsi="Times New Roman" w:cs="Times New Roman"/>
          <w:i w:val="0"/>
          <w:color w:val="auto"/>
          <w:highlight w:val="none"/>
          <w:lang w:eastAsia="zh-CN"/>
        </w:rPr>
        <w:fldChar w:fldCharType="begin"/>
      </w:r>
      <w:r>
        <w:rPr>
          <w:rFonts w:hint="default" w:ascii="Times New Roman" w:hAnsi="Times New Roman" w:cs="Times New Roman"/>
          <w:i w:val="0"/>
          <w:color w:val="auto"/>
          <w:highlight w:val="none"/>
          <w:lang w:eastAsia="zh-CN"/>
        </w:rPr>
        <w:instrText xml:space="preserve"> HYPERLINK "http://dx.doi.org/10.1016/j.atmosenv.2009.07.043" \o "自助复核" </w:instrText>
      </w:r>
      <w:r>
        <w:rPr>
          <w:rFonts w:hint="default" w:ascii="Times New Roman" w:hAnsi="Times New Roman" w:cs="Times New Roman"/>
          <w:i w:val="0"/>
          <w:color w:val="auto"/>
          <w:highlight w:val="none"/>
          <w:lang w:eastAsia="zh-CN"/>
        </w:rPr>
        <w:fldChar w:fldCharType="separate"/>
      </w:r>
      <w:r>
        <w:rPr>
          <w:rFonts w:hint="default" w:ascii="Times New Roman" w:hAnsi="Times New Roman" w:cs="Times New Roman"/>
          <w:i w:val="0"/>
          <w:color w:val="auto"/>
          <w:highlight w:val="none"/>
          <w:lang w:eastAsia="zh-CN"/>
        </w:rPr>
        <w:fldChar w:fldCharType="end"/>
      </w:r>
    </w:p>
    <w:p w14:paraId="3F3BA6FD">
      <w:pPr>
        <w:pStyle w:val="10"/>
        <w:keepNext w:val="0"/>
        <w:keepLines w:val="0"/>
        <w:pageBreakBefore w:val="0"/>
        <w:widowControl/>
        <w:kinsoku/>
        <w:wordWrap/>
        <w:overflowPunct/>
        <w:topLinePunct w:val="0"/>
        <w:autoSpaceDE/>
        <w:autoSpaceDN/>
        <w:bidi w:val="0"/>
        <w:adjustRightInd/>
        <w:snapToGrid/>
        <w:ind w:left="720" w:hanging="720"/>
        <w:jc w:val="left"/>
        <w:textAlignment w:val="auto"/>
        <w:rPr>
          <w:rFonts w:hint="default" w:ascii="Times New Roman" w:hAnsi="Times New Roman" w:cs="Times New Roman" w:eastAsiaTheme="minorEastAsia"/>
          <w:i w:val="0"/>
          <w:color w:val="auto"/>
          <w:highlight w:val="none"/>
          <w:lang w:eastAsia="zh-CN"/>
        </w:rPr>
      </w:pPr>
      <w:r>
        <w:rPr>
          <w:rFonts w:hint="default" w:ascii="Times New Roman" w:hAnsi="Times New Roman" w:cs="Times New Roman"/>
          <w:color w:val="auto"/>
          <w:highlight w:val="none"/>
          <w:lang w:eastAsia="zh-CN"/>
        </w:rPr>
        <w:t xml:space="preserve">[20] Xu M, Umehara M, Sase H, Matsuda K. 2022. Ammonia fluxes over an agricultural field in growing and fallow periods using relaxed eddy accumulation. </w:t>
      </w:r>
      <w:r>
        <w:rPr>
          <w:rFonts w:hint="default" w:ascii="Times New Roman" w:hAnsi="Times New Roman" w:cs="Times New Roman"/>
          <w:i/>
          <w:color w:val="auto"/>
          <w:highlight w:val="none"/>
          <w:lang w:eastAsia="zh-CN"/>
        </w:rPr>
        <w:t>Atmospheric Environment</w:t>
      </w:r>
      <w:r>
        <w:rPr>
          <w:rFonts w:hint="default" w:ascii="Times New Roman" w:hAnsi="Times New Roman" w:cs="Times New Roman"/>
          <w:i w:val="0"/>
          <w:color w:val="auto"/>
          <w:highlight w:val="none"/>
          <w:lang w:eastAsia="zh-CN"/>
        </w:rPr>
        <w:t xml:space="preserve"> 284:119195 https://doi.org/10.1016/j.atmosenv.2022.119195 </w:t>
      </w:r>
      <w:r>
        <w:rPr>
          <w:rFonts w:hint="default" w:ascii="Times New Roman" w:hAnsi="Times New Roman" w:cs="Times New Roman"/>
          <w:i w:val="0"/>
          <w:color w:val="auto"/>
          <w:highlight w:val="none"/>
          <w:lang w:eastAsia="zh-CN"/>
        </w:rPr>
        <w:fldChar w:fldCharType="begin"/>
      </w:r>
      <w:r>
        <w:rPr>
          <w:rFonts w:hint="default" w:ascii="Times New Roman" w:hAnsi="Times New Roman" w:cs="Times New Roman"/>
          <w:i w:val="0"/>
          <w:color w:val="auto"/>
          <w:highlight w:val="none"/>
          <w:lang w:eastAsia="zh-CN"/>
        </w:rPr>
        <w:instrText xml:space="preserve"> HYPERLINK "http://dx.doi.org/10.1016/j.atmosenv.2022.119195" \o "自助复核" </w:instrText>
      </w:r>
      <w:r>
        <w:rPr>
          <w:rFonts w:hint="default" w:ascii="Times New Roman" w:hAnsi="Times New Roman" w:cs="Times New Roman"/>
          <w:i w:val="0"/>
          <w:color w:val="auto"/>
          <w:highlight w:val="none"/>
          <w:lang w:eastAsia="zh-CN"/>
        </w:rPr>
        <w:fldChar w:fldCharType="separate"/>
      </w:r>
      <w:r>
        <w:rPr>
          <w:rFonts w:hint="default" w:ascii="Times New Roman" w:hAnsi="Times New Roman" w:cs="Times New Roman"/>
          <w:i w:val="0"/>
          <w:color w:val="auto"/>
          <w:highlight w:val="none"/>
          <w:lang w:eastAsia="zh-CN"/>
        </w:rPr>
        <w:fldChar w:fldCharType="end"/>
      </w:r>
    </w:p>
    <w:p w14:paraId="4FD75CF0">
      <w:pPr>
        <w:pStyle w:val="10"/>
        <w:keepNext w:val="0"/>
        <w:keepLines w:val="0"/>
        <w:pageBreakBefore w:val="0"/>
        <w:widowControl/>
        <w:kinsoku/>
        <w:wordWrap/>
        <w:overflowPunct/>
        <w:topLinePunct w:val="0"/>
        <w:autoSpaceDE/>
        <w:autoSpaceDN/>
        <w:bidi w:val="0"/>
        <w:adjustRightInd/>
        <w:snapToGrid/>
        <w:ind w:left="720" w:hanging="720"/>
        <w:jc w:val="left"/>
        <w:textAlignment w:val="auto"/>
        <w:rPr>
          <w:rFonts w:hint="default" w:ascii="Times New Roman" w:hAnsi="Times New Roman" w:cs="Times New Roman" w:eastAsiaTheme="minorEastAsia"/>
          <w:i w:val="0"/>
          <w:color w:val="auto"/>
          <w:highlight w:val="none"/>
          <w:lang w:eastAsia="zh-CN"/>
        </w:rPr>
      </w:pPr>
      <w:r>
        <w:rPr>
          <w:rFonts w:hint="default" w:ascii="Times New Roman" w:hAnsi="Times New Roman" w:cs="Times New Roman"/>
          <w:color w:val="auto"/>
          <w:highlight w:val="none"/>
          <w:lang w:eastAsia="zh-CN"/>
        </w:rPr>
        <w:t xml:space="preserve">[21] Nelson AJ, Koloutsou-Vakakis S, Rood MJ, Myles L, Lehmann C, et al. 2017. Season-long ammonia flux measurements above fertilized corn in central Illinois, USA, using relaxed eddy accumulation. </w:t>
      </w:r>
      <w:r>
        <w:rPr>
          <w:rFonts w:hint="default" w:ascii="Times New Roman" w:hAnsi="Times New Roman" w:cs="Times New Roman"/>
          <w:i/>
          <w:color w:val="auto"/>
          <w:highlight w:val="none"/>
          <w:lang w:eastAsia="zh-CN"/>
        </w:rPr>
        <w:t>Agricultural and Forest Meteorology</w:t>
      </w:r>
      <w:r>
        <w:rPr>
          <w:rFonts w:hint="default" w:ascii="Times New Roman" w:hAnsi="Times New Roman" w:cs="Times New Roman"/>
          <w:i w:val="0"/>
          <w:color w:val="auto"/>
          <w:highlight w:val="none"/>
          <w:lang w:eastAsia="zh-CN"/>
        </w:rPr>
        <w:t xml:space="preserve"> 239:202−212 https://doi.org/10.1016/j.agrformet.2017.03.010 </w:t>
      </w:r>
      <w:r>
        <w:rPr>
          <w:rFonts w:hint="default" w:ascii="Times New Roman" w:hAnsi="Times New Roman" w:cs="Times New Roman"/>
          <w:i w:val="0"/>
          <w:color w:val="auto"/>
          <w:highlight w:val="none"/>
          <w:lang w:eastAsia="zh-CN"/>
        </w:rPr>
        <w:fldChar w:fldCharType="begin"/>
      </w:r>
      <w:r>
        <w:rPr>
          <w:rFonts w:hint="default" w:ascii="Times New Roman" w:hAnsi="Times New Roman" w:cs="Times New Roman"/>
          <w:i w:val="0"/>
          <w:color w:val="auto"/>
          <w:highlight w:val="none"/>
          <w:lang w:eastAsia="zh-CN"/>
        </w:rPr>
        <w:instrText xml:space="preserve"> HYPERLINK "http://dx.doi.org/10.1016/j.agrformet.2017.03.010" \o "自助复核" </w:instrText>
      </w:r>
      <w:r>
        <w:rPr>
          <w:rFonts w:hint="default" w:ascii="Times New Roman" w:hAnsi="Times New Roman" w:cs="Times New Roman"/>
          <w:i w:val="0"/>
          <w:color w:val="auto"/>
          <w:highlight w:val="none"/>
          <w:lang w:eastAsia="zh-CN"/>
        </w:rPr>
        <w:fldChar w:fldCharType="separate"/>
      </w:r>
      <w:r>
        <w:rPr>
          <w:rFonts w:hint="default" w:ascii="Times New Roman" w:hAnsi="Times New Roman" w:cs="Times New Roman"/>
          <w:i w:val="0"/>
          <w:color w:val="auto"/>
          <w:highlight w:val="none"/>
          <w:lang w:eastAsia="zh-CN"/>
        </w:rPr>
        <w:fldChar w:fldCharType="end"/>
      </w:r>
    </w:p>
    <w:p w14:paraId="59EE7243">
      <w:pPr>
        <w:pStyle w:val="10"/>
        <w:keepNext w:val="0"/>
        <w:keepLines w:val="0"/>
        <w:pageBreakBefore w:val="0"/>
        <w:widowControl/>
        <w:kinsoku/>
        <w:wordWrap/>
        <w:overflowPunct/>
        <w:topLinePunct w:val="0"/>
        <w:autoSpaceDE/>
        <w:autoSpaceDN/>
        <w:bidi w:val="0"/>
        <w:adjustRightInd/>
        <w:snapToGrid/>
        <w:ind w:left="720" w:hanging="720"/>
        <w:jc w:val="left"/>
        <w:textAlignment w:val="auto"/>
        <w:rPr>
          <w:rFonts w:hint="default" w:ascii="Times New Roman" w:hAnsi="Times New Roman" w:cs="Times New Roman" w:eastAsiaTheme="minorEastAsia"/>
          <w:i w:val="0"/>
          <w:color w:val="auto"/>
          <w:highlight w:val="none"/>
          <w:lang w:eastAsia="zh-CN"/>
        </w:rPr>
      </w:pPr>
      <w:r>
        <w:rPr>
          <w:rFonts w:hint="default" w:ascii="Times New Roman" w:hAnsi="Times New Roman" w:cs="Times New Roman"/>
          <w:color w:val="auto"/>
          <w:highlight w:val="none"/>
          <w:lang w:eastAsia="zh-CN"/>
        </w:rPr>
        <w:t xml:space="preserve">[22] Wang K, Kang P, Lu Y, Zheng X, Liu M, et al. 2021. An open-path ammonia analyzer for eddy covariance flux measurement. </w:t>
      </w:r>
      <w:r>
        <w:rPr>
          <w:rFonts w:hint="default" w:ascii="Times New Roman" w:hAnsi="Times New Roman" w:cs="Times New Roman"/>
          <w:i/>
          <w:color w:val="auto"/>
          <w:highlight w:val="none"/>
          <w:lang w:eastAsia="zh-CN"/>
        </w:rPr>
        <w:t>Agricultural and Forest Meteorology</w:t>
      </w:r>
      <w:r>
        <w:rPr>
          <w:rFonts w:hint="default" w:ascii="Times New Roman" w:hAnsi="Times New Roman" w:cs="Times New Roman"/>
          <w:i w:val="0"/>
          <w:color w:val="auto"/>
          <w:highlight w:val="none"/>
          <w:lang w:eastAsia="zh-CN"/>
        </w:rPr>
        <w:t xml:space="preserve"> 308:108570 https://doi.org/10.1016/j.agrformet.2021.108570 </w:t>
      </w:r>
      <w:r>
        <w:rPr>
          <w:rFonts w:hint="default" w:ascii="Times New Roman" w:hAnsi="Times New Roman" w:cs="Times New Roman"/>
          <w:i w:val="0"/>
          <w:color w:val="auto"/>
          <w:highlight w:val="none"/>
          <w:lang w:eastAsia="zh-CN"/>
        </w:rPr>
        <w:fldChar w:fldCharType="begin"/>
      </w:r>
      <w:r>
        <w:rPr>
          <w:rFonts w:hint="default" w:ascii="Times New Roman" w:hAnsi="Times New Roman" w:cs="Times New Roman"/>
          <w:i w:val="0"/>
          <w:color w:val="auto"/>
          <w:highlight w:val="none"/>
          <w:lang w:eastAsia="zh-CN"/>
        </w:rPr>
        <w:instrText xml:space="preserve"> HYPERLINK "http://dx.doi.org/10.1016/j.agrformet.2021.108570" \o "自助复核" </w:instrText>
      </w:r>
      <w:r>
        <w:rPr>
          <w:rFonts w:hint="default" w:ascii="Times New Roman" w:hAnsi="Times New Roman" w:cs="Times New Roman"/>
          <w:i w:val="0"/>
          <w:color w:val="auto"/>
          <w:highlight w:val="none"/>
          <w:lang w:eastAsia="zh-CN"/>
        </w:rPr>
        <w:fldChar w:fldCharType="separate"/>
      </w:r>
      <w:r>
        <w:rPr>
          <w:rFonts w:hint="default" w:ascii="Times New Roman" w:hAnsi="Times New Roman" w:cs="Times New Roman"/>
          <w:i w:val="0"/>
          <w:color w:val="auto"/>
          <w:highlight w:val="none"/>
          <w:lang w:eastAsia="zh-CN"/>
        </w:rPr>
        <w:fldChar w:fldCharType="end"/>
      </w:r>
    </w:p>
    <w:p w14:paraId="4DCC675B">
      <w:pPr>
        <w:pStyle w:val="10"/>
        <w:keepNext w:val="0"/>
        <w:keepLines w:val="0"/>
        <w:pageBreakBefore w:val="0"/>
        <w:widowControl/>
        <w:kinsoku/>
        <w:wordWrap/>
        <w:overflowPunct/>
        <w:topLinePunct w:val="0"/>
        <w:autoSpaceDE/>
        <w:autoSpaceDN/>
        <w:bidi w:val="0"/>
        <w:adjustRightInd/>
        <w:snapToGrid/>
        <w:ind w:left="720" w:hanging="720"/>
        <w:jc w:val="left"/>
        <w:textAlignment w:val="auto"/>
        <w:rPr>
          <w:rFonts w:hint="default" w:ascii="Times New Roman" w:hAnsi="Times New Roman" w:cs="Times New Roman" w:eastAsiaTheme="minorEastAsia"/>
          <w:i w:val="0"/>
          <w:color w:val="auto"/>
          <w:highlight w:val="none"/>
          <w:lang w:eastAsia="zh-CN"/>
        </w:rPr>
      </w:pPr>
      <w:r>
        <w:rPr>
          <w:rFonts w:hint="default" w:ascii="Times New Roman" w:hAnsi="Times New Roman" w:cs="Times New Roman"/>
          <w:color w:val="auto"/>
          <w:highlight w:val="none"/>
          <w:lang w:eastAsia="zh-CN"/>
        </w:rPr>
        <w:t xml:space="preserve">[23] Yang W, Zhu A, Zhang J, Zhang Y, Chen X, et al. 2013. An inverse dispersion technique for the determination of ammonia emissions from urea-applied farmland. </w:t>
      </w:r>
      <w:r>
        <w:rPr>
          <w:rFonts w:hint="default" w:ascii="Times New Roman" w:hAnsi="Times New Roman" w:cs="Times New Roman"/>
          <w:i/>
          <w:color w:val="auto"/>
          <w:highlight w:val="none"/>
          <w:lang w:eastAsia="zh-CN"/>
        </w:rPr>
        <w:t>Atmospheric Environment</w:t>
      </w:r>
      <w:r>
        <w:rPr>
          <w:rFonts w:hint="default" w:ascii="Times New Roman" w:hAnsi="Times New Roman" w:cs="Times New Roman"/>
          <w:i w:val="0"/>
          <w:color w:val="auto"/>
          <w:highlight w:val="none"/>
          <w:lang w:eastAsia="zh-CN"/>
        </w:rPr>
        <w:t xml:space="preserve"> 79:217−224 https://doi.org/10.1016/j.atmosenv.2013.07.005 </w:t>
      </w:r>
      <w:r>
        <w:rPr>
          <w:rFonts w:hint="default" w:ascii="Times New Roman" w:hAnsi="Times New Roman" w:cs="Times New Roman"/>
          <w:i w:val="0"/>
          <w:color w:val="auto"/>
          <w:highlight w:val="none"/>
          <w:lang w:eastAsia="zh-CN"/>
        </w:rPr>
        <w:fldChar w:fldCharType="begin"/>
      </w:r>
      <w:r>
        <w:rPr>
          <w:rFonts w:hint="default" w:ascii="Times New Roman" w:hAnsi="Times New Roman" w:cs="Times New Roman"/>
          <w:i w:val="0"/>
          <w:color w:val="auto"/>
          <w:highlight w:val="none"/>
          <w:lang w:eastAsia="zh-CN"/>
        </w:rPr>
        <w:instrText xml:space="preserve"> HYPERLINK "http://dx.doi.org/10.1016/j.atmosenv.2013.07.005" \o "自助复核" </w:instrText>
      </w:r>
      <w:r>
        <w:rPr>
          <w:rFonts w:hint="default" w:ascii="Times New Roman" w:hAnsi="Times New Roman" w:cs="Times New Roman"/>
          <w:i w:val="0"/>
          <w:color w:val="auto"/>
          <w:highlight w:val="none"/>
          <w:lang w:eastAsia="zh-CN"/>
        </w:rPr>
        <w:fldChar w:fldCharType="separate"/>
      </w:r>
      <w:r>
        <w:rPr>
          <w:rFonts w:hint="default" w:ascii="Times New Roman" w:hAnsi="Times New Roman" w:cs="Times New Roman"/>
          <w:i w:val="0"/>
          <w:color w:val="auto"/>
          <w:highlight w:val="none"/>
          <w:lang w:eastAsia="zh-CN"/>
        </w:rPr>
        <w:fldChar w:fldCharType="end"/>
      </w:r>
    </w:p>
    <w:p w14:paraId="7A2331B8">
      <w:pPr>
        <w:pStyle w:val="10"/>
        <w:keepNext w:val="0"/>
        <w:keepLines w:val="0"/>
        <w:pageBreakBefore w:val="0"/>
        <w:widowControl/>
        <w:kinsoku/>
        <w:wordWrap/>
        <w:overflowPunct/>
        <w:topLinePunct w:val="0"/>
        <w:autoSpaceDE/>
        <w:autoSpaceDN/>
        <w:bidi w:val="0"/>
        <w:adjustRightInd/>
        <w:snapToGrid/>
        <w:ind w:left="720" w:hanging="720"/>
        <w:jc w:val="left"/>
        <w:textAlignment w:val="auto"/>
        <w:rPr>
          <w:rFonts w:hint="default" w:ascii="Times New Roman" w:hAnsi="Times New Roman" w:cs="Times New Roman" w:eastAsiaTheme="minorEastAsia"/>
          <w:i w:val="0"/>
          <w:color w:val="auto"/>
          <w:highlight w:val="none"/>
          <w:lang w:eastAsia="zh-CN"/>
        </w:rPr>
      </w:pPr>
      <w:r>
        <w:rPr>
          <w:rFonts w:hint="default" w:ascii="Times New Roman" w:hAnsi="Times New Roman" w:cs="Times New Roman"/>
          <w:color w:val="auto"/>
          <w:highlight w:val="none"/>
          <w:lang w:eastAsia="zh-CN"/>
        </w:rPr>
        <w:t xml:space="preserve">[24] Voglmeier K, Jocher M, Häni C, Ammann C. 2018. Ammonia emission measurements of an intensively grazed pasture. </w:t>
      </w:r>
      <w:r>
        <w:rPr>
          <w:rFonts w:hint="default" w:ascii="Times New Roman" w:hAnsi="Times New Roman" w:cs="Times New Roman"/>
          <w:i/>
          <w:color w:val="auto"/>
          <w:highlight w:val="none"/>
          <w:lang w:eastAsia="zh-CN"/>
        </w:rPr>
        <w:t>Biogeosciences</w:t>
      </w:r>
      <w:r>
        <w:rPr>
          <w:rFonts w:hint="default" w:ascii="Times New Roman" w:hAnsi="Times New Roman" w:cs="Times New Roman"/>
          <w:i w:val="0"/>
          <w:color w:val="auto"/>
          <w:highlight w:val="none"/>
          <w:lang w:eastAsia="zh-CN"/>
        </w:rPr>
        <w:t xml:space="preserve"> 15(14):4593−4608 https://doi.org/10.5194/bg-15-4593-2018 </w:t>
      </w:r>
      <w:r>
        <w:rPr>
          <w:rFonts w:hint="default" w:ascii="Times New Roman" w:hAnsi="Times New Roman" w:cs="Times New Roman"/>
          <w:i w:val="0"/>
          <w:color w:val="auto"/>
          <w:highlight w:val="none"/>
          <w:lang w:eastAsia="zh-CN"/>
        </w:rPr>
        <w:fldChar w:fldCharType="begin"/>
      </w:r>
      <w:r>
        <w:rPr>
          <w:rFonts w:hint="default" w:ascii="Times New Roman" w:hAnsi="Times New Roman" w:cs="Times New Roman"/>
          <w:i w:val="0"/>
          <w:color w:val="auto"/>
          <w:highlight w:val="none"/>
          <w:lang w:eastAsia="zh-CN"/>
        </w:rPr>
        <w:instrText xml:space="preserve"> HYPERLINK "https://doi.org/10.5194/bg-15-4593-2018" \o "自助复核" </w:instrText>
      </w:r>
      <w:r>
        <w:rPr>
          <w:rFonts w:hint="default" w:ascii="Times New Roman" w:hAnsi="Times New Roman" w:cs="Times New Roman"/>
          <w:i w:val="0"/>
          <w:color w:val="auto"/>
          <w:highlight w:val="none"/>
          <w:lang w:eastAsia="zh-CN"/>
        </w:rPr>
        <w:fldChar w:fldCharType="separate"/>
      </w:r>
      <w:r>
        <w:rPr>
          <w:rFonts w:hint="default" w:ascii="Times New Roman" w:hAnsi="Times New Roman" w:cs="Times New Roman"/>
          <w:i w:val="0"/>
          <w:color w:val="auto"/>
          <w:highlight w:val="none"/>
          <w:lang w:eastAsia="zh-CN"/>
        </w:rPr>
        <w:fldChar w:fldCharType="end"/>
      </w:r>
    </w:p>
    <w:p w14:paraId="3F62E76E">
      <w:pPr>
        <w:pStyle w:val="10"/>
        <w:keepNext w:val="0"/>
        <w:keepLines w:val="0"/>
        <w:pageBreakBefore w:val="0"/>
        <w:widowControl/>
        <w:kinsoku/>
        <w:wordWrap/>
        <w:overflowPunct/>
        <w:topLinePunct w:val="0"/>
        <w:autoSpaceDE/>
        <w:autoSpaceDN/>
        <w:bidi w:val="0"/>
        <w:adjustRightInd/>
        <w:snapToGrid/>
        <w:ind w:left="720" w:hanging="720"/>
        <w:jc w:val="left"/>
        <w:textAlignment w:val="auto"/>
        <w:rPr>
          <w:rFonts w:hint="default" w:ascii="Times New Roman" w:hAnsi="Times New Roman" w:cs="Times New Roman" w:eastAsiaTheme="minorEastAsia"/>
          <w:i w:val="0"/>
          <w:color w:val="auto"/>
          <w:highlight w:val="none"/>
          <w:lang w:eastAsia="zh-CN"/>
        </w:rPr>
      </w:pPr>
      <w:r>
        <w:rPr>
          <w:rFonts w:hint="default" w:ascii="Times New Roman" w:hAnsi="Times New Roman" w:cs="Times New Roman"/>
          <w:color w:val="auto"/>
          <w:highlight w:val="none"/>
          <w:lang w:eastAsia="zh-CN"/>
        </w:rPr>
        <w:t xml:space="preserve">[25] Bai M, Sun J, Denmead OT, Chen D. 2017. Comparing emissions from a cattle pen as measured by two micrometeorological techniques. </w:t>
      </w:r>
      <w:r>
        <w:rPr>
          <w:rFonts w:hint="default" w:ascii="Times New Roman" w:hAnsi="Times New Roman" w:cs="Times New Roman"/>
          <w:i/>
          <w:color w:val="auto"/>
          <w:highlight w:val="none"/>
          <w:lang w:eastAsia="zh-CN"/>
        </w:rPr>
        <w:t>Environmental Pollution</w:t>
      </w:r>
      <w:r>
        <w:rPr>
          <w:rFonts w:hint="default" w:ascii="Times New Roman" w:hAnsi="Times New Roman" w:cs="Times New Roman"/>
          <w:i w:val="0"/>
          <w:color w:val="auto"/>
          <w:highlight w:val="none"/>
          <w:lang w:eastAsia="zh-CN"/>
        </w:rPr>
        <w:t xml:space="preserve"> 230:584−588 https://doi.org/10.1016/j.envpol.2017.07.012 </w:t>
      </w:r>
      <w:r>
        <w:rPr>
          <w:rFonts w:hint="default" w:ascii="Times New Roman" w:hAnsi="Times New Roman" w:cs="Times New Roman"/>
          <w:i w:val="0"/>
          <w:color w:val="auto"/>
          <w:highlight w:val="none"/>
          <w:lang w:eastAsia="zh-CN"/>
        </w:rPr>
        <w:fldChar w:fldCharType="begin"/>
      </w:r>
      <w:r>
        <w:rPr>
          <w:rFonts w:hint="default" w:ascii="Times New Roman" w:hAnsi="Times New Roman" w:cs="Times New Roman"/>
          <w:i w:val="0"/>
          <w:color w:val="auto"/>
          <w:highlight w:val="none"/>
          <w:lang w:eastAsia="zh-CN"/>
        </w:rPr>
        <w:instrText xml:space="preserve"> HYPERLINK "https://pubmed.ncbi.nlm.nih.gov/28710976/" \o "自助复核" </w:instrText>
      </w:r>
      <w:r>
        <w:rPr>
          <w:rFonts w:hint="default" w:ascii="Times New Roman" w:hAnsi="Times New Roman" w:cs="Times New Roman"/>
          <w:i w:val="0"/>
          <w:color w:val="auto"/>
          <w:highlight w:val="none"/>
          <w:lang w:eastAsia="zh-CN"/>
        </w:rPr>
        <w:fldChar w:fldCharType="separate"/>
      </w:r>
      <w:r>
        <w:rPr>
          <w:rFonts w:hint="default" w:ascii="Times New Roman" w:hAnsi="Times New Roman" w:cs="Times New Roman"/>
          <w:i w:val="0"/>
          <w:color w:val="auto"/>
          <w:highlight w:val="none"/>
          <w:lang w:eastAsia="zh-CN"/>
        </w:rPr>
        <w:fldChar w:fldCharType="end"/>
      </w:r>
    </w:p>
    <w:p w14:paraId="72768156">
      <w:pPr>
        <w:pStyle w:val="10"/>
        <w:keepNext w:val="0"/>
        <w:keepLines w:val="0"/>
        <w:pageBreakBefore w:val="0"/>
        <w:widowControl/>
        <w:kinsoku/>
        <w:wordWrap/>
        <w:overflowPunct/>
        <w:topLinePunct w:val="0"/>
        <w:autoSpaceDE/>
        <w:autoSpaceDN/>
        <w:bidi w:val="0"/>
        <w:adjustRightInd/>
        <w:snapToGrid/>
        <w:ind w:left="720" w:hanging="720"/>
        <w:jc w:val="left"/>
        <w:textAlignment w:val="auto"/>
        <w:rPr>
          <w:rFonts w:hint="default" w:ascii="Times New Roman" w:hAnsi="Times New Roman" w:cs="Times New Roman" w:eastAsiaTheme="minorEastAsia"/>
          <w:i w:val="0"/>
          <w:color w:val="auto"/>
          <w:highlight w:val="none"/>
          <w:lang w:eastAsia="zh-CN"/>
        </w:rPr>
      </w:pPr>
      <w:r>
        <w:rPr>
          <w:rFonts w:hint="default" w:ascii="Times New Roman" w:hAnsi="Times New Roman" w:cs="Times New Roman"/>
          <w:color w:val="auto"/>
          <w:highlight w:val="none"/>
          <w:lang w:eastAsia="zh-CN"/>
        </w:rPr>
        <w:t xml:space="preserve">[26] Gao Z, Desjardins RL, Flesch TK. 2009. Comparison of a simplified micrometeorological mass difference technique and an inverse dispersion technique for estimating methane emissions from small area sources. </w:t>
      </w:r>
      <w:r>
        <w:rPr>
          <w:rFonts w:hint="default" w:ascii="Times New Roman" w:hAnsi="Times New Roman" w:cs="Times New Roman"/>
          <w:i/>
          <w:color w:val="auto"/>
          <w:highlight w:val="none"/>
          <w:lang w:eastAsia="zh-CN"/>
        </w:rPr>
        <w:t>Agricultural and Forest Meteorology</w:t>
      </w:r>
      <w:r>
        <w:rPr>
          <w:rFonts w:hint="default" w:ascii="Times New Roman" w:hAnsi="Times New Roman" w:cs="Times New Roman"/>
          <w:i w:val="0"/>
          <w:color w:val="auto"/>
          <w:highlight w:val="none"/>
          <w:lang w:eastAsia="zh-CN"/>
        </w:rPr>
        <w:t xml:space="preserve"> 149(5):891−898 https://doi.org/10.1016/j.agrformet.2008.11.005 </w:t>
      </w:r>
      <w:r>
        <w:rPr>
          <w:rFonts w:hint="default" w:ascii="Times New Roman" w:hAnsi="Times New Roman" w:cs="Times New Roman"/>
          <w:i w:val="0"/>
          <w:color w:val="auto"/>
          <w:highlight w:val="none"/>
          <w:lang w:eastAsia="zh-CN"/>
        </w:rPr>
        <w:fldChar w:fldCharType="begin"/>
      </w:r>
      <w:r>
        <w:rPr>
          <w:rFonts w:hint="default" w:ascii="Times New Roman" w:hAnsi="Times New Roman" w:cs="Times New Roman"/>
          <w:i w:val="0"/>
          <w:color w:val="auto"/>
          <w:highlight w:val="none"/>
          <w:lang w:eastAsia="zh-CN"/>
        </w:rPr>
        <w:instrText xml:space="preserve"> HYPERLINK "http://dx.doi.org/10.1016/j.agrformet.2008.11.005" \o "自助复核" </w:instrText>
      </w:r>
      <w:r>
        <w:rPr>
          <w:rFonts w:hint="default" w:ascii="Times New Roman" w:hAnsi="Times New Roman" w:cs="Times New Roman"/>
          <w:i w:val="0"/>
          <w:color w:val="auto"/>
          <w:highlight w:val="none"/>
          <w:lang w:eastAsia="zh-CN"/>
        </w:rPr>
        <w:fldChar w:fldCharType="separate"/>
      </w:r>
      <w:r>
        <w:rPr>
          <w:rFonts w:hint="default" w:ascii="Times New Roman" w:hAnsi="Times New Roman" w:cs="Times New Roman"/>
          <w:i w:val="0"/>
          <w:color w:val="auto"/>
          <w:highlight w:val="none"/>
          <w:lang w:eastAsia="zh-CN"/>
        </w:rPr>
        <w:fldChar w:fldCharType="end"/>
      </w:r>
    </w:p>
    <w:p w14:paraId="590F5B2C">
      <w:pPr>
        <w:pStyle w:val="10"/>
        <w:keepNext w:val="0"/>
        <w:keepLines w:val="0"/>
        <w:pageBreakBefore w:val="0"/>
        <w:widowControl/>
        <w:kinsoku/>
        <w:wordWrap/>
        <w:overflowPunct/>
        <w:topLinePunct w:val="0"/>
        <w:autoSpaceDE/>
        <w:autoSpaceDN/>
        <w:bidi w:val="0"/>
        <w:adjustRightInd/>
        <w:snapToGrid/>
        <w:ind w:left="720" w:hanging="720"/>
        <w:jc w:val="left"/>
        <w:textAlignment w:val="auto"/>
        <w:rPr>
          <w:rFonts w:hint="default" w:ascii="Times New Roman" w:hAnsi="Times New Roman" w:cs="Times New Roman" w:eastAsiaTheme="minorEastAsia"/>
          <w:i w:val="0"/>
          <w:color w:val="auto"/>
          <w:highlight w:val="none"/>
          <w:lang w:eastAsia="zh-CN"/>
        </w:rPr>
      </w:pPr>
      <w:r>
        <w:rPr>
          <w:rFonts w:hint="default" w:ascii="Times New Roman" w:hAnsi="Times New Roman" w:cs="Times New Roman"/>
          <w:color w:val="auto"/>
          <w:highlight w:val="none"/>
          <w:lang w:eastAsia="zh-CN"/>
        </w:rPr>
        <w:t xml:space="preserve">[27] Yan X, Akimoto H, Ohara T. 2003. Estimation of nitrous oxide, nitric oxide and ammonia emissions from croplands in East, Southeast and South Asia. </w:t>
      </w:r>
      <w:r>
        <w:rPr>
          <w:rFonts w:hint="default" w:ascii="Times New Roman" w:hAnsi="Times New Roman" w:cs="Times New Roman"/>
          <w:i/>
          <w:color w:val="auto"/>
          <w:highlight w:val="none"/>
          <w:lang w:eastAsia="zh-CN"/>
        </w:rPr>
        <w:t>Global Change Biology</w:t>
      </w:r>
      <w:r>
        <w:rPr>
          <w:rFonts w:hint="default" w:ascii="Times New Roman" w:hAnsi="Times New Roman" w:cs="Times New Roman"/>
          <w:i w:val="0"/>
          <w:color w:val="auto"/>
          <w:highlight w:val="none"/>
          <w:lang w:eastAsia="zh-CN"/>
        </w:rPr>
        <w:t xml:space="preserve"> 9(7):1080−1096 https://doi.org/10.1046/j.1365-2486.2003.00649.x </w:t>
      </w:r>
      <w:r>
        <w:rPr>
          <w:rFonts w:hint="default" w:ascii="Times New Roman" w:hAnsi="Times New Roman" w:cs="Times New Roman"/>
          <w:i w:val="0"/>
          <w:color w:val="auto"/>
          <w:highlight w:val="none"/>
          <w:lang w:eastAsia="zh-CN"/>
        </w:rPr>
        <w:fldChar w:fldCharType="begin"/>
      </w:r>
      <w:r>
        <w:rPr>
          <w:rFonts w:hint="default" w:ascii="Times New Roman" w:hAnsi="Times New Roman" w:cs="Times New Roman"/>
          <w:i w:val="0"/>
          <w:color w:val="auto"/>
          <w:highlight w:val="none"/>
          <w:lang w:eastAsia="zh-CN"/>
        </w:rPr>
        <w:instrText xml:space="preserve"> HYPERLINK "http://dx.doi.org/10.1046/j.1365-2486.2003.00649.x" \o "自助复核" </w:instrText>
      </w:r>
      <w:r>
        <w:rPr>
          <w:rFonts w:hint="default" w:ascii="Times New Roman" w:hAnsi="Times New Roman" w:cs="Times New Roman"/>
          <w:i w:val="0"/>
          <w:color w:val="auto"/>
          <w:highlight w:val="none"/>
          <w:lang w:eastAsia="zh-CN"/>
        </w:rPr>
        <w:fldChar w:fldCharType="separate"/>
      </w:r>
      <w:r>
        <w:rPr>
          <w:rFonts w:hint="default" w:ascii="Times New Roman" w:hAnsi="Times New Roman" w:cs="Times New Roman"/>
          <w:i w:val="0"/>
          <w:color w:val="auto"/>
          <w:highlight w:val="none"/>
          <w:lang w:eastAsia="zh-CN"/>
        </w:rPr>
        <w:fldChar w:fldCharType="end"/>
      </w:r>
    </w:p>
    <w:p w14:paraId="362206E3">
      <w:pPr>
        <w:pStyle w:val="10"/>
        <w:keepNext w:val="0"/>
        <w:keepLines w:val="0"/>
        <w:pageBreakBefore w:val="0"/>
        <w:widowControl/>
        <w:kinsoku/>
        <w:wordWrap/>
        <w:overflowPunct/>
        <w:topLinePunct w:val="0"/>
        <w:autoSpaceDE/>
        <w:autoSpaceDN/>
        <w:bidi w:val="0"/>
        <w:adjustRightInd/>
        <w:snapToGrid/>
        <w:ind w:left="720" w:hanging="720"/>
        <w:jc w:val="left"/>
        <w:textAlignment w:val="auto"/>
        <w:rPr>
          <w:rFonts w:hint="default" w:ascii="Times New Roman" w:hAnsi="Times New Roman" w:cs="Times New Roman" w:eastAsiaTheme="minorEastAsia"/>
          <w:i w:val="0"/>
          <w:color w:val="auto"/>
          <w:highlight w:val="none"/>
          <w:lang w:eastAsia="zh-CN"/>
        </w:rPr>
      </w:pPr>
      <w:r>
        <w:rPr>
          <w:rFonts w:hint="default" w:ascii="Times New Roman" w:hAnsi="Times New Roman" w:cs="Times New Roman"/>
          <w:color w:val="auto"/>
          <w:highlight w:val="none"/>
          <w:lang w:eastAsia="zh-CN"/>
        </w:rPr>
        <w:t xml:space="preserve">[28] Bouwman AF, Lee DS, Asman WAH, Dentener FJ, Van Der Hoek KW, et al. 1997. A global high-resolution emission inventory for ammonia. </w:t>
      </w:r>
      <w:r>
        <w:rPr>
          <w:rFonts w:hint="default" w:ascii="Times New Roman" w:hAnsi="Times New Roman" w:cs="Times New Roman"/>
          <w:i/>
          <w:color w:val="auto"/>
          <w:highlight w:val="none"/>
          <w:lang w:eastAsia="zh-CN"/>
        </w:rPr>
        <w:t>Global Biogeochemical Cycles</w:t>
      </w:r>
      <w:r>
        <w:rPr>
          <w:rFonts w:hint="default" w:ascii="Times New Roman" w:hAnsi="Times New Roman" w:cs="Times New Roman"/>
          <w:i w:val="0"/>
          <w:color w:val="auto"/>
          <w:highlight w:val="none"/>
          <w:lang w:eastAsia="zh-CN"/>
        </w:rPr>
        <w:t xml:space="preserve"> 11(4):561−587 https://doi.org/10.1029/97gb02266 </w:t>
      </w:r>
      <w:r>
        <w:rPr>
          <w:rFonts w:hint="default" w:ascii="Times New Roman" w:hAnsi="Times New Roman" w:cs="Times New Roman"/>
          <w:i w:val="0"/>
          <w:color w:val="auto"/>
          <w:highlight w:val="none"/>
          <w:lang w:eastAsia="zh-CN"/>
        </w:rPr>
        <w:fldChar w:fldCharType="begin"/>
      </w:r>
      <w:r>
        <w:rPr>
          <w:rFonts w:hint="default" w:ascii="Times New Roman" w:hAnsi="Times New Roman" w:cs="Times New Roman"/>
          <w:i w:val="0"/>
          <w:color w:val="auto"/>
          <w:highlight w:val="none"/>
          <w:lang w:eastAsia="zh-CN"/>
        </w:rPr>
        <w:instrText xml:space="preserve"> HYPERLINK "https://doi.org/10.1029/97gb02266" \o "自助复核" </w:instrText>
      </w:r>
      <w:r>
        <w:rPr>
          <w:rFonts w:hint="default" w:ascii="Times New Roman" w:hAnsi="Times New Roman" w:cs="Times New Roman"/>
          <w:i w:val="0"/>
          <w:color w:val="auto"/>
          <w:highlight w:val="none"/>
          <w:lang w:eastAsia="zh-CN"/>
        </w:rPr>
        <w:fldChar w:fldCharType="separate"/>
      </w:r>
      <w:r>
        <w:rPr>
          <w:rFonts w:hint="default" w:ascii="Times New Roman" w:hAnsi="Times New Roman" w:cs="Times New Roman"/>
          <w:i w:val="0"/>
          <w:color w:val="auto"/>
          <w:highlight w:val="none"/>
          <w:lang w:eastAsia="zh-CN"/>
        </w:rPr>
        <w:fldChar w:fldCharType="end"/>
      </w:r>
    </w:p>
    <w:p w14:paraId="70CA0CBF">
      <w:pPr>
        <w:pStyle w:val="10"/>
        <w:keepNext w:val="0"/>
        <w:keepLines w:val="0"/>
        <w:pageBreakBefore w:val="0"/>
        <w:widowControl/>
        <w:kinsoku/>
        <w:wordWrap/>
        <w:overflowPunct/>
        <w:topLinePunct w:val="0"/>
        <w:autoSpaceDE/>
        <w:autoSpaceDN/>
        <w:bidi w:val="0"/>
        <w:adjustRightInd/>
        <w:snapToGrid/>
        <w:ind w:left="720" w:hanging="720"/>
        <w:jc w:val="left"/>
        <w:textAlignment w:val="auto"/>
        <w:rPr>
          <w:rFonts w:hint="default" w:ascii="Times New Roman" w:hAnsi="Times New Roman" w:cs="Times New Roman" w:eastAsiaTheme="minorEastAsia"/>
          <w:i w:val="0"/>
          <w:color w:val="auto"/>
          <w:highlight w:val="none"/>
          <w:vertAlign w:val="baseline"/>
          <w:lang w:eastAsia="zh-CN"/>
        </w:rPr>
      </w:pPr>
      <w:r>
        <w:rPr>
          <w:rFonts w:hint="default" w:ascii="Times New Roman" w:hAnsi="Times New Roman" w:cs="Times New Roman"/>
          <w:color w:val="auto"/>
          <w:highlight w:val="none"/>
          <w:lang w:eastAsia="zh-CN"/>
        </w:rPr>
        <w:t>[29] Bouwman AF, Boumans LJM, Batjes NH. 2002. Estimation of global NH</w:t>
      </w:r>
      <w:r>
        <w:rPr>
          <w:rFonts w:hint="default" w:ascii="Times New Roman" w:hAnsi="Times New Roman" w:cs="Times New Roman"/>
          <w:color w:val="auto"/>
          <w:highlight w:val="none"/>
          <w:vertAlign w:val="subscript"/>
          <w:lang w:eastAsia="zh-CN"/>
        </w:rPr>
        <w:t>3</w:t>
      </w:r>
      <w:r>
        <w:rPr>
          <w:rFonts w:hint="default" w:ascii="Times New Roman" w:hAnsi="Times New Roman" w:cs="Times New Roman"/>
          <w:color w:val="auto"/>
          <w:highlight w:val="none"/>
          <w:vertAlign w:val="baseline"/>
          <w:lang w:eastAsia="zh-CN"/>
        </w:rPr>
        <w:t xml:space="preserve"> volatilization loss from synthetic fertilizers and animal manure applied to arable lands and grasslands. </w:t>
      </w:r>
      <w:r>
        <w:rPr>
          <w:rFonts w:hint="default" w:ascii="Times New Roman" w:hAnsi="Times New Roman" w:cs="Times New Roman"/>
          <w:i/>
          <w:color w:val="auto"/>
          <w:highlight w:val="none"/>
          <w:vertAlign w:val="baseline"/>
          <w:lang w:eastAsia="zh-CN"/>
        </w:rPr>
        <w:t>Global Biogeochemical Cycles</w:t>
      </w:r>
      <w:r>
        <w:rPr>
          <w:rFonts w:hint="default" w:ascii="Times New Roman" w:hAnsi="Times New Roman" w:cs="Times New Roman"/>
          <w:i w:val="0"/>
          <w:color w:val="auto"/>
          <w:highlight w:val="none"/>
          <w:vertAlign w:val="baseline"/>
          <w:lang w:eastAsia="zh-CN"/>
        </w:rPr>
        <w:t xml:space="preserve"> 16(2):8−1−8−14 https://doi.org/10.1029/2000GB001389 </w:t>
      </w:r>
      <w:r>
        <w:rPr>
          <w:rFonts w:hint="default" w:ascii="Times New Roman" w:hAnsi="Times New Roman" w:cs="Times New Roman"/>
          <w:i w:val="0"/>
          <w:color w:val="auto"/>
          <w:highlight w:val="none"/>
          <w:vertAlign w:val="baseline"/>
          <w:lang w:eastAsia="zh-CN"/>
        </w:rPr>
        <w:fldChar w:fldCharType="begin"/>
      </w:r>
      <w:r>
        <w:rPr>
          <w:rFonts w:hint="default" w:ascii="Times New Roman" w:hAnsi="Times New Roman" w:cs="Times New Roman"/>
          <w:i w:val="0"/>
          <w:color w:val="auto"/>
          <w:highlight w:val="none"/>
          <w:vertAlign w:val="baseline"/>
          <w:lang w:eastAsia="zh-CN"/>
        </w:rPr>
        <w:instrText xml:space="preserve"> HYPERLINK "http://dx.doi.org/10.1029/2000GB001389" \o "自助复核" </w:instrText>
      </w:r>
      <w:r>
        <w:rPr>
          <w:rFonts w:hint="default" w:ascii="Times New Roman" w:hAnsi="Times New Roman" w:cs="Times New Roman"/>
          <w:i w:val="0"/>
          <w:color w:val="auto"/>
          <w:highlight w:val="none"/>
          <w:vertAlign w:val="baseline"/>
          <w:lang w:eastAsia="zh-CN"/>
        </w:rPr>
        <w:fldChar w:fldCharType="separate"/>
      </w:r>
      <w:r>
        <w:rPr>
          <w:rFonts w:hint="default" w:ascii="Times New Roman" w:hAnsi="Times New Roman" w:cs="Times New Roman"/>
          <w:i w:val="0"/>
          <w:color w:val="auto"/>
          <w:highlight w:val="none"/>
          <w:vertAlign w:val="baseline"/>
          <w:lang w:eastAsia="zh-CN"/>
        </w:rPr>
        <w:fldChar w:fldCharType="end"/>
      </w:r>
    </w:p>
    <w:p w14:paraId="38EF6A7D">
      <w:pPr>
        <w:pStyle w:val="10"/>
        <w:keepNext w:val="0"/>
        <w:keepLines w:val="0"/>
        <w:pageBreakBefore w:val="0"/>
        <w:widowControl/>
        <w:kinsoku/>
        <w:wordWrap/>
        <w:overflowPunct/>
        <w:topLinePunct w:val="0"/>
        <w:autoSpaceDE/>
        <w:autoSpaceDN/>
        <w:bidi w:val="0"/>
        <w:adjustRightInd/>
        <w:snapToGrid/>
        <w:ind w:left="720" w:hanging="720"/>
        <w:jc w:val="left"/>
        <w:textAlignment w:val="auto"/>
        <w:rPr>
          <w:rFonts w:hint="default" w:ascii="Times New Roman" w:hAnsi="Times New Roman" w:cs="Times New Roman" w:eastAsiaTheme="minorEastAsia"/>
          <w:i w:val="0"/>
          <w:color w:val="auto"/>
          <w:highlight w:val="none"/>
          <w:lang w:eastAsia="zh-CN"/>
        </w:rPr>
      </w:pPr>
      <w:r>
        <w:rPr>
          <w:rFonts w:hint="default" w:ascii="Times New Roman" w:hAnsi="Times New Roman" w:cs="Times New Roman"/>
          <w:color w:val="auto"/>
          <w:highlight w:val="none"/>
          <w:lang w:eastAsia="zh-CN"/>
        </w:rPr>
        <w:t xml:space="preserve">[30] Riddick S, Ward D, Hess P, Mahowald N, Massad R, et al. 2016. Estimate of changes in agricultural terrestrial nitrogen pathways and ammonia emissions from 1850 to present in the Community Earth System Model. </w:t>
      </w:r>
      <w:r>
        <w:rPr>
          <w:rFonts w:hint="default" w:ascii="Times New Roman" w:hAnsi="Times New Roman" w:cs="Times New Roman"/>
          <w:i/>
          <w:color w:val="auto"/>
          <w:highlight w:val="none"/>
          <w:lang w:eastAsia="zh-CN"/>
        </w:rPr>
        <w:t>Biogeosciences</w:t>
      </w:r>
      <w:r>
        <w:rPr>
          <w:rFonts w:hint="default" w:ascii="Times New Roman" w:hAnsi="Times New Roman" w:cs="Times New Roman"/>
          <w:i w:val="0"/>
          <w:color w:val="auto"/>
          <w:highlight w:val="none"/>
          <w:lang w:eastAsia="zh-CN"/>
        </w:rPr>
        <w:t xml:space="preserve"> 13(11):3397−3426 https://doi.org/10.5194/bg-13-3397-2016 </w:t>
      </w:r>
      <w:r>
        <w:rPr>
          <w:rFonts w:hint="default" w:ascii="Times New Roman" w:hAnsi="Times New Roman" w:cs="Times New Roman"/>
          <w:i w:val="0"/>
          <w:color w:val="auto"/>
          <w:highlight w:val="none"/>
          <w:lang w:eastAsia="zh-CN"/>
        </w:rPr>
        <w:fldChar w:fldCharType="begin"/>
      </w:r>
      <w:r>
        <w:rPr>
          <w:rFonts w:hint="default" w:ascii="Times New Roman" w:hAnsi="Times New Roman" w:cs="Times New Roman"/>
          <w:i w:val="0"/>
          <w:color w:val="auto"/>
          <w:highlight w:val="none"/>
          <w:lang w:eastAsia="zh-CN"/>
        </w:rPr>
        <w:instrText xml:space="preserve"> HYPERLINK "https://doi.org/10.5194/bg-13-3397-2016" \o "自助复核" </w:instrText>
      </w:r>
      <w:r>
        <w:rPr>
          <w:rFonts w:hint="default" w:ascii="Times New Roman" w:hAnsi="Times New Roman" w:cs="Times New Roman"/>
          <w:i w:val="0"/>
          <w:color w:val="auto"/>
          <w:highlight w:val="none"/>
          <w:lang w:eastAsia="zh-CN"/>
        </w:rPr>
        <w:fldChar w:fldCharType="separate"/>
      </w:r>
      <w:r>
        <w:rPr>
          <w:rFonts w:hint="default" w:ascii="Times New Roman" w:hAnsi="Times New Roman" w:cs="Times New Roman"/>
          <w:i w:val="0"/>
          <w:color w:val="auto"/>
          <w:highlight w:val="none"/>
          <w:lang w:eastAsia="zh-CN"/>
        </w:rPr>
        <w:fldChar w:fldCharType="end"/>
      </w:r>
    </w:p>
    <w:p w14:paraId="49BDDF7B">
      <w:pPr>
        <w:pStyle w:val="10"/>
        <w:keepNext w:val="0"/>
        <w:keepLines w:val="0"/>
        <w:pageBreakBefore w:val="0"/>
        <w:widowControl/>
        <w:kinsoku/>
        <w:wordWrap/>
        <w:overflowPunct/>
        <w:topLinePunct w:val="0"/>
        <w:autoSpaceDE/>
        <w:autoSpaceDN/>
        <w:bidi w:val="0"/>
        <w:adjustRightInd/>
        <w:snapToGrid/>
        <w:ind w:left="720" w:hanging="720"/>
        <w:jc w:val="left"/>
        <w:textAlignment w:val="auto"/>
        <w:rPr>
          <w:rFonts w:hint="default" w:ascii="Times New Roman" w:hAnsi="Times New Roman" w:cs="Times New Roman" w:eastAsiaTheme="minorEastAsia"/>
          <w:i w:val="0"/>
          <w:color w:val="auto"/>
          <w:highlight w:val="none"/>
          <w:lang w:eastAsia="zh-CN"/>
        </w:rPr>
      </w:pPr>
      <w:r>
        <w:rPr>
          <w:rFonts w:hint="default" w:ascii="Times New Roman" w:hAnsi="Times New Roman" w:cs="Times New Roman"/>
          <w:color w:val="auto"/>
          <w:highlight w:val="none"/>
          <w:lang w:eastAsia="zh-CN"/>
        </w:rPr>
        <w:t xml:space="preserve">[31] Xu R, Tian H, Pan S, Prior SA, Feng Y, et al. 2019. Global ammonia emissions from synthetic nitrogen fertilizer applications in agricultural systems: Empirical and process-based estimates and uncertainty. </w:t>
      </w:r>
      <w:r>
        <w:rPr>
          <w:rFonts w:hint="default" w:ascii="Times New Roman" w:hAnsi="Times New Roman" w:cs="Times New Roman"/>
          <w:i/>
          <w:color w:val="auto"/>
          <w:highlight w:val="none"/>
          <w:lang w:eastAsia="zh-CN"/>
        </w:rPr>
        <w:t>Global Change Biology</w:t>
      </w:r>
      <w:r>
        <w:rPr>
          <w:rFonts w:hint="default" w:ascii="Times New Roman" w:hAnsi="Times New Roman" w:cs="Times New Roman"/>
          <w:i w:val="0"/>
          <w:color w:val="auto"/>
          <w:highlight w:val="none"/>
          <w:lang w:eastAsia="zh-CN"/>
        </w:rPr>
        <w:t xml:space="preserve"> 25(1):314−326 https://doi.org/10.1111/gcb.14499 </w:t>
      </w:r>
      <w:r>
        <w:rPr>
          <w:rFonts w:hint="default" w:ascii="Times New Roman" w:hAnsi="Times New Roman" w:cs="Times New Roman"/>
          <w:i w:val="0"/>
          <w:color w:val="auto"/>
          <w:highlight w:val="none"/>
          <w:lang w:eastAsia="zh-CN"/>
        </w:rPr>
        <w:fldChar w:fldCharType="begin"/>
      </w:r>
      <w:r>
        <w:rPr>
          <w:rFonts w:hint="default" w:ascii="Times New Roman" w:hAnsi="Times New Roman" w:cs="Times New Roman"/>
          <w:i w:val="0"/>
          <w:color w:val="auto"/>
          <w:highlight w:val="none"/>
          <w:lang w:eastAsia="zh-CN"/>
        </w:rPr>
        <w:instrText xml:space="preserve"> HYPERLINK "http://dx.doi.org/10.1111/gcb.14499" \o "自助复核" </w:instrText>
      </w:r>
      <w:r>
        <w:rPr>
          <w:rFonts w:hint="default" w:ascii="Times New Roman" w:hAnsi="Times New Roman" w:cs="Times New Roman"/>
          <w:i w:val="0"/>
          <w:color w:val="auto"/>
          <w:highlight w:val="none"/>
          <w:lang w:eastAsia="zh-CN"/>
        </w:rPr>
        <w:fldChar w:fldCharType="separate"/>
      </w:r>
      <w:r>
        <w:rPr>
          <w:rFonts w:hint="default" w:ascii="Times New Roman" w:hAnsi="Times New Roman" w:cs="Times New Roman"/>
          <w:i w:val="0"/>
          <w:color w:val="auto"/>
          <w:highlight w:val="none"/>
          <w:lang w:eastAsia="zh-CN"/>
        </w:rPr>
        <w:fldChar w:fldCharType="end"/>
      </w:r>
    </w:p>
    <w:p w14:paraId="5079B311">
      <w:pPr>
        <w:pStyle w:val="10"/>
        <w:keepNext w:val="0"/>
        <w:keepLines w:val="0"/>
        <w:pageBreakBefore w:val="0"/>
        <w:widowControl/>
        <w:kinsoku/>
        <w:wordWrap/>
        <w:overflowPunct/>
        <w:topLinePunct w:val="0"/>
        <w:autoSpaceDE/>
        <w:autoSpaceDN/>
        <w:bidi w:val="0"/>
        <w:adjustRightInd/>
        <w:snapToGrid/>
        <w:ind w:left="720" w:hanging="720"/>
        <w:jc w:val="left"/>
        <w:textAlignment w:val="auto"/>
        <w:rPr>
          <w:rFonts w:hint="default" w:ascii="Times New Roman" w:hAnsi="Times New Roman" w:cs="Times New Roman" w:eastAsiaTheme="minorEastAsia"/>
          <w:i w:val="0"/>
          <w:color w:val="auto"/>
          <w:highlight w:val="none"/>
          <w:vertAlign w:val="baseline"/>
          <w:lang w:eastAsia="zh-CN"/>
        </w:rPr>
      </w:pPr>
      <w:r>
        <w:rPr>
          <w:rFonts w:hint="default" w:ascii="Times New Roman" w:hAnsi="Times New Roman" w:cs="Times New Roman"/>
          <w:color w:val="auto"/>
          <w:highlight w:val="none"/>
          <w:lang w:eastAsia="zh-CN"/>
        </w:rPr>
        <w:t>[32] Paulot F, Jacob DJ, Pinder RW, Bash JO, Travis K, et al. 2014. Ammonia emissions in the United States, European Union, and China derived by high-resolution inversion of ammonium wet deposition data: Interpretation with a new agricultural emissions inventory (MASAGE_NH</w:t>
      </w:r>
      <w:r>
        <w:rPr>
          <w:rFonts w:hint="default" w:ascii="Times New Roman" w:hAnsi="Times New Roman" w:cs="Times New Roman"/>
          <w:color w:val="auto"/>
          <w:highlight w:val="none"/>
          <w:vertAlign w:val="subscript"/>
          <w:lang w:eastAsia="zh-CN"/>
        </w:rPr>
        <w:t>3</w:t>
      </w:r>
      <w:r>
        <w:rPr>
          <w:rFonts w:hint="default" w:ascii="Times New Roman" w:hAnsi="Times New Roman" w:cs="Times New Roman"/>
          <w:color w:val="auto"/>
          <w:highlight w:val="none"/>
          <w:vertAlign w:val="baseline"/>
          <w:lang w:eastAsia="zh-CN"/>
        </w:rPr>
        <w:t xml:space="preserve">). </w:t>
      </w:r>
      <w:r>
        <w:rPr>
          <w:rFonts w:hint="default" w:ascii="Times New Roman" w:hAnsi="Times New Roman" w:cs="Times New Roman"/>
          <w:i/>
          <w:color w:val="auto"/>
          <w:highlight w:val="none"/>
          <w:vertAlign w:val="baseline"/>
          <w:lang w:eastAsia="zh-CN"/>
        </w:rPr>
        <w:t>Journal of Geophysical Research</w:t>
      </w:r>
      <w:r>
        <w:rPr>
          <w:rFonts w:hint="default" w:ascii="Times New Roman" w:hAnsi="Times New Roman" w:cs="Times New Roman"/>
          <w:i w:val="0"/>
          <w:color w:val="auto"/>
          <w:highlight w:val="none"/>
          <w:vertAlign w:val="baseline"/>
          <w:lang w:eastAsia="zh-CN"/>
        </w:rPr>
        <w:t xml:space="preserve">: </w:t>
      </w:r>
      <w:r>
        <w:rPr>
          <w:rFonts w:hint="default" w:ascii="Times New Roman" w:hAnsi="Times New Roman" w:cs="Times New Roman"/>
          <w:i/>
          <w:color w:val="auto"/>
          <w:highlight w:val="none"/>
          <w:vertAlign w:val="baseline"/>
          <w:lang w:eastAsia="zh-CN"/>
        </w:rPr>
        <w:t>Atmospheres</w:t>
      </w:r>
      <w:r>
        <w:rPr>
          <w:rFonts w:hint="default" w:ascii="Times New Roman" w:hAnsi="Times New Roman" w:cs="Times New Roman"/>
          <w:i w:val="0"/>
          <w:color w:val="auto"/>
          <w:highlight w:val="none"/>
          <w:vertAlign w:val="baseline"/>
          <w:lang w:eastAsia="zh-CN"/>
        </w:rPr>
        <w:t xml:space="preserve"> 119(7):4343−4364 https://doi.org/10.1002/2013JD021130 </w:t>
      </w:r>
      <w:r>
        <w:rPr>
          <w:rFonts w:hint="default" w:ascii="Times New Roman" w:hAnsi="Times New Roman" w:cs="Times New Roman"/>
          <w:i w:val="0"/>
          <w:color w:val="auto"/>
          <w:highlight w:val="none"/>
          <w:vertAlign w:val="baseline"/>
          <w:lang w:eastAsia="zh-CN"/>
        </w:rPr>
        <w:fldChar w:fldCharType="begin"/>
      </w:r>
      <w:r>
        <w:rPr>
          <w:rFonts w:hint="default" w:ascii="Times New Roman" w:hAnsi="Times New Roman" w:cs="Times New Roman"/>
          <w:i w:val="0"/>
          <w:color w:val="auto"/>
          <w:highlight w:val="none"/>
          <w:vertAlign w:val="baseline"/>
          <w:lang w:eastAsia="zh-CN"/>
        </w:rPr>
        <w:instrText xml:space="preserve"> HYPERLINK "http://dx.doi.org/10.1002/2013JD021130" \o "自助复核" </w:instrText>
      </w:r>
      <w:r>
        <w:rPr>
          <w:rFonts w:hint="default" w:ascii="Times New Roman" w:hAnsi="Times New Roman" w:cs="Times New Roman"/>
          <w:i w:val="0"/>
          <w:color w:val="auto"/>
          <w:highlight w:val="none"/>
          <w:vertAlign w:val="baseline"/>
          <w:lang w:eastAsia="zh-CN"/>
        </w:rPr>
        <w:fldChar w:fldCharType="separate"/>
      </w:r>
      <w:r>
        <w:rPr>
          <w:rFonts w:hint="default" w:ascii="Times New Roman" w:hAnsi="Times New Roman" w:cs="Times New Roman"/>
          <w:i w:val="0"/>
          <w:color w:val="auto"/>
          <w:highlight w:val="none"/>
          <w:vertAlign w:val="baseline"/>
          <w:lang w:eastAsia="zh-CN"/>
        </w:rPr>
        <w:fldChar w:fldCharType="end"/>
      </w:r>
    </w:p>
    <w:p w14:paraId="67B38030">
      <w:pPr>
        <w:pStyle w:val="10"/>
        <w:keepNext w:val="0"/>
        <w:keepLines w:val="0"/>
        <w:pageBreakBefore w:val="0"/>
        <w:widowControl/>
        <w:kinsoku/>
        <w:wordWrap/>
        <w:overflowPunct/>
        <w:topLinePunct w:val="0"/>
        <w:autoSpaceDE/>
        <w:autoSpaceDN/>
        <w:bidi w:val="0"/>
        <w:adjustRightInd/>
        <w:snapToGrid/>
        <w:ind w:left="720" w:hanging="720"/>
        <w:jc w:val="left"/>
        <w:textAlignment w:val="auto"/>
        <w:rPr>
          <w:rFonts w:hint="default" w:ascii="Times New Roman" w:hAnsi="Times New Roman" w:cs="Times New Roman" w:eastAsiaTheme="minorEastAsia"/>
          <w:i w:val="0"/>
          <w:color w:val="auto"/>
          <w:highlight w:val="none"/>
          <w:lang w:eastAsia="zh-CN"/>
        </w:rPr>
      </w:pPr>
      <w:r>
        <w:rPr>
          <w:rFonts w:hint="default" w:ascii="Times New Roman" w:hAnsi="Times New Roman" w:cs="Times New Roman"/>
          <w:color w:val="auto"/>
          <w:highlight w:val="none"/>
          <w:lang w:eastAsia="zh-CN"/>
        </w:rPr>
        <w:t xml:space="preserve">[33] Vira J, Hess P, Melkonian J, Wieder WR. 2020. An improved mechanistic model for ammonia volatilization in Earth system models: Flow of Agricultural Nitrogen version 2 (FANv2). </w:t>
      </w:r>
      <w:r>
        <w:rPr>
          <w:rFonts w:hint="default" w:ascii="Times New Roman" w:hAnsi="Times New Roman" w:cs="Times New Roman"/>
          <w:i/>
          <w:color w:val="auto"/>
          <w:highlight w:val="none"/>
          <w:lang w:eastAsia="zh-CN"/>
        </w:rPr>
        <w:t>Geoscientific Model Development</w:t>
      </w:r>
      <w:r>
        <w:rPr>
          <w:rFonts w:hint="default" w:ascii="Times New Roman" w:hAnsi="Times New Roman" w:cs="Times New Roman"/>
          <w:i w:val="0"/>
          <w:color w:val="auto"/>
          <w:highlight w:val="none"/>
          <w:lang w:eastAsia="zh-CN"/>
        </w:rPr>
        <w:t xml:space="preserve"> 13(9):4459−4490 https://doi.org/10.5194/gmd-13-4459-2020 </w:t>
      </w:r>
      <w:r>
        <w:rPr>
          <w:rFonts w:hint="default" w:ascii="Times New Roman" w:hAnsi="Times New Roman" w:cs="Times New Roman"/>
          <w:i w:val="0"/>
          <w:color w:val="auto"/>
          <w:highlight w:val="none"/>
          <w:lang w:eastAsia="zh-CN"/>
        </w:rPr>
        <w:fldChar w:fldCharType="begin"/>
      </w:r>
      <w:r>
        <w:rPr>
          <w:rFonts w:hint="default" w:ascii="Times New Roman" w:hAnsi="Times New Roman" w:cs="Times New Roman"/>
          <w:i w:val="0"/>
          <w:color w:val="auto"/>
          <w:highlight w:val="none"/>
          <w:lang w:eastAsia="zh-CN"/>
        </w:rPr>
        <w:instrText xml:space="preserve"> HYPERLINK "https://doi.org/10.5194/gmd-13-4459-2020" \o "自助复核" </w:instrText>
      </w:r>
      <w:r>
        <w:rPr>
          <w:rFonts w:hint="default" w:ascii="Times New Roman" w:hAnsi="Times New Roman" w:cs="Times New Roman"/>
          <w:i w:val="0"/>
          <w:color w:val="auto"/>
          <w:highlight w:val="none"/>
          <w:lang w:eastAsia="zh-CN"/>
        </w:rPr>
        <w:fldChar w:fldCharType="separate"/>
      </w:r>
      <w:r>
        <w:rPr>
          <w:rFonts w:hint="default" w:ascii="Times New Roman" w:hAnsi="Times New Roman" w:cs="Times New Roman"/>
          <w:i w:val="0"/>
          <w:color w:val="auto"/>
          <w:highlight w:val="none"/>
          <w:lang w:eastAsia="zh-CN"/>
        </w:rPr>
        <w:fldChar w:fldCharType="end"/>
      </w:r>
    </w:p>
    <w:p w14:paraId="69A205C6">
      <w:pPr>
        <w:pStyle w:val="10"/>
        <w:keepNext w:val="0"/>
        <w:keepLines w:val="0"/>
        <w:pageBreakBefore w:val="0"/>
        <w:widowControl/>
        <w:kinsoku/>
        <w:wordWrap/>
        <w:overflowPunct/>
        <w:topLinePunct w:val="0"/>
        <w:autoSpaceDE/>
        <w:autoSpaceDN/>
        <w:bidi w:val="0"/>
        <w:adjustRightInd/>
        <w:snapToGrid/>
        <w:ind w:left="720" w:hanging="720"/>
        <w:jc w:val="left"/>
        <w:textAlignment w:val="auto"/>
        <w:rPr>
          <w:rFonts w:hint="default" w:ascii="Times New Roman" w:hAnsi="Times New Roman" w:cs="Times New Roman" w:eastAsiaTheme="minorEastAsia"/>
          <w:i w:val="0"/>
          <w:color w:val="auto"/>
          <w:highlight w:val="none"/>
          <w:lang w:eastAsia="zh-CN"/>
        </w:rPr>
      </w:pPr>
      <w:r>
        <w:rPr>
          <w:rFonts w:hint="default" w:ascii="Times New Roman" w:hAnsi="Times New Roman" w:cs="Times New Roman"/>
          <w:color w:val="auto"/>
          <w:highlight w:val="none"/>
          <w:lang w:eastAsia="zh-CN"/>
        </w:rPr>
        <w:t xml:space="preserve">[34] Zhan X, Adalibieke W, Cui X, Winiwarter W, Reis S, et al. 2021. Improved estimates of ammonia emissions from global croplands. </w:t>
      </w:r>
      <w:r>
        <w:rPr>
          <w:rFonts w:hint="default" w:ascii="Times New Roman" w:hAnsi="Times New Roman" w:cs="Times New Roman"/>
          <w:i/>
          <w:color w:val="auto"/>
          <w:highlight w:val="none"/>
          <w:lang w:eastAsia="zh-CN"/>
        </w:rPr>
        <w:t>Environmental Science &amp; Technology</w:t>
      </w:r>
      <w:r>
        <w:rPr>
          <w:rFonts w:hint="default" w:ascii="Times New Roman" w:hAnsi="Times New Roman" w:cs="Times New Roman"/>
          <w:i w:val="0"/>
          <w:color w:val="auto"/>
          <w:highlight w:val="none"/>
          <w:lang w:eastAsia="zh-CN"/>
        </w:rPr>
        <w:t xml:space="preserve"> 55(2):1329−1338 https://doi.org/10.1021/acs.est.0c05149 </w:t>
      </w:r>
      <w:r>
        <w:rPr>
          <w:rFonts w:hint="default" w:ascii="Times New Roman" w:hAnsi="Times New Roman" w:cs="Times New Roman"/>
          <w:i w:val="0"/>
          <w:color w:val="auto"/>
          <w:highlight w:val="none"/>
          <w:lang w:eastAsia="zh-CN"/>
        </w:rPr>
        <w:fldChar w:fldCharType="begin"/>
      </w:r>
      <w:r>
        <w:rPr>
          <w:rFonts w:hint="default" w:ascii="Times New Roman" w:hAnsi="Times New Roman" w:cs="Times New Roman"/>
          <w:i w:val="0"/>
          <w:color w:val="auto"/>
          <w:highlight w:val="none"/>
          <w:lang w:eastAsia="zh-CN"/>
        </w:rPr>
        <w:instrText xml:space="preserve"> HYPERLINK "https://pubmed.ncbi.nlm.nih.gov/33378621/" \o "自助复核" </w:instrText>
      </w:r>
      <w:r>
        <w:rPr>
          <w:rFonts w:hint="default" w:ascii="Times New Roman" w:hAnsi="Times New Roman" w:cs="Times New Roman"/>
          <w:i w:val="0"/>
          <w:color w:val="auto"/>
          <w:highlight w:val="none"/>
          <w:lang w:eastAsia="zh-CN"/>
        </w:rPr>
        <w:fldChar w:fldCharType="separate"/>
      </w:r>
      <w:r>
        <w:rPr>
          <w:rFonts w:hint="default" w:ascii="Times New Roman" w:hAnsi="Times New Roman" w:cs="Times New Roman"/>
          <w:i w:val="0"/>
          <w:color w:val="auto"/>
          <w:highlight w:val="none"/>
          <w:lang w:eastAsia="zh-CN"/>
        </w:rPr>
        <w:fldChar w:fldCharType="end"/>
      </w:r>
    </w:p>
    <w:p w14:paraId="6955A9E7">
      <w:pPr>
        <w:pStyle w:val="10"/>
        <w:keepNext w:val="0"/>
        <w:keepLines w:val="0"/>
        <w:pageBreakBefore w:val="0"/>
        <w:widowControl/>
        <w:kinsoku/>
        <w:wordWrap/>
        <w:overflowPunct/>
        <w:topLinePunct w:val="0"/>
        <w:autoSpaceDE/>
        <w:autoSpaceDN/>
        <w:bidi w:val="0"/>
        <w:adjustRightInd/>
        <w:snapToGrid/>
        <w:ind w:left="720" w:hanging="720"/>
        <w:jc w:val="left"/>
        <w:textAlignment w:val="auto"/>
        <w:rPr>
          <w:rFonts w:hint="default" w:ascii="Times New Roman" w:hAnsi="Times New Roman" w:cs="Times New Roman" w:eastAsiaTheme="minorEastAsia"/>
          <w:i w:val="0"/>
          <w:color w:val="auto"/>
          <w:highlight w:val="none"/>
          <w:lang w:eastAsia="zh-CN"/>
        </w:rPr>
      </w:pPr>
      <w:r>
        <w:rPr>
          <w:rFonts w:hint="default" w:ascii="Times New Roman" w:hAnsi="Times New Roman" w:cs="Times New Roman"/>
          <w:color w:val="auto"/>
          <w:highlight w:val="none"/>
          <w:lang w:eastAsia="zh-CN"/>
        </w:rPr>
        <w:t xml:space="preserve">[35] Xu P, Li G, Zheng Y, Fung JCH, Chen A, et al. 2024. Fertilizer management for global ammonia emission reduction. </w:t>
      </w:r>
      <w:r>
        <w:rPr>
          <w:rFonts w:hint="default" w:ascii="Times New Roman" w:hAnsi="Times New Roman" w:cs="Times New Roman"/>
          <w:i/>
          <w:color w:val="auto"/>
          <w:highlight w:val="none"/>
          <w:lang w:eastAsia="zh-CN"/>
        </w:rPr>
        <w:t>Nature</w:t>
      </w:r>
      <w:r>
        <w:rPr>
          <w:rFonts w:hint="default" w:ascii="Times New Roman" w:hAnsi="Times New Roman" w:cs="Times New Roman"/>
          <w:i w:val="0"/>
          <w:color w:val="auto"/>
          <w:highlight w:val="none"/>
          <w:lang w:eastAsia="zh-CN"/>
        </w:rPr>
        <w:t xml:space="preserve"> 626(8000):792−798 https://doi.org/10.1038/s41586-024-07020-z </w:t>
      </w:r>
      <w:r>
        <w:rPr>
          <w:rFonts w:hint="default" w:ascii="Times New Roman" w:hAnsi="Times New Roman" w:cs="Times New Roman"/>
          <w:i w:val="0"/>
          <w:color w:val="auto"/>
          <w:highlight w:val="none"/>
          <w:lang w:eastAsia="zh-CN"/>
        </w:rPr>
        <w:fldChar w:fldCharType="begin"/>
      </w:r>
      <w:r>
        <w:rPr>
          <w:rFonts w:hint="default" w:ascii="Times New Roman" w:hAnsi="Times New Roman" w:cs="Times New Roman"/>
          <w:i w:val="0"/>
          <w:color w:val="auto"/>
          <w:highlight w:val="none"/>
          <w:lang w:eastAsia="zh-CN"/>
        </w:rPr>
        <w:instrText xml:space="preserve"> HYPERLINK "http://dx.doi.org/10.1038/s41586-024-07020-z" \o "自助复核" </w:instrText>
      </w:r>
      <w:r>
        <w:rPr>
          <w:rFonts w:hint="default" w:ascii="Times New Roman" w:hAnsi="Times New Roman" w:cs="Times New Roman"/>
          <w:i w:val="0"/>
          <w:color w:val="auto"/>
          <w:highlight w:val="none"/>
          <w:lang w:eastAsia="zh-CN"/>
        </w:rPr>
        <w:fldChar w:fldCharType="separate"/>
      </w:r>
      <w:r>
        <w:rPr>
          <w:rFonts w:hint="default" w:ascii="Times New Roman" w:hAnsi="Times New Roman" w:cs="Times New Roman"/>
          <w:i w:val="0"/>
          <w:color w:val="auto"/>
          <w:highlight w:val="none"/>
          <w:lang w:eastAsia="zh-CN"/>
        </w:rPr>
        <w:fldChar w:fldCharType="end"/>
      </w:r>
    </w:p>
    <w:p w14:paraId="1B89BDC9">
      <w:pPr>
        <w:pStyle w:val="10"/>
        <w:keepNext w:val="0"/>
        <w:keepLines w:val="0"/>
        <w:pageBreakBefore w:val="0"/>
        <w:widowControl/>
        <w:kinsoku/>
        <w:wordWrap/>
        <w:overflowPunct/>
        <w:topLinePunct w:val="0"/>
        <w:autoSpaceDE/>
        <w:autoSpaceDN/>
        <w:bidi w:val="0"/>
        <w:adjustRightInd/>
        <w:snapToGrid/>
        <w:ind w:left="720" w:hanging="720"/>
        <w:jc w:val="left"/>
        <w:textAlignment w:val="auto"/>
        <w:rPr>
          <w:rFonts w:hint="default" w:ascii="Times New Roman" w:hAnsi="Times New Roman" w:cs="Times New Roman" w:eastAsiaTheme="minorEastAsia"/>
          <w:i w:val="0"/>
          <w:color w:val="auto"/>
          <w:highlight w:val="none"/>
          <w:lang w:eastAsia="zh-CN"/>
        </w:rPr>
      </w:pPr>
      <w:r>
        <w:rPr>
          <w:rFonts w:hint="default" w:ascii="Times New Roman" w:hAnsi="Times New Roman" w:cs="Times New Roman"/>
          <w:color w:val="auto"/>
          <w:highlight w:val="none"/>
          <w:lang w:eastAsia="zh-CN"/>
        </w:rPr>
        <w:t xml:space="preserve">[36] Zhang X, Sun Y, Gao Y, Wang C, Liang X, et al. 2026. Halving global ammonia emissions with cost-effective measures. </w:t>
      </w:r>
      <w:r>
        <w:rPr>
          <w:rFonts w:hint="default" w:ascii="Times New Roman" w:hAnsi="Times New Roman" w:cs="Times New Roman"/>
          <w:i/>
          <w:color w:val="auto"/>
          <w:highlight w:val="none"/>
          <w:lang w:eastAsia="zh-CN"/>
        </w:rPr>
        <w:t>Nature Sustainability</w:t>
      </w:r>
      <w:r>
        <w:rPr>
          <w:rFonts w:hint="default" w:ascii="Times New Roman" w:hAnsi="Times New Roman" w:cs="Times New Roman"/>
          <w:i w:val="0"/>
          <w:color w:val="auto"/>
          <w:highlight w:val="none"/>
          <w:lang w:eastAsia="zh-CN"/>
        </w:rPr>
        <w:t xml:space="preserve"> 9(2):247−259 https://doi.org/10.1038/s41893-025-01723-5 </w:t>
      </w:r>
      <w:r>
        <w:rPr>
          <w:rFonts w:hint="default" w:ascii="Times New Roman" w:hAnsi="Times New Roman" w:cs="Times New Roman"/>
          <w:i w:val="0"/>
          <w:color w:val="auto"/>
          <w:highlight w:val="none"/>
          <w:lang w:eastAsia="zh-CN"/>
        </w:rPr>
        <w:fldChar w:fldCharType="begin"/>
      </w:r>
      <w:r>
        <w:rPr>
          <w:rFonts w:hint="default" w:ascii="Times New Roman" w:hAnsi="Times New Roman" w:cs="Times New Roman"/>
          <w:i w:val="0"/>
          <w:color w:val="auto"/>
          <w:highlight w:val="none"/>
          <w:lang w:eastAsia="zh-CN"/>
        </w:rPr>
        <w:instrText xml:space="preserve"> HYPERLINK "http://dx.doi.org/10.1038/s41893-025-01723-5" \o "自助复核" </w:instrText>
      </w:r>
      <w:r>
        <w:rPr>
          <w:rFonts w:hint="default" w:ascii="Times New Roman" w:hAnsi="Times New Roman" w:cs="Times New Roman"/>
          <w:i w:val="0"/>
          <w:color w:val="auto"/>
          <w:highlight w:val="none"/>
          <w:lang w:eastAsia="zh-CN"/>
        </w:rPr>
        <w:fldChar w:fldCharType="separate"/>
      </w:r>
      <w:r>
        <w:rPr>
          <w:rFonts w:hint="default" w:ascii="Times New Roman" w:hAnsi="Times New Roman" w:cs="Times New Roman"/>
          <w:i w:val="0"/>
          <w:color w:val="auto"/>
          <w:highlight w:val="none"/>
          <w:lang w:eastAsia="zh-CN"/>
        </w:rPr>
        <w:fldChar w:fldCharType="end"/>
      </w:r>
    </w:p>
    <w:p w14:paraId="46E24F62">
      <w:pPr>
        <w:pStyle w:val="10"/>
        <w:keepNext w:val="0"/>
        <w:keepLines w:val="0"/>
        <w:pageBreakBefore w:val="0"/>
        <w:widowControl/>
        <w:kinsoku/>
        <w:wordWrap/>
        <w:overflowPunct/>
        <w:topLinePunct w:val="0"/>
        <w:autoSpaceDE/>
        <w:autoSpaceDN/>
        <w:bidi w:val="0"/>
        <w:adjustRightInd/>
        <w:snapToGrid/>
        <w:ind w:left="720" w:hanging="720"/>
        <w:jc w:val="left"/>
        <w:textAlignment w:val="auto"/>
        <w:rPr>
          <w:rFonts w:hint="default" w:ascii="Times New Roman" w:hAnsi="Times New Roman" w:cs="Times New Roman" w:eastAsiaTheme="minorEastAsia"/>
          <w:i w:val="0"/>
          <w:color w:val="auto"/>
          <w:highlight w:val="none"/>
          <w:lang w:eastAsia="zh-CN"/>
        </w:rPr>
      </w:pPr>
      <w:r>
        <w:rPr>
          <w:rFonts w:hint="default" w:ascii="Times New Roman" w:hAnsi="Times New Roman" w:cs="Times New Roman"/>
          <w:color w:val="auto"/>
          <w:highlight w:val="none"/>
          <w:lang w:eastAsia="zh-CN"/>
        </w:rPr>
        <w:t xml:space="preserve">[37] Zhang X, Wu Y, Liu X, Reis S, Jin J, et al. 2017. Ammonia emissions may be substantially underestimated in China. </w:t>
      </w:r>
      <w:r>
        <w:rPr>
          <w:rFonts w:hint="default" w:ascii="Times New Roman" w:hAnsi="Times New Roman" w:cs="Times New Roman"/>
          <w:i/>
          <w:color w:val="auto"/>
          <w:highlight w:val="none"/>
          <w:lang w:eastAsia="zh-CN"/>
        </w:rPr>
        <w:t>Environmental Science &amp; Technology</w:t>
      </w:r>
      <w:r>
        <w:rPr>
          <w:rFonts w:hint="default" w:ascii="Times New Roman" w:hAnsi="Times New Roman" w:cs="Times New Roman"/>
          <w:i w:val="0"/>
          <w:color w:val="auto"/>
          <w:highlight w:val="none"/>
          <w:lang w:eastAsia="zh-CN"/>
        </w:rPr>
        <w:t xml:space="preserve"> 51(21):12089−12096 https://doi.org/10.1021/acs.est.7b02171 </w:t>
      </w:r>
      <w:r>
        <w:rPr>
          <w:rFonts w:hint="default" w:ascii="Times New Roman" w:hAnsi="Times New Roman" w:cs="Times New Roman"/>
          <w:i w:val="0"/>
          <w:color w:val="auto"/>
          <w:highlight w:val="none"/>
          <w:lang w:eastAsia="zh-CN"/>
        </w:rPr>
        <w:fldChar w:fldCharType="begin"/>
      </w:r>
      <w:r>
        <w:rPr>
          <w:rFonts w:hint="default" w:ascii="Times New Roman" w:hAnsi="Times New Roman" w:cs="Times New Roman"/>
          <w:i w:val="0"/>
          <w:color w:val="auto"/>
          <w:highlight w:val="none"/>
          <w:lang w:eastAsia="zh-CN"/>
        </w:rPr>
        <w:instrText xml:space="preserve"> HYPERLINK "https://doi.org/10.1021/acs.est.7b02171" \o "自助复核" </w:instrText>
      </w:r>
      <w:r>
        <w:rPr>
          <w:rFonts w:hint="default" w:ascii="Times New Roman" w:hAnsi="Times New Roman" w:cs="Times New Roman"/>
          <w:i w:val="0"/>
          <w:color w:val="auto"/>
          <w:highlight w:val="none"/>
          <w:lang w:eastAsia="zh-CN"/>
        </w:rPr>
        <w:fldChar w:fldCharType="separate"/>
      </w:r>
      <w:r>
        <w:rPr>
          <w:rFonts w:hint="default" w:ascii="Times New Roman" w:hAnsi="Times New Roman" w:cs="Times New Roman"/>
          <w:i w:val="0"/>
          <w:color w:val="auto"/>
          <w:highlight w:val="none"/>
          <w:lang w:eastAsia="zh-CN"/>
        </w:rPr>
        <w:fldChar w:fldCharType="end"/>
      </w:r>
    </w:p>
    <w:p w14:paraId="1BE1BF06">
      <w:pPr>
        <w:pStyle w:val="10"/>
        <w:keepNext w:val="0"/>
        <w:keepLines w:val="0"/>
        <w:pageBreakBefore w:val="0"/>
        <w:widowControl/>
        <w:kinsoku/>
        <w:wordWrap/>
        <w:overflowPunct/>
        <w:topLinePunct w:val="0"/>
        <w:autoSpaceDE/>
        <w:autoSpaceDN/>
        <w:bidi w:val="0"/>
        <w:adjustRightInd/>
        <w:snapToGrid/>
        <w:ind w:left="720" w:hanging="720"/>
        <w:jc w:val="left"/>
        <w:textAlignment w:val="auto"/>
        <w:rPr>
          <w:rFonts w:hint="eastAsia" w:eastAsiaTheme="minorEastAsia"/>
          <w:i w:val="0"/>
          <w:color w:val="0000FA"/>
          <w:lang w:eastAsia="zh-CN"/>
        </w:rPr>
      </w:pPr>
      <w:r>
        <w:rPr>
          <w:rFonts w:hint="default" w:ascii="Times New Roman" w:hAnsi="Times New Roman" w:cs="Times New Roman"/>
          <w:color w:val="auto"/>
          <w:highlight w:val="none"/>
          <w:lang w:eastAsia="zh-CN"/>
        </w:rPr>
        <w:t xml:space="preserve">[38] Wang H, Zhang D, Zhang Y, Zhai L, Yin B, et al. 2018. Ammonia emissions from paddy fields are underestimated in China. </w:t>
      </w:r>
      <w:r>
        <w:rPr>
          <w:rFonts w:hint="default" w:ascii="Times New Roman" w:hAnsi="Times New Roman" w:cs="Times New Roman"/>
          <w:i/>
          <w:color w:val="auto"/>
          <w:highlight w:val="none"/>
          <w:lang w:eastAsia="zh-CN"/>
        </w:rPr>
        <w:t>Environmental Pollution</w:t>
      </w:r>
      <w:r>
        <w:rPr>
          <w:rFonts w:hint="default" w:ascii="Times New Roman" w:hAnsi="Times New Roman" w:cs="Times New Roman"/>
          <w:i w:val="0"/>
          <w:color w:val="auto"/>
          <w:highlight w:val="none"/>
          <w:lang w:eastAsia="zh-CN"/>
        </w:rPr>
        <w:t xml:space="preserve"> 235:482−488 https://doi.org/10.1016/j.envpol.2017.12.103 </w:t>
      </w:r>
      <w:r>
        <w:rPr>
          <w:rFonts w:hint="eastAsia"/>
          <w:i w:val="0"/>
          <w:color w:val="0000FA"/>
          <w:highlight w:val="none"/>
          <w:lang w:eastAsia="zh-CN"/>
        </w:rPr>
        <w:fldChar w:fldCharType="begin"/>
      </w:r>
      <w:r>
        <w:rPr>
          <w:rFonts w:hint="eastAsia"/>
          <w:i w:val="0"/>
          <w:color w:val="0000FA"/>
          <w:highlight w:val="none"/>
          <w:lang w:eastAsia="zh-CN"/>
        </w:rPr>
        <w:instrText xml:space="preserve"> HYPERLINK "http://dx.doi.org/10.1016/j.envpol.2017.12.103" \o "自助复核" </w:instrText>
      </w:r>
      <w:r>
        <w:rPr>
          <w:rFonts w:hint="eastAsia"/>
          <w:i w:val="0"/>
          <w:color w:val="0000FA"/>
          <w:highlight w:val="none"/>
          <w:lang w:eastAsia="zh-CN"/>
        </w:rPr>
        <w:fldChar w:fldCharType="separate"/>
      </w:r>
      <w:r>
        <w:rPr>
          <w:rFonts w:hint="eastAsia"/>
          <w:i w:val="0"/>
          <w:color w:val="0000FA"/>
          <w:highlight w:val="none"/>
          <w:lang w:eastAsia="zh-CN"/>
        </w:rPr>
        <w:fldChar w:fldCharType="end"/>
      </w:r>
    </w:p>
    <w:p w14:paraId="0742E54B">
      <w:pPr>
        <w:rPr>
          <w:rFonts w:hint="eastAsia" w:cs="Times New Roman" w:eastAsiaTheme="minorEastAsia"/>
          <w:sz w:val="28"/>
          <w:szCs w:val="28"/>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Math">
    <w:panose1 w:val="02040503050406030204"/>
    <w:charset w:val="00"/>
    <w:family w:val="roman"/>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MAP_Endnote_style&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vf9w95aks0226er5duxeazo5dzat9fvf09d&quot;&gt;氨挥发综述&lt;record-ids&gt;&lt;item&gt;27&lt;/item&gt;&lt;item&gt;30&lt;/item&gt;&lt;item&gt;32&lt;/item&gt;&lt;item&gt;76&lt;/item&gt;&lt;item&gt;77&lt;/item&gt;&lt;item&gt;84&lt;/item&gt;&lt;item&gt;89&lt;/item&gt;&lt;item&gt;90&lt;/item&gt;&lt;item&gt;91&lt;/item&gt;&lt;item&gt;92&lt;/item&gt;&lt;item&gt;93&lt;/item&gt;&lt;item&gt;94&lt;/item&gt;&lt;item&gt;96&lt;/item&gt;&lt;item&gt;97&lt;/item&gt;&lt;item&gt;98&lt;/item&gt;&lt;item&gt;99&lt;/item&gt;&lt;item&gt;100&lt;/item&gt;&lt;item&gt;101&lt;/item&gt;&lt;item&gt;102&lt;/item&gt;&lt;item&gt;103&lt;/item&gt;&lt;item&gt;104&lt;/item&gt;&lt;item&gt;105&lt;/item&gt;&lt;item&gt;106&lt;/item&gt;&lt;item&gt;108&lt;/item&gt;&lt;item&gt;109&lt;/item&gt;&lt;item&gt;110&lt;/item&gt;&lt;item&gt;152&lt;/item&gt;&lt;item&gt;156&lt;/item&gt;&lt;item&gt;157&lt;/item&gt;&lt;item&gt;177&lt;/item&gt;&lt;item&gt;183&lt;/item&gt;&lt;item&gt;199&lt;/item&gt;&lt;item&gt;200&lt;/item&gt;&lt;item&gt;201&lt;/item&gt;&lt;item&gt;203&lt;/item&gt;&lt;item&gt;204&lt;/item&gt;&lt;item&gt;205&lt;/item&gt;&lt;item&gt;206&lt;/item&gt;&lt;/record-ids&gt;&lt;/item&gt;&lt;/Libraries&gt;"/>
  </w:docVars>
  <w:rsids>
    <w:rsidRoot w:val="75244484"/>
    <w:rsid w:val="00703CD9"/>
    <w:rsid w:val="00E077C7"/>
    <w:rsid w:val="00F41FC3"/>
    <w:rsid w:val="042069E7"/>
    <w:rsid w:val="04886557"/>
    <w:rsid w:val="07AA3FCD"/>
    <w:rsid w:val="0AB11A47"/>
    <w:rsid w:val="15D92236"/>
    <w:rsid w:val="238E23E1"/>
    <w:rsid w:val="23AB185A"/>
    <w:rsid w:val="24776664"/>
    <w:rsid w:val="26C84AB2"/>
    <w:rsid w:val="27524813"/>
    <w:rsid w:val="2EF26B02"/>
    <w:rsid w:val="2F0F4910"/>
    <w:rsid w:val="354927E9"/>
    <w:rsid w:val="39374069"/>
    <w:rsid w:val="3C5A6B8C"/>
    <w:rsid w:val="3C80024B"/>
    <w:rsid w:val="3E3E65DE"/>
    <w:rsid w:val="3F4C08B0"/>
    <w:rsid w:val="40EC5A29"/>
    <w:rsid w:val="4322306E"/>
    <w:rsid w:val="45094659"/>
    <w:rsid w:val="46165A9F"/>
    <w:rsid w:val="46D52711"/>
    <w:rsid w:val="4CCF6A46"/>
    <w:rsid w:val="4F6558C2"/>
    <w:rsid w:val="52D91EC7"/>
    <w:rsid w:val="550B4C4D"/>
    <w:rsid w:val="57501773"/>
    <w:rsid w:val="59525E74"/>
    <w:rsid w:val="5B324E57"/>
    <w:rsid w:val="5E8A72F1"/>
    <w:rsid w:val="5F497E3B"/>
    <w:rsid w:val="5FDF3DB0"/>
    <w:rsid w:val="6240691B"/>
    <w:rsid w:val="668672C7"/>
    <w:rsid w:val="679215B3"/>
    <w:rsid w:val="67A41450"/>
    <w:rsid w:val="70E73EC1"/>
    <w:rsid w:val="71F160F7"/>
    <w:rsid w:val="73CC7862"/>
    <w:rsid w:val="74D00967"/>
    <w:rsid w:val="75203E4F"/>
    <w:rsid w:val="75244484"/>
    <w:rsid w:val="7FF230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Theme="minorEastAsia" w:cstheme="minorBidi"/>
      <w:kern w:val="2"/>
      <w:sz w:val="22"/>
      <w:szCs w:val="24"/>
      <w:lang w:val="en-US" w:eastAsia="zh-CN" w:bidi="ar-SA"/>
    </w:rPr>
  </w:style>
  <w:style w:type="paragraph" w:styleId="2">
    <w:name w:val="heading 1"/>
    <w:basedOn w:val="1"/>
    <w:next w:val="1"/>
    <w:qFormat/>
    <w:uiPriority w:val="0"/>
    <w:pPr>
      <w:keepNext/>
      <w:keepLines/>
      <w:spacing w:before="100" w:after="90" w:line="576" w:lineRule="auto"/>
      <w:jc w:val="center"/>
      <w:outlineLvl w:val="0"/>
    </w:pPr>
    <w:rPr>
      <w:b/>
      <w:kern w:val="44"/>
      <w:sz w:val="32"/>
    </w:rPr>
  </w:style>
  <w:style w:type="paragraph" w:styleId="3">
    <w:name w:val="heading 2"/>
    <w:basedOn w:val="1"/>
    <w:next w:val="1"/>
    <w:semiHidden/>
    <w:unhideWhenUsed/>
    <w:qFormat/>
    <w:uiPriority w:val="0"/>
    <w:pPr>
      <w:keepNext/>
      <w:keepLines/>
      <w:spacing w:before="380" w:after="380"/>
      <w:jc w:val="center"/>
      <w:outlineLvl w:val="1"/>
    </w:pPr>
    <w:rPr>
      <w:rFonts w:ascii="Arial" w:hAnsi="Arial" w:eastAsia="宋体"/>
      <w:b/>
      <w:sz w:val="28"/>
      <w:szCs w:val="22"/>
    </w:rPr>
  </w:style>
  <w:style w:type="paragraph" w:styleId="4">
    <w:name w:val="heading 3"/>
    <w:basedOn w:val="1"/>
    <w:next w:val="1"/>
    <w:semiHidden/>
    <w:unhideWhenUsed/>
    <w:qFormat/>
    <w:uiPriority w:val="0"/>
    <w:pPr>
      <w:keepNext/>
      <w:keepLines/>
      <w:spacing w:before="20" w:after="20" w:line="416" w:lineRule="auto"/>
      <w:outlineLvl w:val="2"/>
    </w:pPr>
    <w:rPr>
      <w:rFonts w:asciiTheme="minorHAnsi" w:hAnsiTheme="minorHAnsi"/>
      <w:b/>
      <w:bCs/>
      <w:sz w:val="32"/>
      <w:szCs w:val="32"/>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basedOn w:val="7"/>
    <w:qFormat/>
    <w:uiPriority w:val="0"/>
    <w:rPr>
      <w:color w:val="0000FF"/>
      <w:u w:val="single"/>
    </w:rPr>
  </w:style>
  <w:style w:type="paragraph" w:customStyle="1" w:styleId="9">
    <w:name w:val="EndNote Bibliography Title"/>
    <w:qFormat/>
    <w:uiPriority w:val="0"/>
    <w:pPr>
      <w:jc w:val="center"/>
    </w:pPr>
    <w:rPr>
      <w:rFonts w:ascii="Times New Roman" w:hAnsi="Times New Roman" w:cs="Times New Roman" w:eastAsiaTheme="minorEastAsia"/>
      <w:kern w:val="2"/>
      <w:sz w:val="22"/>
      <w:szCs w:val="24"/>
      <w:lang w:val="en-US" w:eastAsia="zh-CN" w:bidi="ar-SA"/>
    </w:rPr>
  </w:style>
  <w:style w:type="paragraph" w:customStyle="1" w:styleId="10">
    <w:name w:val="EndNote Bibliography"/>
    <w:qFormat/>
    <w:uiPriority w:val="0"/>
    <w:pPr>
      <w:jc w:val="both"/>
    </w:pPr>
    <w:rPr>
      <w:rFonts w:ascii="Times New Roman" w:hAnsi="Times New Roman" w:cs="Times New Roman" w:eastAsiaTheme="minorEastAsia"/>
      <w:kern w:val="2"/>
      <w:sz w:val="22"/>
      <w:szCs w:val="24"/>
      <w:lang w:val="en-US" w:eastAsia="zh-CN" w:bidi="ar-SA"/>
    </w:rPr>
  </w:style>
  <w:style w:type="paragraph" w:customStyle="1" w:styleId="11">
    <w:name w:val="Revision"/>
    <w:hidden/>
    <w:unhideWhenUsed/>
    <w:qFormat/>
    <w:uiPriority w:val="99"/>
    <w:rPr>
      <w:rFonts w:ascii="Times New Roman" w:hAnsi="Times New Roman" w:eastAsiaTheme="minorEastAsia" w:cstheme="minorBidi"/>
      <w:kern w:val="2"/>
      <w:sz w:val="22"/>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2472</Words>
  <Characters>12838</Characters>
  <Lines>363</Lines>
  <Paragraphs>102</Paragraphs>
  <TotalTime>5</TotalTime>
  <ScaleCrop>false</ScaleCrop>
  <LinksUpToDate>false</LinksUpToDate>
  <CharactersWithSpaces>15010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2026-08-12T07:07:00Z</dcterms:created>
  <dc:creator>HP</dc:creator>
  <cp:lastModifiedBy>MAP</cp:lastModifiedBy>
  <dcterms:modified xsi:type="dcterms:W3CDTF">2026-10-08T01:39:06Z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227A0E5A213848439DBBE8938FD94EF8_13</vt:lpwstr>
  </property>
  <property fmtid="{D5CDD505-2E9C-101B-9397-08002B2CF9AE}" pid="4" name="KSOTemplateDocerSaveRecord">
    <vt:lpwstr>eyJoZGlkIjoiMzE1MGY5YjA1ZDUyM2UzZDBhODUyNGEyYmQyZjI1ZTMiLCJ1c2VySWQiOiIxNjcyNjk3MTA2In0=</vt:lpwstr>
  </property>
</Properties>
</file>