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EC2122">
      <w:pPr>
        <w:pStyle w:val="3"/>
        <w:rPr>
          <w:rFonts w:ascii="Arial"/>
          <w:b/>
        </w:rPr>
      </w:pPr>
      <w:r>
        <w:rPr>
          <w:rFonts w:ascii="Arial"/>
          <w:b/>
        </w:rPr>
        <w:drawing>
          <wp:inline distT="0" distB="0" distL="0" distR="0">
            <wp:extent cx="6213475" cy="6589395"/>
            <wp:effectExtent l="0" t="0" r="15875" b="1905"/>
            <wp:docPr id="797456719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456719" name="图片 2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13475" cy="658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0824B">
      <w:pPr>
        <w:pStyle w:val="3"/>
        <w:spacing w:before="67"/>
        <w:rPr>
          <w:rFonts w:ascii="Arial"/>
          <w:b/>
        </w:rPr>
      </w:pPr>
    </w:p>
    <w:p w14:paraId="52D50DC8">
      <w:pPr>
        <w:spacing w:line="230" w:lineRule="auto"/>
        <w:ind w:left="142" w:right="564"/>
        <w:jc w:val="both"/>
        <w:rPr>
          <w:sz w:val="20"/>
        </w:rPr>
      </w:pPr>
      <w:bookmarkStart w:id="0" w:name="OLE_LINK115"/>
      <w:r>
        <w:rPr>
          <w:b/>
          <w:w w:val="110"/>
        </w:rPr>
        <w:t>Figure</w:t>
      </w:r>
      <w:r>
        <w:rPr>
          <w:b/>
          <w:spacing w:val="40"/>
          <w:w w:val="110"/>
        </w:rPr>
        <w:t xml:space="preserve"> </w:t>
      </w:r>
      <w:r>
        <w:rPr>
          <w:b/>
          <w:w w:val="110"/>
        </w:rPr>
        <w:t>S3.</w:t>
      </w:r>
      <w:r>
        <w:rPr>
          <w:b/>
          <w:spacing w:val="40"/>
          <w:w w:val="110"/>
        </w:rPr>
        <w:t xml:space="preserve">  </w:t>
      </w:r>
      <w:r>
        <w:rPr>
          <w:b/>
          <w:w w:val="110"/>
        </w:rPr>
        <w:t>GO enrichment analysis and marker gene expression of immune cell subpopulations between reproductive and non-reproductive stages.</w:t>
      </w:r>
      <w:r>
        <w:rPr>
          <w:b/>
          <w:spacing w:val="40"/>
          <w:w w:val="110"/>
        </w:rPr>
        <w:t xml:space="preserve"> </w:t>
      </w:r>
      <w:r>
        <w:rPr>
          <w:w w:val="110"/>
          <w:sz w:val="20"/>
        </w:rPr>
        <w:t>(</w:t>
      </w:r>
      <w:r>
        <w:rPr>
          <w:b/>
          <w:w w:val="110"/>
          <w:sz w:val="20"/>
        </w:rPr>
        <w:t>a</w:t>
      </w:r>
      <w:r>
        <w:rPr>
          <w:w w:val="110"/>
          <w:sz w:val="20"/>
        </w:rPr>
        <w:t xml:space="preserve">) </w:t>
      </w:r>
      <w:r>
        <w:rPr>
          <w:spacing w:val="-2"/>
          <w:w w:val="110"/>
          <w:sz w:val="20"/>
        </w:rPr>
        <w:t>Gene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Ontology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(GO)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enrichment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analysis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of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genes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up-regulated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in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lympho</w:t>
      </w:r>
      <w:r>
        <w:rPr>
          <w:rFonts w:hint="eastAsia"/>
          <w:spacing w:val="-2"/>
          <w:w w:val="110"/>
          <w:sz w:val="20"/>
          <w:lang w:eastAsia="zh-CN"/>
        </w:rPr>
        <w:t>id</w:t>
      </w:r>
      <w:r>
        <w:rPr>
          <w:spacing w:val="-2"/>
          <w:w w:val="110"/>
          <w:sz w:val="20"/>
          <w:lang w:eastAsia="zh-CN"/>
        </w:rPr>
        <w:t xml:space="preserve"> cells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during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the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reproductive </w:t>
      </w:r>
      <w:r>
        <w:rPr>
          <w:sz w:val="20"/>
        </w:rPr>
        <w:t>stage.</w:t>
      </w:r>
      <w:r>
        <w:rPr>
          <w:spacing w:val="40"/>
          <w:sz w:val="20"/>
        </w:rPr>
        <w:t xml:space="preserve"> </w:t>
      </w:r>
      <w:r>
        <w:rPr>
          <w:sz w:val="20"/>
        </w:rPr>
        <w:t>(</w:t>
      </w:r>
      <w:r>
        <w:rPr>
          <w:b/>
          <w:sz w:val="20"/>
        </w:rPr>
        <w:t>b</w:t>
      </w:r>
      <w:r>
        <w:rPr>
          <w:sz w:val="20"/>
        </w:rPr>
        <w:t xml:space="preserve">) Gene Ontology (GO) enrichment analysis of genes up-regulated in </w:t>
      </w:r>
      <w:r>
        <w:rPr>
          <w:spacing w:val="-2"/>
          <w:w w:val="110"/>
          <w:sz w:val="20"/>
        </w:rPr>
        <w:t>lympho</w:t>
      </w:r>
      <w:r>
        <w:rPr>
          <w:rFonts w:hint="eastAsia"/>
          <w:spacing w:val="-2"/>
          <w:w w:val="110"/>
          <w:sz w:val="20"/>
          <w:lang w:eastAsia="zh-CN"/>
        </w:rPr>
        <w:t>id</w:t>
      </w:r>
      <w:r>
        <w:rPr>
          <w:spacing w:val="-2"/>
          <w:w w:val="110"/>
          <w:sz w:val="20"/>
          <w:lang w:eastAsia="zh-CN"/>
        </w:rPr>
        <w:t xml:space="preserve"> cells</w:t>
      </w:r>
      <w:r>
        <w:rPr>
          <w:sz w:val="20"/>
        </w:rPr>
        <w:t xml:space="preserve"> during the non-reproductive stage.</w:t>
      </w:r>
      <w:r>
        <w:rPr>
          <w:spacing w:val="40"/>
          <w:sz w:val="20"/>
        </w:rPr>
        <w:t xml:space="preserve"> </w:t>
      </w:r>
      <w:r>
        <w:rPr>
          <w:sz w:val="20"/>
        </w:rPr>
        <w:t>(</w:t>
      </w:r>
      <w:r>
        <w:rPr>
          <w:b/>
          <w:sz w:val="20"/>
        </w:rPr>
        <w:t>c</w:t>
      </w:r>
      <w:r>
        <w:rPr>
          <w:sz w:val="20"/>
        </w:rPr>
        <w:t xml:space="preserve">) UMAP visualization of </w:t>
      </w:r>
      <w:r>
        <w:rPr>
          <w:spacing w:val="-2"/>
          <w:w w:val="110"/>
          <w:sz w:val="20"/>
        </w:rPr>
        <w:t>lympho</w:t>
      </w:r>
      <w:r>
        <w:rPr>
          <w:rFonts w:hint="eastAsia"/>
          <w:spacing w:val="-2"/>
          <w:w w:val="110"/>
          <w:sz w:val="20"/>
          <w:lang w:eastAsia="zh-CN"/>
        </w:rPr>
        <w:t>id</w:t>
      </w:r>
      <w:r>
        <w:rPr>
          <w:spacing w:val="-2"/>
          <w:w w:val="110"/>
          <w:sz w:val="20"/>
          <w:lang w:eastAsia="zh-CN"/>
        </w:rPr>
        <w:t xml:space="preserve"> cells</w:t>
      </w:r>
      <w:r>
        <w:rPr>
          <w:sz w:val="20"/>
        </w:rPr>
        <w:t xml:space="preserve"> colored by reproductive and non-reproductive stages.</w:t>
      </w:r>
      <w:r>
        <w:rPr>
          <w:spacing w:val="43"/>
          <w:sz w:val="20"/>
        </w:rPr>
        <w:t xml:space="preserve">  </w:t>
      </w:r>
      <w:r>
        <w:rPr>
          <w:sz w:val="20"/>
        </w:rPr>
        <w:t>(</w:t>
      </w:r>
      <w:r>
        <w:rPr>
          <w:b/>
          <w:sz w:val="20"/>
        </w:rPr>
        <w:t>d</w:t>
      </w:r>
      <w:r>
        <w:rPr>
          <w:sz w:val="20"/>
        </w:rPr>
        <w:t>)</w:t>
      </w:r>
      <w:r>
        <w:rPr>
          <w:spacing w:val="65"/>
          <w:sz w:val="20"/>
        </w:rPr>
        <w:t xml:space="preserve"> </w:t>
      </w:r>
      <w:r>
        <w:rPr>
          <w:sz w:val="20"/>
        </w:rPr>
        <w:t>UMAP</w:t>
      </w:r>
      <w:r>
        <w:rPr>
          <w:spacing w:val="65"/>
          <w:sz w:val="20"/>
        </w:rPr>
        <w:t xml:space="preserve"> </w:t>
      </w:r>
      <w:r>
        <w:rPr>
          <w:sz w:val="20"/>
        </w:rPr>
        <w:t>visualization</w:t>
      </w:r>
      <w:r>
        <w:rPr>
          <w:spacing w:val="65"/>
          <w:sz w:val="20"/>
        </w:rPr>
        <w:t xml:space="preserve"> </w:t>
      </w:r>
      <w:r>
        <w:rPr>
          <w:sz w:val="20"/>
        </w:rPr>
        <w:t>of</w:t>
      </w:r>
      <w:r>
        <w:rPr>
          <w:spacing w:val="65"/>
          <w:sz w:val="20"/>
        </w:rPr>
        <w:t xml:space="preserve"> </w:t>
      </w:r>
      <w:r>
        <w:rPr>
          <w:sz w:val="20"/>
        </w:rPr>
        <w:t>macrophages</w:t>
      </w:r>
      <w:r>
        <w:rPr>
          <w:spacing w:val="65"/>
          <w:sz w:val="20"/>
        </w:rPr>
        <w:t xml:space="preserve"> </w:t>
      </w:r>
      <w:r>
        <w:rPr>
          <w:sz w:val="20"/>
        </w:rPr>
        <w:t>colored</w:t>
      </w:r>
      <w:r>
        <w:rPr>
          <w:spacing w:val="65"/>
          <w:sz w:val="20"/>
        </w:rPr>
        <w:t xml:space="preserve"> </w:t>
      </w:r>
      <w:r>
        <w:rPr>
          <w:sz w:val="20"/>
        </w:rPr>
        <w:t>by</w:t>
      </w:r>
      <w:r>
        <w:rPr>
          <w:spacing w:val="65"/>
          <w:sz w:val="20"/>
        </w:rPr>
        <w:t xml:space="preserve"> </w:t>
      </w:r>
      <w:r>
        <w:rPr>
          <w:sz w:val="20"/>
        </w:rPr>
        <w:t>reproductive</w:t>
      </w:r>
      <w:r>
        <w:rPr>
          <w:spacing w:val="64"/>
          <w:sz w:val="20"/>
        </w:rPr>
        <w:t xml:space="preserve"> </w:t>
      </w:r>
      <w:r>
        <w:rPr>
          <w:sz w:val="20"/>
        </w:rPr>
        <w:t>and</w:t>
      </w:r>
      <w:r>
        <w:rPr>
          <w:spacing w:val="65"/>
          <w:sz w:val="20"/>
        </w:rPr>
        <w:t xml:space="preserve"> </w:t>
      </w:r>
      <w:r>
        <w:rPr>
          <w:sz w:val="20"/>
        </w:rPr>
        <w:t>non-reproductive</w:t>
      </w:r>
      <w:r>
        <w:rPr>
          <w:spacing w:val="65"/>
          <w:sz w:val="20"/>
        </w:rPr>
        <w:t xml:space="preserve"> </w:t>
      </w:r>
      <w:r>
        <w:rPr>
          <w:spacing w:val="-2"/>
          <w:sz w:val="20"/>
        </w:rPr>
        <w:t>stages.</w:t>
      </w:r>
    </w:p>
    <w:p w14:paraId="696A3B72">
      <w:pPr>
        <w:pStyle w:val="3"/>
        <w:spacing w:line="235" w:lineRule="auto"/>
        <w:ind w:left="142" w:right="564"/>
        <w:jc w:val="both"/>
      </w:pPr>
      <w:r>
        <w:rPr>
          <w:w w:val="105"/>
        </w:rPr>
        <w:t>(</w:t>
      </w:r>
      <w:r>
        <w:rPr>
          <w:b/>
          <w:w w:val="105"/>
        </w:rPr>
        <w:t>e</w:t>
      </w:r>
      <w:r>
        <w:rPr>
          <w:w w:val="105"/>
        </w:rPr>
        <w:t>) Dot plot showing the expression of classic marker genes across the two annotated sub-clusters (T/NK cells and mast cells).</w:t>
      </w:r>
      <w:r>
        <w:rPr>
          <w:spacing w:val="38"/>
          <w:w w:val="105"/>
        </w:rPr>
        <w:t xml:space="preserve"> </w:t>
      </w:r>
      <w:r>
        <w:rPr>
          <w:w w:val="105"/>
        </w:rPr>
        <w:t>Dot size indicates the percentage of cells expressing each gene;</w:t>
      </w:r>
      <w:r>
        <w:rPr>
          <w:spacing w:val="-12"/>
          <w:w w:val="105"/>
        </w:rPr>
        <w:t xml:space="preserve"> </w:t>
      </w:r>
      <w:r>
        <w:rPr>
          <w:w w:val="105"/>
        </w:rPr>
        <w:t>color indicates average expression level.</w:t>
      </w:r>
      <w:r>
        <w:rPr>
          <w:spacing w:val="25"/>
          <w:w w:val="105"/>
        </w:rPr>
        <w:t xml:space="preserve"> </w:t>
      </w:r>
      <w:r>
        <w:rPr>
          <w:w w:val="105"/>
        </w:rPr>
        <w:t>(</w:t>
      </w:r>
      <w:r>
        <w:rPr>
          <w:b/>
          <w:w w:val="105"/>
        </w:rPr>
        <w:t>f</w:t>
      </w:r>
      <w:r>
        <w:rPr>
          <w:b/>
          <w:spacing w:val="-12"/>
          <w:w w:val="105"/>
        </w:rPr>
        <w:t xml:space="preserve"> </w:t>
      </w:r>
      <w:r>
        <w:rPr>
          <w:w w:val="105"/>
        </w:rPr>
        <w:t>) Dot plot showing the expression of classic macrophage marker genes across the four annotated macrophage subclusters (inflammatory, tissue-resident, antigen-presenting, and metabolic macrophages).</w:t>
      </w:r>
      <w:r>
        <w:rPr>
          <w:spacing w:val="21"/>
          <w:w w:val="105"/>
        </w:rPr>
        <w:t xml:space="preserve"> </w:t>
      </w:r>
      <w:r>
        <w:rPr>
          <w:w w:val="105"/>
        </w:rPr>
        <w:t>Dot size indicates the percentage of cells expressing each gene; color indicates average expression level.</w:t>
      </w:r>
      <w:r>
        <w:rPr>
          <w:spacing w:val="37"/>
          <w:w w:val="105"/>
        </w:rPr>
        <w:t xml:space="preserve"> </w:t>
      </w:r>
      <w:r>
        <w:rPr>
          <w:w w:val="105"/>
        </w:rPr>
        <w:t>(</w:t>
      </w:r>
      <w:r>
        <w:rPr>
          <w:b/>
          <w:w w:val="105"/>
        </w:rPr>
        <w:t>g</w:t>
      </w:r>
      <w:r>
        <w:rPr>
          <w:w w:val="105"/>
        </w:rPr>
        <w:t>) Stacked bar plot showing the proportion of T/NK cells and mast cells in non-reproductive versus reproductive stages.</w:t>
      </w:r>
      <w:r>
        <w:rPr>
          <w:spacing w:val="40"/>
          <w:w w:val="105"/>
        </w:rPr>
        <w:t xml:space="preserve"> </w:t>
      </w:r>
      <w:r>
        <w:rPr>
          <w:w w:val="105"/>
        </w:rPr>
        <w:t>(</w:t>
      </w:r>
      <w:r>
        <w:rPr>
          <w:b/>
          <w:w w:val="105"/>
        </w:rPr>
        <w:t>h</w:t>
      </w:r>
      <w:r>
        <w:rPr>
          <w:w w:val="105"/>
        </w:rPr>
        <w:t>) Stacked bar plot showing the proportion of macrophage subclusters in non-reproductive versus reproductive stages.</w:t>
      </w:r>
    </w:p>
    <w:bookmarkEnd w:id="0"/>
    <w:p w14:paraId="0DFA5CAC">
      <w:pPr>
        <w:pStyle w:val="3"/>
        <w:spacing w:line="232" w:lineRule="auto"/>
        <w:ind w:left="142" w:right="563"/>
        <w:jc w:val="both"/>
      </w:pPr>
      <w:bookmarkStart w:id="1" w:name="_GoBack"/>
      <w:bookmarkEnd w:id="1"/>
    </w:p>
    <w:sectPr>
      <w:headerReference r:id="rId3" w:type="default"/>
      <w:footerReference r:id="rId4" w:type="default"/>
      <w:pgSz w:w="11910" w:h="16840"/>
      <w:pgMar w:top="567" w:right="850" w:bottom="567" w:left="1275" w:header="706" w:footer="783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Sitka Text">
    <w:panose1 w:val="00000000000000000000"/>
    <w:charset w:val="00"/>
    <w:family w:val="auto"/>
    <w:pitch w:val="default"/>
    <w:sig w:usb0="A00002EF" w:usb1="4000204B" w:usb2="00000000" w:usb3="00000000" w:csb0="2000019F" w:csb1="00000000"/>
  </w:font>
  <w:font w:name="Roboto">
    <w:panose1 w:val="02000000000000000000"/>
    <w:charset w:val="00"/>
    <w:family w:val="auto"/>
    <w:pitch w:val="default"/>
    <w:sig w:usb0="E00002FF" w:usb1="5000205B" w:usb2="00000020" w:usb3="00000000" w:csb0="2000019F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99C9B7">
    <w:pPr>
      <w:pStyle w:val="3"/>
      <w:spacing w:line="14" w:lineRule="auto"/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3697605</wp:posOffset>
              </wp:positionH>
              <wp:positionV relativeFrom="page">
                <wp:posOffset>10054590</wp:posOffset>
              </wp:positionV>
              <wp:extent cx="164465" cy="164465"/>
              <wp:effectExtent l="0" t="0" r="0" b="0"/>
              <wp:wrapNone/>
              <wp:docPr id="23" name="Textbox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46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64DB79">
                          <w:pPr>
                            <w:spacing w:line="243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3" o:spid="_x0000_s1026" o:spt="202" type="#_x0000_t202" style="position:absolute;left:0pt;margin-left:291.15pt;margin-top:791.7pt;height:12.95pt;width:12.95pt;mso-position-horizontal-relative:page;mso-position-vertical-relative:page;z-index:-251656192;mso-width-relative:page;mso-height-relative:page;" filled="f" stroked="f" coordsize="21600,21600" o:gfxdata="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T7Gg2wAAAA0BAAAPAAAAAAAAAAEAIAAAACIAAABkcnMvZG93bnJldi54bWxQSwECFAAUAAAACACH&#10;TuJAKL7mlq8BAAB1AwAADgAAAAAAAAABACAAAAAq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864DB79">
                    <w:pPr>
                      <w:spacing w:line="243" w:lineRule="exact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08AEF0">
    <w:pPr>
      <w:pStyle w:val="3"/>
      <w:spacing w:line="14" w:lineRule="auto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887095</wp:posOffset>
              </wp:positionH>
              <wp:positionV relativeFrom="page">
                <wp:posOffset>435610</wp:posOffset>
              </wp:positionV>
              <wp:extent cx="2310765" cy="164465"/>
              <wp:effectExtent l="0" t="0" r="0" b="0"/>
              <wp:wrapNone/>
              <wp:docPr id="21" name="Text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076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923ABB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1" o:spid="_x0000_s1026" o:spt="202" type="#_x0000_t202" style="position:absolute;left:0pt;margin-left:69.85pt;margin-top:34.3pt;height:12.95pt;width:181.95pt;mso-position-horizontal-relative:page;mso-position-vertical-relative:page;z-index:-251657216;mso-width-relative:page;mso-height-relative:page;" filled="f" stroked="f" coordsize="21600,21600" o:gfxdata="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G9CYefYAAAACQEAAA8AAAAAAAAAAQAgAAAAIgAAAGRycy9kb3ducmV2LnhtbFBLAQIUABQAAAAI&#10;AIdO4kBKDG6ytAEAAHYDAAAOAAAAAAAAAAEAIAAAACc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A923ABB"/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5124450</wp:posOffset>
              </wp:positionH>
              <wp:positionV relativeFrom="page">
                <wp:posOffset>435610</wp:posOffset>
              </wp:positionV>
              <wp:extent cx="1547495" cy="164465"/>
              <wp:effectExtent l="0" t="0" r="0" b="0"/>
              <wp:wrapNone/>
              <wp:docPr id="22" name="Text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749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B43929">
                          <w:pPr>
                            <w:spacing w:line="243" w:lineRule="exac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2" o:spid="_x0000_s1026" o:spt="202" type="#_x0000_t202" style="position:absolute;left:0pt;margin-left:403.5pt;margin-top:34.3pt;height:12.95pt;width:121.85pt;mso-position-horizontal-relative:page;mso-position-vertical-relative:page;z-index:-251656192;mso-width-relative:page;mso-height-relative:page;" filled="f" stroked="f" coordsize="21600,21600" o:gfxdata="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uXsHt2QAAAAoBAAAPAAAAAAAAAAEAIAAAACIAAABkcnMvZG93bnJldi54bWxQSwECFAAUAAAA&#10;CACHTuJAkdCTn7QBAAB2AwAADgAAAAAAAAABACAAAAAo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DB43929">
                    <w:pPr>
                      <w:spacing w:line="243" w:lineRule="exact"/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2B0D7C"/>
    <w:rsid w:val="00080EA5"/>
    <w:rsid w:val="001B77B6"/>
    <w:rsid w:val="0024622A"/>
    <w:rsid w:val="002B0D7C"/>
    <w:rsid w:val="003D3706"/>
    <w:rsid w:val="00545280"/>
    <w:rsid w:val="00BF1985"/>
    <w:rsid w:val="00C2199D"/>
    <w:rsid w:val="00F912BF"/>
    <w:rsid w:val="140B1219"/>
    <w:rsid w:val="27DA216D"/>
    <w:rsid w:val="755D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9"/>
    <w:pPr>
      <w:spacing w:before="54"/>
      <w:ind w:left="261" w:hanging="2394"/>
      <w:outlineLvl w:val="0"/>
    </w:pPr>
    <w:rPr>
      <w:b/>
      <w:bCs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20"/>
      <w:szCs w:val="20"/>
    </w:rPr>
  </w:style>
  <w:style w:type="paragraph" w:styleId="4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Title"/>
    <w:basedOn w:val="1"/>
    <w:qFormat/>
    <w:uiPriority w:val="10"/>
    <w:pPr>
      <w:spacing w:before="249"/>
      <w:ind w:left="303" w:right="725"/>
      <w:jc w:val="center"/>
    </w:pPr>
    <w:rPr>
      <w:b/>
      <w:bCs/>
      <w:sz w:val="34"/>
      <w:szCs w:val="34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  <w:pPr>
      <w:spacing w:line="249" w:lineRule="exact"/>
      <w:jc w:val="right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2648</Words>
  <Characters>14833</Characters>
  <Lines>128</Lines>
  <Paragraphs>36</Paragraphs>
  <TotalTime>0</TotalTime>
  <ScaleCrop>false</ScaleCrop>
  <LinksUpToDate>false</LinksUpToDate>
  <CharactersWithSpaces>15825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2026-06-17T13:27:00Z</dcterms:created>
  <dc:creator>18402</dc:creator>
  <cp:lastModifiedBy>Dong</cp:lastModifiedBy>
  <dcterms:modified xsi:type="dcterms:W3CDTF">2026-08-28T07:30:32Z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2026-06-17T00:00:00Z</vt:filetime>
  </property>
  <property fmtid="{D5CDD505-2E9C-101B-9397-08002B2CF9AE}" pid="4" name="Creator">
    <vt:lpwstr>LaTeX with hyperref</vt:lpwstr>
  </property>
  <property fmtid="{D5CDD505-2E9C-101B-9397-08002B2CF9AE}" pid="5" name="LastSaved">
    <vt:filetime>2026-06-17T00:00:00Z</vt:filetime>
  </property>
  <property fmtid="{D5CDD505-2E9C-101B-9397-08002B2CF9AE}" pid="6" name="PTEX.Fullbanner">
    <vt:lpwstr>This is pdfTeX, Version 3.141592653-2.6-1.40.27 (TeX Live 2025) kpathsea version 6.4.1</vt:lpwstr>
  </property>
  <property fmtid="{D5CDD505-2E9C-101B-9397-08002B2CF9AE}" pid="7" name="Producer">
    <vt:lpwstr>pdfTeX-1.40.27</vt:lpwstr>
  </property>
  <property fmtid="{D5CDD505-2E9C-101B-9397-08002B2CF9AE}" pid="8" name="KSOTemplateDocerSaveRecord">
    <vt:lpwstr>eyJoZGlkIjoiNTRmYjc2Yzk3YzdiYjdhOTIwMjcxMmZmZDkyYzg1NjEiLCJ1c2VySWQiOiI0MTIxMDk1MTgifQ==</vt:lpwstr>
  </property>
  <property fmtid="{D5CDD505-2E9C-101B-9397-08002B2CF9AE}" pid="9" name="KSOProductBuildVer">
    <vt:lpwstr>2052-12.1.0.28043</vt:lpwstr>
  </property>
  <property fmtid="{D5CDD505-2E9C-101B-9397-08002B2CF9AE}" pid="10" name="ICV">
    <vt:lpwstr>A109027DFA9F4920850808640D3BCD32_13</vt:lpwstr>
  </property>
</Properties>
</file>