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194E">
      <w:pPr>
        <w:spacing w:before="65" w:line="216" w:lineRule="auto"/>
        <w:ind w:left="142" w:right="564"/>
      </w:pPr>
      <w:r>
        <w:rPr>
          <w:b/>
          <w:w w:val="105"/>
        </w:rPr>
        <w:t>Table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S2.</w:t>
      </w:r>
      <w:r>
        <w:rPr>
          <w:b/>
          <w:spacing w:val="80"/>
          <w:w w:val="105"/>
        </w:rPr>
        <w:t xml:space="preserve"> </w:t>
      </w:r>
      <w:r>
        <w:rPr>
          <w:w w:val="105"/>
        </w:rPr>
        <w:t>MetaNeighbor</w:t>
      </w:r>
      <w:r>
        <w:rPr>
          <w:spacing w:val="39"/>
          <w:w w:val="105"/>
        </w:rPr>
        <w:t xml:space="preserve"> </w:t>
      </w:r>
      <w:r>
        <w:rPr>
          <w:w w:val="105"/>
        </w:rPr>
        <w:t>cross-validation</w:t>
      </w:r>
      <w:r>
        <w:rPr>
          <w:spacing w:val="39"/>
          <w:w w:val="105"/>
        </w:rPr>
        <w:t xml:space="preserve"> </w:t>
      </w:r>
      <w:r>
        <w:rPr>
          <w:w w:val="105"/>
        </w:rPr>
        <w:t>AUROC</w:t>
      </w:r>
      <w:r>
        <w:rPr>
          <w:spacing w:val="39"/>
          <w:w w:val="105"/>
        </w:rPr>
        <w:t xml:space="preserve"> </w:t>
      </w:r>
      <w:r>
        <w:rPr>
          <w:w w:val="105"/>
        </w:rPr>
        <w:t>values</w:t>
      </w:r>
      <w:r>
        <w:rPr>
          <w:spacing w:val="39"/>
          <w:w w:val="105"/>
        </w:rPr>
        <w:t xml:space="preserve"> </w:t>
      </w:r>
      <w:r>
        <w:rPr>
          <w:w w:val="105"/>
        </w:rPr>
        <w:t>for</w:t>
      </w:r>
      <w:r>
        <w:rPr>
          <w:spacing w:val="39"/>
          <w:w w:val="105"/>
        </w:rPr>
        <w:t xml:space="preserve"> </w:t>
      </w:r>
      <w:r>
        <w:rPr>
          <w:w w:val="105"/>
        </w:rPr>
        <w:t>matched</w:t>
      </w:r>
      <w:r>
        <w:rPr>
          <w:spacing w:val="39"/>
          <w:w w:val="105"/>
        </w:rPr>
        <w:t xml:space="preserve"> </w:t>
      </w:r>
      <w:r>
        <w:rPr>
          <w:w w:val="105"/>
        </w:rPr>
        <w:t>cell</w:t>
      </w:r>
      <w:r>
        <w:rPr>
          <w:spacing w:val="39"/>
          <w:w w:val="105"/>
        </w:rPr>
        <w:t xml:space="preserve"> </w:t>
      </w:r>
      <w:r>
        <w:rPr>
          <w:w w:val="105"/>
        </w:rPr>
        <w:t>types</w:t>
      </w:r>
      <w:r>
        <w:rPr>
          <w:spacing w:val="39"/>
          <w:w w:val="105"/>
        </w:rPr>
        <w:t xml:space="preserve"> </w:t>
      </w:r>
      <w:r>
        <w:rPr>
          <w:w w:val="105"/>
        </w:rPr>
        <w:t>between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re-productive and non-reproductive stages (reproductive </w:t>
      </w:r>
      <w:r>
        <w:rPr>
          <w:rFonts w:ascii="Lucida Sans Unicode" w:hAnsi="Lucida Sans Unicode"/>
          <w:w w:val="105"/>
        </w:rPr>
        <w:t xml:space="preserve">→ </w:t>
      </w:r>
      <w:r>
        <w:rPr>
          <w:w w:val="105"/>
        </w:rPr>
        <w:t>non-reproductive).</w:t>
      </w:r>
    </w:p>
    <w:p w14:paraId="631D922B">
      <w:pPr>
        <w:pStyle w:val="3"/>
        <w:spacing w:before="7"/>
        <w:rPr>
          <w:sz w:val="16"/>
        </w:rPr>
      </w:pPr>
    </w:p>
    <w:tbl>
      <w:tblPr>
        <w:tblStyle w:val="8"/>
        <w:tblpPr w:leftFromText="180" w:rightFromText="180" w:vertAnchor="text" w:horzAnchor="page" w:tblpX="1531" w:tblpY="287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2"/>
        <w:gridCol w:w="2717"/>
      </w:tblGrid>
      <w:tr w14:paraId="35432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6442" w:type="dxa"/>
            <w:tcBorders>
              <w:top w:val="single" w:color="000000" w:sz="8" w:space="0"/>
              <w:bottom w:val="single" w:color="000000" w:sz="6" w:space="0"/>
            </w:tcBorders>
          </w:tcPr>
          <w:p w14:paraId="3E524248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w w:val="130"/>
              </w:rPr>
              <w:t>Cell</w:t>
            </w:r>
            <w:r>
              <w:rPr>
                <w:b/>
                <w:spacing w:val="14"/>
                <w:w w:val="130"/>
              </w:rPr>
              <w:t xml:space="preserve"> </w:t>
            </w:r>
            <w:r>
              <w:rPr>
                <w:b/>
                <w:spacing w:val="-4"/>
                <w:w w:val="130"/>
              </w:rPr>
              <w:t>Type</w:t>
            </w:r>
          </w:p>
        </w:tc>
        <w:tc>
          <w:tcPr>
            <w:tcW w:w="2717" w:type="dxa"/>
            <w:tcBorders>
              <w:top w:val="single" w:color="000000" w:sz="8" w:space="0"/>
              <w:bottom w:val="single" w:color="000000" w:sz="6" w:space="0"/>
            </w:tcBorders>
          </w:tcPr>
          <w:p w14:paraId="02AEE267">
            <w:pPr>
              <w:pStyle w:val="10"/>
              <w:spacing w:before="40" w:line="240" w:lineRule="auto"/>
              <w:ind w:right="117"/>
              <w:rPr>
                <w:b/>
              </w:rPr>
            </w:pPr>
            <w:r>
              <w:rPr>
                <w:b/>
                <w:spacing w:val="-2"/>
                <w:w w:val="140"/>
              </w:rPr>
              <w:t>AUROC</w:t>
            </w:r>
          </w:p>
        </w:tc>
      </w:tr>
      <w:tr w14:paraId="3295F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442" w:type="dxa"/>
            <w:tcBorders>
              <w:top w:val="single" w:color="000000" w:sz="6" w:space="0"/>
            </w:tcBorders>
          </w:tcPr>
          <w:p w14:paraId="615D3DC1">
            <w:pPr>
              <w:pStyle w:val="10"/>
              <w:spacing w:before="39" w:line="240" w:lineRule="auto"/>
              <w:ind w:left="119"/>
              <w:jc w:val="left"/>
            </w:pPr>
            <w:r>
              <w:rPr>
                <w:spacing w:val="-2"/>
                <w:w w:val="105"/>
              </w:rPr>
              <w:t>Spermatogonia</w:t>
            </w:r>
          </w:p>
        </w:tc>
        <w:tc>
          <w:tcPr>
            <w:tcW w:w="2717" w:type="dxa"/>
            <w:tcBorders>
              <w:top w:val="single" w:color="000000" w:sz="6" w:space="0"/>
            </w:tcBorders>
          </w:tcPr>
          <w:p w14:paraId="5A292207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0.951</w:t>
            </w:r>
          </w:p>
        </w:tc>
      </w:tr>
      <w:tr w14:paraId="12D29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5DC02811">
            <w:pPr>
              <w:pStyle w:val="10"/>
              <w:ind w:left="119"/>
              <w:jc w:val="left"/>
            </w:pPr>
            <w:r>
              <w:rPr>
                <w:w w:val="105"/>
              </w:rPr>
              <w:t>Elongating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Spermatid</w:t>
            </w:r>
          </w:p>
        </w:tc>
        <w:tc>
          <w:tcPr>
            <w:tcW w:w="2717" w:type="dxa"/>
          </w:tcPr>
          <w:p w14:paraId="29D60051">
            <w:pPr>
              <w:pStyle w:val="10"/>
              <w:ind w:right="118"/>
            </w:pPr>
            <w:r>
              <w:rPr>
                <w:spacing w:val="-2"/>
              </w:rPr>
              <w:t>0.969</w:t>
            </w:r>
          </w:p>
        </w:tc>
      </w:tr>
      <w:tr w14:paraId="70D4D8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6EF92975">
            <w:pPr>
              <w:pStyle w:val="10"/>
              <w:ind w:left="119"/>
              <w:jc w:val="left"/>
            </w:pPr>
            <w:r>
              <w:rPr>
                <w:w w:val="105"/>
              </w:rPr>
              <w:t>Mature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Spermatozoa</w:t>
            </w:r>
          </w:p>
        </w:tc>
        <w:tc>
          <w:tcPr>
            <w:tcW w:w="2717" w:type="dxa"/>
          </w:tcPr>
          <w:p w14:paraId="12DA321C">
            <w:pPr>
              <w:pStyle w:val="10"/>
              <w:ind w:right="118"/>
            </w:pPr>
            <w:r>
              <w:rPr>
                <w:spacing w:val="-2"/>
              </w:rPr>
              <w:t>0.976</w:t>
            </w:r>
          </w:p>
        </w:tc>
      </w:tr>
      <w:tr w14:paraId="31074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0E7B9519">
            <w:pPr>
              <w:pStyle w:val="10"/>
              <w:ind w:left="119"/>
              <w:jc w:val="left"/>
            </w:pPr>
            <w:r>
              <w:rPr>
                <w:w w:val="110"/>
              </w:rPr>
              <w:t>Endothelial</w:t>
            </w:r>
            <w:r>
              <w:rPr>
                <w:spacing w:val="-3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Cell</w:t>
            </w:r>
          </w:p>
        </w:tc>
        <w:tc>
          <w:tcPr>
            <w:tcW w:w="2717" w:type="dxa"/>
          </w:tcPr>
          <w:p w14:paraId="6E775A81">
            <w:pPr>
              <w:pStyle w:val="10"/>
              <w:ind w:right="117"/>
            </w:pPr>
            <w:r>
              <w:rPr>
                <w:spacing w:val="-2"/>
              </w:rPr>
              <w:t>0.980</w:t>
            </w:r>
          </w:p>
        </w:tc>
      </w:tr>
      <w:tr w14:paraId="473700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6D225D44">
            <w:pPr>
              <w:pStyle w:val="10"/>
              <w:ind w:left="119"/>
              <w:jc w:val="left"/>
            </w:pPr>
            <w:r>
              <w:rPr>
                <w:w w:val="105"/>
              </w:rPr>
              <w:t>Late</w:t>
            </w:r>
            <w:r>
              <w:rPr>
                <w:spacing w:val="58"/>
                <w:w w:val="105"/>
              </w:rPr>
              <w:t xml:space="preserve"> </w:t>
            </w:r>
            <w:r>
              <w:rPr>
                <w:w w:val="105"/>
              </w:rPr>
              <w:t>Primary</w:t>
            </w:r>
            <w:r>
              <w:rPr>
                <w:spacing w:val="5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Spermatocyte</w:t>
            </w:r>
          </w:p>
        </w:tc>
        <w:tc>
          <w:tcPr>
            <w:tcW w:w="2717" w:type="dxa"/>
          </w:tcPr>
          <w:p w14:paraId="591E6815">
            <w:pPr>
              <w:pStyle w:val="10"/>
              <w:ind w:right="118"/>
            </w:pPr>
            <w:r>
              <w:rPr>
                <w:spacing w:val="-2"/>
              </w:rPr>
              <w:t>0.984</w:t>
            </w:r>
          </w:p>
        </w:tc>
      </w:tr>
      <w:tr w14:paraId="44AAC8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6D59A2E8">
            <w:pPr>
              <w:pStyle w:val="10"/>
              <w:ind w:left="119"/>
              <w:jc w:val="left"/>
            </w:pPr>
            <w:r>
              <w:rPr>
                <w:w w:val="105"/>
              </w:rPr>
              <w:t>Round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Spermatid</w:t>
            </w:r>
          </w:p>
        </w:tc>
        <w:tc>
          <w:tcPr>
            <w:tcW w:w="2717" w:type="dxa"/>
          </w:tcPr>
          <w:p w14:paraId="3B9EACAB">
            <w:pPr>
              <w:pStyle w:val="10"/>
              <w:ind w:right="117"/>
            </w:pPr>
            <w:r>
              <w:rPr>
                <w:spacing w:val="-2"/>
              </w:rPr>
              <w:t>0.985</w:t>
            </w:r>
          </w:p>
        </w:tc>
      </w:tr>
      <w:tr w14:paraId="01C82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1FF5616D">
            <w:pPr>
              <w:pStyle w:val="10"/>
              <w:ind w:left="119"/>
              <w:jc w:val="left"/>
            </w:pPr>
            <w:r>
              <w:rPr>
                <w:w w:val="110"/>
              </w:rPr>
              <w:t>Peritubular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Myoid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Cell</w:t>
            </w:r>
          </w:p>
        </w:tc>
        <w:tc>
          <w:tcPr>
            <w:tcW w:w="2717" w:type="dxa"/>
          </w:tcPr>
          <w:p w14:paraId="0308609E">
            <w:pPr>
              <w:pStyle w:val="10"/>
              <w:ind w:right="117"/>
            </w:pPr>
            <w:r>
              <w:rPr>
                <w:spacing w:val="-2"/>
              </w:rPr>
              <w:t>0.990</w:t>
            </w:r>
          </w:p>
        </w:tc>
      </w:tr>
      <w:tr w14:paraId="21E81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115CD0FD">
            <w:pPr>
              <w:pStyle w:val="10"/>
              <w:ind w:left="119"/>
              <w:jc w:val="left"/>
            </w:pPr>
            <w:r>
              <w:rPr>
                <w:w w:val="110"/>
              </w:rPr>
              <w:t>Sertoli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Cell</w:t>
            </w:r>
          </w:p>
        </w:tc>
        <w:tc>
          <w:tcPr>
            <w:tcW w:w="2717" w:type="dxa"/>
          </w:tcPr>
          <w:p w14:paraId="3C47EAF3">
            <w:pPr>
              <w:pStyle w:val="10"/>
              <w:ind w:right="117"/>
            </w:pPr>
            <w:r>
              <w:rPr>
                <w:spacing w:val="-2"/>
              </w:rPr>
              <w:t>0.992</w:t>
            </w:r>
          </w:p>
        </w:tc>
      </w:tr>
      <w:tr w14:paraId="2D4F8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70AFDD92">
            <w:pPr>
              <w:pStyle w:val="10"/>
              <w:ind w:left="119"/>
              <w:jc w:val="left"/>
            </w:pPr>
            <w:r>
              <w:rPr>
                <w:w w:val="110"/>
              </w:rPr>
              <w:t>Early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Primary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Spermatocyte</w:t>
            </w:r>
          </w:p>
        </w:tc>
        <w:tc>
          <w:tcPr>
            <w:tcW w:w="2717" w:type="dxa"/>
          </w:tcPr>
          <w:p w14:paraId="0B780F4F">
            <w:pPr>
              <w:pStyle w:val="10"/>
              <w:ind w:right="117"/>
            </w:pPr>
            <w:r>
              <w:rPr>
                <w:spacing w:val="-2"/>
              </w:rPr>
              <w:t>0.994</w:t>
            </w:r>
          </w:p>
        </w:tc>
      </w:tr>
      <w:tr w14:paraId="48517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7AA5672E">
            <w:pPr>
              <w:pStyle w:val="10"/>
              <w:ind w:left="119"/>
              <w:jc w:val="left"/>
            </w:pPr>
            <w:r>
              <w:rPr>
                <w:spacing w:val="-2"/>
                <w:w w:val="105"/>
              </w:rPr>
              <w:t>Lymphocyte</w:t>
            </w:r>
          </w:p>
        </w:tc>
        <w:tc>
          <w:tcPr>
            <w:tcW w:w="2717" w:type="dxa"/>
          </w:tcPr>
          <w:p w14:paraId="1095016F">
            <w:pPr>
              <w:pStyle w:val="10"/>
              <w:ind w:right="118"/>
            </w:pPr>
            <w:r>
              <w:rPr>
                <w:spacing w:val="-2"/>
              </w:rPr>
              <w:t>0.996</w:t>
            </w:r>
          </w:p>
        </w:tc>
      </w:tr>
      <w:tr w14:paraId="5D8916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442" w:type="dxa"/>
          </w:tcPr>
          <w:p w14:paraId="6463C873">
            <w:pPr>
              <w:pStyle w:val="10"/>
              <w:ind w:left="119"/>
              <w:jc w:val="left"/>
            </w:pPr>
            <w:r>
              <w:rPr>
                <w:w w:val="115"/>
              </w:rPr>
              <w:t>Leydig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Cell</w:t>
            </w:r>
          </w:p>
        </w:tc>
        <w:tc>
          <w:tcPr>
            <w:tcW w:w="2717" w:type="dxa"/>
          </w:tcPr>
          <w:p w14:paraId="38695222">
            <w:pPr>
              <w:pStyle w:val="10"/>
              <w:ind w:right="118"/>
            </w:pPr>
            <w:r>
              <w:rPr>
                <w:spacing w:val="-2"/>
              </w:rPr>
              <w:t>0.998</w:t>
            </w:r>
          </w:p>
        </w:tc>
      </w:tr>
      <w:tr w14:paraId="3277D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442" w:type="dxa"/>
            <w:tcBorders>
              <w:bottom w:val="single" w:color="000000" w:sz="6" w:space="0"/>
            </w:tcBorders>
          </w:tcPr>
          <w:p w14:paraId="6D8BFC75">
            <w:pPr>
              <w:pStyle w:val="10"/>
              <w:ind w:left="119"/>
              <w:jc w:val="left"/>
            </w:pPr>
            <w:r>
              <w:rPr>
                <w:spacing w:val="-2"/>
              </w:rPr>
              <w:t>Macrophage</w:t>
            </w:r>
          </w:p>
        </w:tc>
        <w:tc>
          <w:tcPr>
            <w:tcW w:w="2717" w:type="dxa"/>
            <w:tcBorders>
              <w:bottom w:val="single" w:color="000000" w:sz="6" w:space="0"/>
            </w:tcBorders>
          </w:tcPr>
          <w:p w14:paraId="393362D3">
            <w:pPr>
              <w:pStyle w:val="10"/>
              <w:ind w:right="117"/>
            </w:pPr>
            <w:r>
              <w:rPr>
                <w:spacing w:val="-2"/>
              </w:rPr>
              <w:t>0.999</w:t>
            </w:r>
          </w:p>
        </w:tc>
      </w:tr>
      <w:tr w14:paraId="2B0CE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6442" w:type="dxa"/>
            <w:tcBorders>
              <w:top w:val="single" w:color="000000" w:sz="6" w:space="0"/>
              <w:bottom w:val="single" w:color="000000" w:sz="8" w:space="0"/>
            </w:tcBorders>
          </w:tcPr>
          <w:p w14:paraId="61EFF140">
            <w:pPr>
              <w:pStyle w:val="10"/>
              <w:spacing w:before="39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2"/>
                <w:w w:val="120"/>
              </w:rPr>
              <w:t>Average</w:t>
            </w:r>
          </w:p>
        </w:tc>
        <w:tc>
          <w:tcPr>
            <w:tcW w:w="2717" w:type="dxa"/>
            <w:tcBorders>
              <w:top w:val="single" w:color="000000" w:sz="6" w:space="0"/>
              <w:bottom w:val="single" w:color="000000" w:sz="8" w:space="0"/>
            </w:tcBorders>
          </w:tcPr>
          <w:p w14:paraId="7666CEA2">
            <w:pPr>
              <w:pStyle w:val="10"/>
              <w:spacing w:before="39" w:line="240" w:lineRule="auto"/>
              <w:ind w:right="117"/>
              <w:rPr>
                <w:b/>
              </w:rPr>
            </w:pPr>
            <w:r>
              <w:rPr>
                <w:b/>
                <w:spacing w:val="-4"/>
                <w:w w:val="115"/>
              </w:rPr>
              <w:t>0.985</w:t>
            </w:r>
          </w:p>
        </w:tc>
      </w:tr>
    </w:tbl>
    <w:p w14:paraId="3A282FB7">
      <w:pPr>
        <w:pStyle w:val="3"/>
        <w:spacing w:line="232" w:lineRule="auto"/>
        <w:ind w:left="142" w:right="563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  <w:rsid w:val="27DA216D"/>
    <w:rsid w:val="2BEE4BA1"/>
    <w:rsid w:val="48D92391"/>
    <w:rsid w:val="755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73CBBFD2422E42E1A3E01F84D277BF74_13</vt:lpwstr>
  </property>
</Properties>
</file>