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27114">
      <w:pPr>
        <w:spacing w:before="44" w:line="242" w:lineRule="auto"/>
        <w:ind w:left="142" w:right="564"/>
        <w:jc w:val="both"/>
      </w:pPr>
      <w:r>
        <w:rPr>
          <w:b/>
          <w:w w:val="105"/>
        </w:rPr>
        <w:t>Table S4.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Proportions of spermatogonial subpopulation states in reproductive and non-reproductive stages, including undifferentiated/SSC-like, early differentiating, differentiation-committed, and pre-meiotic states.</w:t>
      </w:r>
    </w:p>
    <w:p w14:paraId="5C4EAD09">
      <w:pPr>
        <w:pStyle w:val="3"/>
        <w:spacing w:before="7"/>
        <w:rPr>
          <w:sz w:val="18"/>
        </w:rPr>
      </w:pPr>
    </w:p>
    <w:tbl>
      <w:tblPr>
        <w:tblStyle w:val="8"/>
        <w:tblpPr w:leftFromText="180" w:rightFromText="180" w:vertAnchor="text" w:horzAnchor="page" w:tblpX="1381" w:tblpY="226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6"/>
        <w:gridCol w:w="3256"/>
        <w:gridCol w:w="2387"/>
      </w:tblGrid>
      <w:tr w14:paraId="39B9B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356" w:type="dxa"/>
            <w:tcBorders>
              <w:top w:val="single" w:color="000000" w:sz="8" w:space="0"/>
              <w:bottom w:val="single" w:color="000000" w:sz="6" w:space="0"/>
            </w:tcBorders>
          </w:tcPr>
          <w:p w14:paraId="206B26C1">
            <w:pPr>
              <w:pStyle w:val="10"/>
              <w:spacing w:before="40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4"/>
                <w:w w:val="120"/>
              </w:rPr>
              <w:t>State</w:t>
            </w:r>
          </w:p>
        </w:tc>
        <w:tc>
          <w:tcPr>
            <w:tcW w:w="3256" w:type="dxa"/>
            <w:tcBorders>
              <w:top w:val="single" w:color="000000" w:sz="8" w:space="0"/>
              <w:bottom w:val="single" w:color="000000" w:sz="6" w:space="0"/>
            </w:tcBorders>
          </w:tcPr>
          <w:p w14:paraId="3246D007">
            <w:pPr>
              <w:pStyle w:val="10"/>
              <w:spacing w:before="40" w:line="240" w:lineRule="auto"/>
              <w:ind w:right="118"/>
              <w:rPr>
                <w:b/>
              </w:rPr>
            </w:pPr>
            <w:r>
              <w:rPr>
                <w:b/>
                <w:w w:val="120"/>
              </w:rPr>
              <w:t>Non-Reproductive</w:t>
            </w:r>
            <w:r>
              <w:rPr>
                <w:b/>
                <w:spacing w:val="24"/>
                <w:w w:val="120"/>
              </w:rPr>
              <w:t xml:space="preserve"> </w:t>
            </w:r>
            <w:r>
              <w:rPr>
                <w:b/>
                <w:spacing w:val="-5"/>
                <w:w w:val="120"/>
              </w:rPr>
              <w:t>(%)</w:t>
            </w:r>
          </w:p>
        </w:tc>
        <w:tc>
          <w:tcPr>
            <w:tcW w:w="2387" w:type="dxa"/>
            <w:tcBorders>
              <w:top w:val="single" w:color="000000" w:sz="8" w:space="0"/>
              <w:bottom w:val="single" w:color="000000" w:sz="6" w:space="0"/>
            </w:tcBorders>
          </w:tcPr>
          <w:p w14:paraId="4DB66CF8">
            <w:pPr>
              <w:pStyle w:val="10"/>
              <w:spacing w:before="40" w:line="240" w:lineRule="auto"/>
              <w:ind w:right="119"/>
              <w:rPr>
                <w:b/>
              </w:rPr>
            </w:pPr>
            <w:r>
              <w:rPr>
                <w:b/>
                <w:w w:val="120"/>
              </w:rPr>
              <w:t>Reproductive</w:t>
            </w:r>
            <w:r>
              <w:rPr>
                <w:b/>
                <w:spacing w:val="20"/>
                <w:w w:val="130"/>
              </w:rPr>
              <w:t xml:space="preserve"> </w:t>
            </w:r>
            <w:r>
              <w:rPr>
                <w:b/>
                <w:spacing w:val="-5"/>
                <w:w w:val="130"/>
              </w:rPr>
              <w:t>(%)</w:t>
            </w:r>
          </w:p>
        </w:tc>
      </w:tr>
      <w:tr w14:paraId="03BD1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56" w:type="dxa"/>
            <w:tcBorders>
              <w:top w:val="single" w:color="000000" w:sz="6" w:space="0"/>
            </w:tcBorders>
          </w:tcPr>
          <w:p w14:paraId="4F26C9B8">
            <w:pPr>
              <w:pStyle w:val="10"/>
              <w:spacing w:before="39" w:line="240" w:lineRule="auto"/>
              <w:ind w:left="119"/>
              <w:jc w:val="left"/>
            </w:pPr>
            <w:r>
              <w:rPr>
                <w:spacing w:val="-2"/>
                <w:w w:val="110"/>
              </w:rPr>
              <w:t>Undifferentiated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/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SSC-</w:t>
            </w:r>
            <w:r>
              <w:rPr>
                <w:spacing w:val="-4"/>
                <w:w w:val="110"/>
              </w:rPr>
              <w:t>like</w:t>
            </w:r>
          </w:p>
        </w:tc>
        <w:tc>
          <w:tcPr>
            <w:tcW w:w="3256" w:type="dxa"/>
            <w:tcBorders>
              <w:top w:val="single" w:color="000000" w:sz="6" w:space="0"/>
            </w:tcBorders>
          </w:tcPr>
          <w:p w14:paraId="1BD2FE9F">
            <w:pPr>
              <w:pStyle w:val="10"/>
              <w:spacing w:before="39" w:line="240" w:lineRule="auto"/>
              <w:ind w:right="117"/>
            </w:pPr>
            <w:r>
              <w:rPr>
                <w:spacing w:val="-4"/>
              </w:rPr>
              <w:t>4.49</w:t>
            </w:r>
          </w:p>
        </w:tc>
        <w:tc>
          <w:tcPr>
            <w:tcW w:w="2387" w:type="dxa"/>
            <w:tcBorders>
              <w:top w:val="single" w:color="000000" w:sz="6" w:space="0"/>
            </w:tcBorders>
          </w:tcPr>
          <w:p w14:paraId="54DFA7E7">
            <w:pPr>
              <w:pStyle w:val="10"/>
              <w:spacing w:before="39" w:line="240" w:lineRule="auto"/>
              <w:ind w:right="118"/>
            </w:pPr>
            <w:r>
              <w:rPr>
                <w:spacing w:val="-2"/>
              </w:rPr>
              <w:t>32.65</w:t>
            </w:r>
          </w:p>
        </w:tc>
      </w:tr>
      <w:tr w14:paraId="7E250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356" w:type="dxa"/>
          </w:tcPr>
          <w:p w14:paraId="6FE362D3">
            <w:pPr>
              <w:pStyle w:val="10"/>
              <w:ind w:left="119"/>
              <w:jc w:val="left"/>
            </w:pPr>
            <w:r>
              <w:rPr>
                <w:w w:val="110"/>
              </w:rPr>
              <w:t>Early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Differentiating</w:t>
            </w:r>
          </w:p>
        </w:tc>
        <w:tc>
          <w:tcPr>
            <w:tcW w:w="3256" w:type="dxa"/>
          </w:tcPr>
          <w:p w14:paraId="5AEA4FA0">
            <w:pPr>
              <w:pStyle w:val="10"/>
              <w:ind w:right="119"/>
            </w:pPr>
            <w:r>
              <w:rPr>
                <w:spacing w:val="-2"/>
              </w:rPr>
              <w:t>50.58</w:t>
            </w:r>
          </w:p>
        </w:tc>
        <w:tc>
          <w:tcPr>
            <w:tcW w:w="2387" w:type="dxa"/>
          </w:tcPr>
          <w:p w14:paraId="07E579AF">
            <w:pPr>
              <w:pStyle w:val="10"/>
              <w:ind w:right="119"/>
            </w:pPr>
            <w:r>
              <w:rPr>
                <w:spacing w:val="-2"/>
              </w:rPr>
              <w:t>14.67</w:t>
            </w:r>
          </w:p>
        </w:tc>
      </w:tr>
      <w:tr w14:paraId="1CEDBC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356" w:type="dxa"/>
          </w:tcPr>
          <w:p w14:paraId="530DED81">
            <w:pPr>
              <w:pStyle w:val="10"/>
              <w:ind w:left="119"/>
              <w:jc w:val="left"/>
            </w:pPr>
            <w:r>
              <w:t>Differentiation-</w:t>
            </w:r>
            <w:r>
              <w:rPr>
                <w:spacing w:val="-2"/>
              </w:rPr>
              <w:t>Committed</w:t>
            </w:r>
          </w:p>
        </w:tc>
        <w:tc>
          <w:tcPr>
            <w:tcW w:w="3256" w:type="dxa"/>
          </w:tcPr>
          <w:p w14:paraId="0A1609CE">
            <w:pPr>
              <w:pStyle w:val="10"/>
              <w:ind w:right="117"/>
            </w:pPr>
            <w:r>
              <w:rPr>
                <w:spacing w:val="-2"/>
              </w:rPr>
              <w:t>44.93</w:t>
            </w:r>
          </w:p>
        </w:tc>
        <w:tc>
          <w:tcPr>
            <w:tcW w:w="2387" w:type="dxa"/>
          </w:tcPr>
          <w:p w14:paraId="398991A4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</w:tr>
      <w:tr w14:paraId="023E5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356" w:type="dxa"/>
            <w:tcBorders>
              <w:bottom w:val="single" w:color="000000" w:sz="6" w:space="0"/>
            </w:tcBorders>
          </w:tcPr>
          <w:p w14:paraId="1FB55C0B">
            <w:pPr>
              <w:pStyle w:val="10"/>
              <w:ind w:left="119"/>
              <w:jc w:val="left"/>
            </w:pPr>
            <w:r>
              <w:rPr>
                <w:w w:val="105"/>
              </w:rPr>
              <w:t>Pre-</w:t>
            </w:r>
            <w:r>
              <w:rPr>
                <w:spacing w:val="-2"/>
                <w:w w:val="105"/>
              </w:rPr>
              <w:t>Meiotic</w:t>
            </w:r>
          </w:p>
        </w:tc>
        <w:tc>
          <w:tcPr>
            <w:tcW w:w="3256" w:type="dxa"/>
            <w:tcBorders>
              <w:bottom w:val="single" w:color="000000" w:sz="6" w:space="0"/>
            </w:tcBorders>
          </w:tcPr>
          <w:p w14:paraId="325F2670">
            <w:pPr>
              <w:pStyle w:val="10"/>
              <w:ind w:right="118"/>
            </w:pPr>
            <w:r>
              <w:rPr>
                <w:spacing w:val="-10"/>
              </w:rPr>
              <w:t>0</w:t>
            </w:r>
          </w:p>
        </w:tc>
        <w:tc>
          <w:tcPr>
            <w:tcW w:w="2387" w:type="dxa"/>
            <w:tcBorders>
              <w:bottom w:val="single" w:color="000000" w:sz="6" w:space="0"/>
            </w:tcBorders>
          </w:tcPr>
          <w:p w14:paraId="1C68594A">
            <w:pPr>
              <w:pStyle w:val="10"/>
              <w:ind w:right="119"/>
            </w:pPr>
            <w:r>
              <w:rPr>
                <w:spacing w:val="-2"/>
              </w:rPr>
              <w:t>52.68</w:t>
            </w:r>
          </w:p>
        </w:tc>
      </w:tr>
      <w:tr w14:paraId="0CF9C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356" w:type="dxa"/>
            <w:tcBorders>
              <w:top w:val="single" w:color="000000" w:sz="6" w:space="0"/>
              <w:bottom w:val="single" w:color="000000" w:sz="8" w:space="0"/>
            </w:tcBorders>
          </w:tcPr>
          <w:p w14:paraId="4D18512E">
            <w:pPr>
              <w:pStyle w:val="10"/>
              <w:spacing w:before="39" w:line="240" w:lineRule="auto"/>
              <w:ind w:left="119"/>
              <w:jc w:val="left"/>
              <w:rPr>
                <w:b/>
              </w:rPr>
            </w:pPr>
            <w:r>
              <w:rPr>
                <w:b/>
                <w:spacing w:val="-2"/>
                <w:w w:val="125"/>
              </w:rPr>
              <w:t>Total</w:t>
            </w:r>
          </w:p>
        </w:tc>
        <w:tc>
          <w:tcPr>
            <w:tcW w:w="3256" w:type="dxa"/>
            <w:tcBorders>
              <w:top w:val="single" w:color="000000" w:sz="6" w:space="0"/>
              <w:bottom w:val="single" w:color="000000" w:sz="8" w:space="0"/>
            </w:tcBorders>
          </w:tcPr>
          <w:p w14:paraId="1421A8BB">
            <w:pPr>
              <w:pStyle w:val="10"/>
              <w:spacing w:before="39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15"/>
              </w:rPr>
              <w:t>100.00</w:t>
            </w:r>
          </w:p>
        </w:tc>
        <w:tc>
          <w:tcPr>
            <w:tcW w:w="2387" w:type="dxa"/>
            <w:tcBorders>
              <w:top w:val="single" w:color="000000" w:sz="6" w:space="0"/>
              <w:bottom w:val="single" w:color="000000" w:sz="8" w:space="0"/>
            </w:tcBorders>
          </w:tcPr>
          <w:p w14:paraId="3F397AFB">
            <w:pPr>
              <w:pStyle w:val="10"/>
              <w:spacing w:before="39" w:line="240" w:lineRule="auto"/>
              <w:ind w:right="118"/>
              <w:rPr>
                <w:b/>
              </w:rPr>
            </w:pPr>
            <w:r>
              <w:rPr>
                <w:b/>
                <w:spacing w:val="-2"/>
                <w:w w:val="115"/>
              </w:rPr>
              <w:t>100.00</w:t>
            </w:r>
          </w:p>
        </w:tc>
      </w:tr>
    </w:tbl>
    <w:p w14:paraId="3A0203D5">
      <w:pPr>
        <w:pStyle w:val="3"/>
        <w:spacing w:line="232" w:lineRule="auto"/>
        <w:ind w:left="142" w:right="563"/>
        <w:jc w:val="both"/>
      </w:pP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6192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7216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6192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  <w:rsid w:val="27DA216D"/>
    <w:rsid w:val="2BEE4BA1"/>
    <w:rsid w:val="3A7641F6"/>
    <w:rsid w:val="48D92391"/>
    <w:rsid w:val="755D199D"/>
    <w:rsid w:val="7873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2026-08-28T07:32:39Z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A450C546731440B9B493BE5CEA61693F_13</vt:lpwstr>
  </property>
</Properties>
</file>