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7BE52">
      <w:pPr>
        <w:spacing w:before="44"/>
        <w:ind w:left="142"/>
      </w:pPr>
      <w:r>
        <w:rPr>
          <w:b/>
          <w:w w:val="105"/>
        </w:rPr>
        <w:t>Table</w:t>
      </w:r>
      <w:r>
        <w:rPr>
          <w:b/>
          <w:spacing w:val="19"/>
          <w:w w:val="105"/>
        </w:rPr>
        <w:t xml:space="preserve"> </w:t>
      </w:r>
      <w:r>
        <w:rPr>
          <w:b/>
          <w:w w:val="105"/>
        </w:rPr>
        <w:t>S1.</w:t>
      </w:r>
      <w:r>
        <w:rPr>
          <w:b/>
          <w:spacing w:val="38"/>
          <w:w w:val="105"/>
        </w:rPr>
        <w:t xml:space="preserve"> </w:t>
      </w:r>
      <w:r>
        <w:rPr>
          <w:w w:val="105"/>
        </w:rPr>
        <w:t>Representative</w:t>
      </w:r>
      <w:r>
        <w:rPr>
          <w:spacing w:val="12"/>
          <w:w w:val="105"/>
        </w:rPr>
        <w:t xml:space="preserve"> </w:t>
      </w:r>
      <w:r>
        <w:rPr>
          <w:w w:val="105"/>
        </w:rPr>
        <w:t>marker</w:t>
      </w:r>
      <w:r>
        <w:rPr>
          <w:spacing w:val="11"/>
          <w:w w:val="105"/>
        </w:rPr>
        <w:t xml:space="preserve"> </w:t>
      </w:r>
      <w:r>
        <w:rPr>
          <w:w w:val="105"/>
        </w:rPr>
        <w:t>genes</w:t>
      </w:r>
      <w:r>
        <w:rPr>
          <w:spacing w:val="11"/>
          <w:w w:val="105"/>
        </w:rPr>
        <w:t xml:space="preserve"> </w:t>
      </w:r>
      <w:r>
        <w:rPr>
          <w:w w:val="105"/>
        </w:rPr>
        <w:t>and</w:t>
      </w:r>
      <w:r>
        <w:rPr>
          <w:spacing w:val="11"/>
          <w:w w:val="105"/>
        </w:rPr>
        <w:t xml:space="preserve"> </w:t>
      </w:r>
      <w:r>
        <w:rPr>
          <w:w w:val="105"/>
        </w:rPr>
        <w:t>functional</w:t>
      </w:r>
      <w:r>
        <w:rPr>
          <w:spacing w:val="11"/>
          <w:w w:val="105"/>
        </w:rPr>
        <w:t xml:space="preserve"> </w:t>
      </w:r>
      <w:r>
        <w:rPr>
          <w:w w:val="105"/>
        </w:rPr>
        <w:t>descriptions</w:t>
      </w:r>
      <w:r>
        <w:rPr>
          <w:spacing w:val="11"/>
          <w:w w:val="105"/>
        </w:rPr>
        <w:t xml:space="preserve"> </w:t>
      </w:r>
      <w:r>
        <w:rPr>
          <w:w w:val="105"/>
        </w:rPr>
        <w:t>for</w:t>
      </w:r>
      <w:r>
        <w:rPr>
          <w:spacing w:val="12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12</w:t>
      </w:r>
      <w:r>
        <w:rPr>
          <w:spacing w:val="11"/>
          <w:w w:val="105"/>
        </w:rPr>
        <w:t xml:space="preserve"> </w:t>
      </w:r>
      <w:r>
        <w:rPr>
          <w:w w:val="105"/>
        </w:rPr>
        <w:t>major</w:t>
      </w:r>
      <w:r>
        <w:rPr>
          <w:spacing w:val="11"/>
          <w:w w:val="105"/>
        </w:rPr>
        <w:t xml:space="preserve"> </w:t>
      </w:r>
      <w:r>
        <w:rPr>
          <w:w w:val="105"/>
        </w:rPr>
        <w:t>cell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types.</w:t>
      </w:r>
    </w:p>
    <w:p w14:paraId="37CAC1A0">
      <w:pPr>
        <w:pStyle w:val="3"/>
        <w:spacing w:before="6"/>
        <w:rPr>
          <w:sz w:val="18"/>
        </w:rPr>
      </w:pPr>
    </w:p>
    <w:p w14:paraId="7AA763D5">
      <w:pPr>
        <w:pStyle w:val="3"/>
        <w:rPr>
          <w:sz w:val="18"/>
        </w:rPr>
        <w:sectPr>
          <w:pgSz w:w="11910" w:h="16840"/>
          <w:pgMar w:top="1340" w:right="850" w:bottom="980" w:left="1275" w:header="706" w:footer="783" w:gutter="0"/>
          <w:cols w:space="720" w:num="1"/>
        </w:sectPr>
      </w:pPr>
    </w:p>
    <w:p w14:paraId="04986F4C">
      <w:pPr>
        <w:pStyle w:val="2"/>
        <w:tabs>
          <w:tab w:val="left" w:pos="2655"/>
        </w:tabs>
        <w:spacing w:line="242" w:lineRule="auto"/>
        <w:ind w:left="2655" w:right="38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2540</wp:posOffset>
                </wp:positionV>
                <wp:extent cx="6143625" cy="1270"/>
                <wp:effectExtent l="0" t="0" r="0" b="0"/>
                <wp:wrapNone/>
                <wp:docPr id="38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3625">
                              <a:moveTo>
                                <a:pt x="0" y="0"/>
                              </a:moveTo>
                              <a:lnTo>
                                <a:pt x="6143498" y="0"/>
                              </a:lnTo>
                            </a:path>
                          </a:pathLst>
                        </a:custGeom>
                        <a:ln w="110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o:spt="100" style="position:absolute;left:0pt;margin-left:70.85pt;margin-top:0.2pt;height:0.1pt;width:483.75pt;mso-position-horizontal-relative:page;z-index:251659264;mso-width-relative:page;mso-height-relative:page;" filled="f" stroked="t" coordsize="6143625,1" o:gfxdata="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9te+nSAAAABgEAAA8AAAAAAAAA&#10;AQAgAAAAIgAAAGRycy9kb3ducmV2LnhtbFBLAQIUABQAAAAIAIdO4kBNV+ofFwIAAH0EAAAOAAAA&#10;AAAAAAEAIAAAACEBAABkcnMvZTJvRG9jLnhtbFBLBQYAAAAABgAGAFkBAACqBQAAAAA=&#10;" path="m0,0l6143498,0e">
                <v:fill on="f" focussize="0,0"/>
                <v:stroke weight="0.872992125984252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418465</wp:posOffset>
                </wp:positionV>
                <wp:extent cx="6143625" cy="1270"/>
                <wp:effectExtent l="0" t="0" r="0" b="0"/>
                <wp:wrapNone/>
                <wp:docPr id="39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3625">
                              <a:moveTo>
                                <a:pt x="0" y="0"/>
                              </a:moveTo>
                              <a:lnTo>
                                <a:pt x="6143498" y="0"/>
                              </a:lnTo>
                            </a:path>
                          </a:pathLst>
                        </a:custGeom>
                        <a:ln w="69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o:spt="100" style="position:absolute;left:0pt;margin-left:70.85pt;margin-top:32.95pt;height:0.1pt;width:483.75pt;mso-position-horizontal-relative:page;z-index:251659264;mso-width-relative:page;mso-height-relative:page;" filled="f" stroked="t" coordsize="6143625,1" o:gfxdata="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GNwnTDZAAAACgEAAA8A&#10;AAAAAAAAAQAgAAAAIgAAAGRycy9kb3ducmV2LnhtbFBLAQIUABQAAAAIAIdO4kDusAa2FgIAAHwE&#10;AAAOAAAAAAAAAAEAIAAAACgBAABkcnMvZTJvRG9jLnhtbFBLBQYAAAAABgAGAFkBAACwBQAAAAA=&#10;" path="m0,0l6143498,0e">
                <v:fill on="f" focussize="0,0"/>
                <v:stroke weight="0.54496062992126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w w:val="120"/>
        </w:rPr>
        <w:t>Cell Type</w:t>
      </w:r>
      <w:r>
        <w:tab/>
      </w:r>
      <w:r>
        <w:rPr>
          <w:spacing w:val="-2"/>
          <w:w w:val="120"/>
        </w:rPr>
        <w:t>Representative</w:t>
      </w:r>
      <w:r>
        <w:rPr>
          <w:spacing w:val="-5"/>
          <w:w w:val="120"/>
        </w:rPr>
        <w:t xml:space="preserve"> </w:t>
      </w:r>
      <w:r>
        <w:rPr>
          <w:spacing w:val="-2"/>
          <w:w w:val="120"/>
        </w:rPr>
        <w:t>Marker Genes</w:t>
      </w:r>
    </w:p>
    <w:p w14:paraId="3F3E5044">
      <w:pPr>
        <w:spacing w:before="54"/>
        <w:ind w:left="261"/>
        <w:rPr>
          <w:b/>
        </w:rPr>
      </w:pPr>
      <w:r>
        <w:br w:type="column"/>
      </w:r>
      <w:r>
        <w:rPr>
          <w:b/>
          <w:w w:val="120"/>
        </w:rPr>
        <w:t>Functional</w:t>
      </w:r>
      <w:r>
        <w:rPr>
          <w:b/>
          <w:spacing w:val="20"/>
          <w:w w:val="120"/>
        </w:rPr>
        <w:t xml:space="preserve"> </w:t>
      </w:r>
      <w:r>
        <w:rPr>
          <w:b/>
          <w:spacing w:val="-2"/>
          <w:w w:val="120"/>
        </w:rPr>
        <w:t>Description</w:t>
      </w:r>
    </w:p>
    <w:p w14:paraId="61B62C89">
      <w:pPr>
        <w:rPr>
          <w:b/>
        </w:rPr>
        <w:sectPr>
          <w:type w:val="continuous"/>
          <w:pgSz w:w="11910" w:h="16840"/>
          <w:pgMar w:top="1920" w:right="850" w:bottom="280" w:left="1275" w:header="706" w:footer="783" w:gutter="0"/>
          <w:cols w:equalWidth="0" w:num="2">
            <w:col w:w="5223" w:space="358"/>
            <w:col w:w="4204"/>
          </w:cols>
        </w:sectPr>
      </w:pPr>
    </w:p>
    <w:p w14:paraId="1397ACDD">
      <w:pPr>
        <w:tabs>
          <w:tab w:val="left" w:pos="2654"/>
          <w:tab w:val="left" w:pos="5841"/>
        </w:tabs>
        <w:spacing w:before="109"/>
        <w:ind w:left="261"/>
      </w:pPr>
      <w:r>
        <w:rPr>
          <w:spacing w:val="-2"/>
          <w:w w:val="110"/>
        </w:rPr>
        <w:t>Spermatogonia</w:t>
      </w:r>
      <w:r>
        <w:tab/>
      </w:r>
      <w:r>
        <w:rPr>
          <w:i/>
          <w:w w:val="110"/>
        </w:rPr>
        <w:t>MOV10L1</w:t>
      </w:r>
      <w:r>
        <w:rPr>
          <w:w w:val="110"/>
        </w:rPr>
        <w:t>,</w:t>
      </w:r>
      <w:r>
        <w:rPr>
          <w:spacing w:val="44"/>
          <w:w w:val="110"/>
        </w:rPr>
        <w:t xml:space="preserve"> </w:t>
      </w:r>
      <w:r>
        <w:rPr>
          <w:i/>
          <w:w w:val="110"/>
        </w:rPr>
        <w:t>RNF17</w:t>
      </w:r>
      <w:r>
        <w:rPr>
          <w:w w:val="110"/>
        </w:rPr>
        <w:t>,</w:t>
      </w:r>
      <w:r>
        <w:rPr>
          <w:spacing w:val="45"/>
          <w:w w:val="110"/>
        </w:rPr>
        <w:t xml:space="preserve"> </w:t>
      </w:r>
      <w:r>
        <w:rPr>
          <w:i/>
          <w:spacing w:val="-2"/>
          <w:w w:val="110"/>
        </w:rPr>
        <w:t>TEX101</w:t>
      </w:r>
      <w:r>
        <w:rPr>
          <w:i/>
        </w:rPr>
        <w:tab/>
      </w:r>
      <w:r>
        <w:rPr>
          <w:w w:val="110"/>
        </w:rPr>
        <w:t>Key</w:t>
      </w:r>
      <w:r>
        <w:rPr>
          <w:spacing w:val="9"/>
          <w:w w:val="110"/>
        </w:rPr>
        <w:t xml:space="preserve"> </w:t>
      </w:r>
      <w:r>
        <w:rPr>
          <w:w w:val="110"/>
        </w:rPr>
        <w:t>piRNA</w:t>
      </w:r>
      <w:r>
        <w:rPr>
          <w:spacing w:val="8"/>
          <w:w w:val="110"/>
        </w:rPr>
        <w:t xml:space="preserve"> </w:t>
      </w:r>
      <w:r>
        <w:rPr>
          <w:w w:val="110"/>
        </w:rPr>
        <w:t>pathway</w:t>
      </w:r>
      <w:r>
        <w:rPr>
          <w:spacing w:val="9"/>
          <w:w w:val="110"/>
        </w:rPr>
        <w:t xml:space="preserve"> </w:t>
      </w:r>
      <w:r>
        <w:rPr>
          <w:w w:val="110"/>
        </w:rPr>
        <w:t>proteins</w:t>
      </w:r>
      <w:r>
        <w:rPr>
          <w:spacing w:val="10"/>
          <w:w w:val="110"/>
        </w:rPr>
        <w:t xml:space="preserve"> </w:t>
      </w:r>
      <w:r>
        <w:rPr>
          <w:spacing w:val="-4"/>
          <w:w w:val="110"/>
        </w:rPr>
        <w:t>that</w:t>
      </w:r>
    </w:p>
    <w:p w14:paraId="5BC9EA30">
      <w:pPr>
        <w:spacing w:before="3" w:line="242" w:lineRule="auto"/>
        <w:ind w:left="5842" w:right="517"/>
      </w:pPr>
      <w:r>
        <w:rPr>
          <w:w w:val="105"/>
        </w:rPr>
        <w:t>regulate transposon silencing; spermatogonia-specific E3 ubiquitin ligase involved in spermatogenesis.</w:t>
      </w:r>
    </w:p>
    <w:p w14:paraId="57D04491">
      <w:pPr>
        <w:spacing w:line="242" w:lineRule="auto"/>
        <w:sectPr>
          <w:type w:val="continuous"/>
          <w:pgSz w:w="11910" w:h="16840"/>
          <w:pgMar w:top="1920" w:right="850" w:bottom="280" w:left="1275" w:header="706" w:footer="783" w:gutter="0"/>
          <w:cols w:space="720" w:num="1"/>
        </w:sectPr>
      </w:pPr>
    </w:p>
    <w:p w14:paraId="3FBEDC19">
      <w:pPr>
        <w:spacing w:line="242" w:lineRule="auto"/>
        <w:ind w:left="261"/>
      </w:pPr>
      <w:r>
        <w:rPr>
          <w:w w:val="110"/>
        </w:rPr>
        <w:t xml:space="preserve">Early Primary </w:t>
      </w:r>
      <w:r>
        <w:rPr>
          <w:spacing w:val="-2"/>
        </w:rPr>
        <w:t>Spermatocyte</w:t>
      </w:r>
    </w:p>
    <w:p w14:paraId="763E6669">
      <w:pPr>
        <w:pStyle w:val="3"/>
        <w:rPr>
          <w:sz w:val="22"/>
        </w:rPr>
      </w:pPr>
    </w:p>
    <w:p w14:paraId="5253FE32">
      <w:pPr>
        <w:pStyle w:val="3"/>
        <w:spacing w:before="3"/>
        <w:rPr>
          <w:sz w:val="22"/>
        </w:rPr>
      </w:pPr>
    </w:p>
    <w:p w14:paraId="1DE4684F">
      <w:pPr>
        <w:spacing w:line="242" w:lineRule="auto"/>
        <w:ind w:left="261"/>
      </w:pPr>
      <w:r>
        <w:rPr>
          <w:w w:val="110"/>
        </w:rPr>
        <w:t xml:space="preserve">Late Primary </w:t>
      </w:r>
      <w:r>
        <w:rPr>
          <w:spacing w:val="-2"/>
        </w:rPr>
        <w:t>Spermatocyte</w:t>
      </w:r>
    </w:p>
    <w:p w14:paraId="0C2AA605">
      <w:pPr>
        <w:tabs>
          <w:tab w:val="left" w:pos="3448"/>
        </w:tabs>
        <w:spacing w:line="268" w:lineRule="exact"/>
        <w:ind w:left="261"/>
      </w:pPr>
      <w:r>
        <w:br w:type="column"/>
      </w:r>
      <w:r>
        <w:rPr>
          <w:i/>
          <w:w w:val="110"/>
        </w:rPr>
        <w:t>POLA1</w:t>
      </w:r>
      <w:r>
        <w:rPr>
          <w:w w:val="110"/>
        </w:rPr>
        <w:t>,</w:t>
      </w:r>
      <w:r>
        <w:rPr>
          <w:spacing w:val="64"/>
          <w:w w:val="110"/>
        </w:rPr>
        <w:t xml:space="preserve"> </w:t>
      </w:r>
      <w:r>
        <w:rPr>
          <w:i/>
          <w:w w:val="110"/>
        </w:rPr>
        <w:t>NAV2</w:t>
      </w:r>
      <w:r>
        <w:rPr>
          <w:w w:val="110"/>
        </w:rPr>
        <w:t>,</w:t>
      </w:r>
      <w:r>
        <w:rPr>
          <w:spacing w:val="64"/>
          <w:w w:val="110"/>
        </w:rPr>
        <w:t xml:space="preserve"> </w:t>
      </w:r>
      <w:r>
        <w:rPr>
          <w:i/>
          <w:spacing w:val="-2"/>
          <w:w w:val="110"/>
        </w:rPr>
        <w:t>MACROD2</w:t>
      </w:r>
      <w:r>
        <w:rPr>
          <w:i/>
        </w:rPr>
        <w:tab/>
      </w:r>
      <w:r>
        <w:rPr>
          <w:w w:val="105"/>
        </w:rPr>
        <w:t>DNA</w:t>
      </w:r>
      <w:r>
        <w:rPr>
          <w:spacing w:val="23"/>
          <w:w w:val="105"/>
        </w:rPr>
        <w:t xml:space="preserve"> </w:t>
      </w:r>
      <w:r>
        <w:rPr>
          <w:w w:val="105"/>
        </w:rPr>
        <w:t>polymerase</w:t>
      </w:r>
      <w:r>
        <w:rPr>
          <w:spacing w:val="24"/>
          <w:w w:val="105"/>
        </w:rPr>
        <w:t xml:space="preserve"> </w:t>
      </w:r>
      <w:r>
        <w:rPr>
          <w:w w:val="105"/>
        </w:rPr>
        <w:t>highly</w:t>
      </w:r>
      <w:r>
        <w:rPr>
          <w:spacing w:val="25"/>
          <w:w w:val="105"/>
        </w:rPr>
        <w:t xml:space="preserve"> </w:t>
      </w:r>
      <w:r>
        <w:rPr>
          <w:w w:val="105"/>
        </w:rPr>
        <w:t>expressed</w:t>
      </w:r>
      <w:r>
        <w:rPr>
          <w:spacing w:val="24"/>
          <w:w w:val="105"/>
        </w:rPr>
        <w:t xml:space="preserve"> </w:t>
      </w:r>
      <w:r>
        <w:rPr>
          <w:w w:val="105"/>
        </w:rPr>
        <w:t>in</w:t>
      </w:r>
      <w:r>
        <w:rPr>
          <w:spacing w:val="24"/>
          <w:w w:val="105"/>
        </w:rPr>
        <w:t xml:space="preserve"> </w:t>
      </w:r>
      <w:r>
        <w:rPr>
          <w:spacing w:val="-10"/>
          <w:w w:val="105"/>
        </w:rPr>
        <w:t>S</w:t>
      </w:r>
    </w:p>
    <w:p w14:paraId="7A61DA0C">
      <w:pPr>
        <w:spacing w:before="2" w:line="242" w:lineRule="auto"/>
        <w:ind w:left="3448" w:right="159"/>
      </w:pPr>
      <w:r>
        <w:rPr>
          <w:w w:val="105"/>
        </w:rPr>
        <w:t>phase, marking the initiation of early meiosis; neural navigation protein assists in cell migration.</w:t>
      </w:r>
    </w:p>
    <w:p w14:paraId="1FAA74FE">
      <w:pPr>
        <w:tabs>
          <w:tab w:val="left" w:pos="3448"/>
        </w:tabs>
        <w:spacing w:line="268" w:lineRule="exact"/>
        <w:ind w:left="261"/>
      </w:pPr>
      <w:r>
        <w:rPr>
          <w:i/>
          <w:spacing w:val="4"/>
          <w:w w:val="110"/>
        </w:rPr>
        <w:t>PLCZ1</w:t>
      </w:r>
      <w:r>
        <w:rPr>
          <w:spacing w:val="4"/>
          <w:w w:val="110"/>
        </w:rPr>
        <w:t>,</w:t>
      </w:r>
      <w:r>
        <w:rPr>
          <w:spacing w:val="60"/>
          <w:w w:val="150"/>
        </w:rPr>
        <w:t xml:space="preserve"> </w:t>
      </w:r>
      <w:r>
        <w:rPr>
          <w:i/>
          <w:spacing w:val="4"/>
          <w:w w:val="110"/>
        </w:rPr>
        <w:t>FSIP2</w:t>
      </w:r>
      <w:r>
        <w:rPr>
          <w:spacing w:val="4"/>
          <w:w w:val="110"/>
        </w:rPr>
        <w:t>,</w:t>
      </w:r>
      <w:r>
        <w:rPr>
          <w:spacing w:val="61"/>
          <w:w w:val="150"/>
        </w:rPr>
        <w:t xml:space="preserve"> </w:t>
      </w:r>
      <w:r>
        <w:rPr>
          <w:i/>
          <w:spacing w:val="-4"/>
          <w:w w:val="110"/>
        </w:rPr>
        <w:t>MAGI2</w:t>
      </w:r>
      <w:r>
        <w:rPr>
          <w:i/>
        </w:rPr>
        <w:tab/>
      </w:r>
      <w:r>
        <w:rPr>
          <w:w w:val="105"/>
        </w:rPr>
        <w:t>Sperm-activation-related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proteins;</w:t>
      </w:r>
    </w:p>
    <w:p w14:paraId="5EF532FE">
      <w:pPr>
        <w:spacing w:before="3"/>
        <w:ind w:left="3448"/>
      </w:pPr>
      <w:r>
        <w:rPr>
          <w:w w:val="105"/>
        </w:rPr>
        <w:t>markers</w:t>
      </w:r>
      <w:r>
        <w:rPr>
          <w:spacing w:val="5"/>
          <w:w w:val="105"/>
        </w:rPr>
        <w:t xml:space="preserve"> </w:t>
      </w:r>
      <w:r>
        <w:rPr>
          <w:w w:val="105"/>
        </w:rPr>
        <w:t>of</w:t>
      </w:r>
      <w:r>
        <w:rPr>
          <w:spacing w:val="6"/>
          <w:w w:val="105"/>
        </w:rPr>
        <w:t xml:space="preserve"> </w:t>
      </w:r>
      <w:r>
        <w:rPr>
          <w:w w:val="105"/>
        </w:rPr>
        <w:t>sperm</w:t>
      </w:r>
      <w:r>
        <w:rPr>
          <w:spacing w:val="4"/>
          <w:w w:val="105"/>
        </w:rPr>
        <w:t xml:space="preserve"> </w:t>
      </w:r>
      <w:r>
        <w:rPr>
          <w:w w:val="105"/>
        </w:rPr>
        <w:t>flagellar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structure.</w:t>
      </w:r>
    </w:p>
    <w:p w14:paraId="5CBEF794">
      <w:pPr>
        <w:sectPr>
          <w:type w:val="continuous"/>
          <w:pgSz w:w="11910" w:h="16840"/>
          <w:pgMar w:top="1920" w:right="850" w:bottom="280" w:left="1275" w:header="706" w:footer="783" w:gutter="0"/>
          <w:cols w:equalWidth="0" w:num="2">
            <w:col w:w="1681" w:space="713"/>
            <w:col w:w="7391"/>
          </w:cols>
        </w:sectPr>
      </w:pPr>
    </w:p>
    <w:p w14:paraId="5B5B6D7F">
      <w:pPr>
        <w:tabs>
          <w:tab w:val="left" w:pos="2655"/>
          <w:tab w:val="left" w:pos="5841"/>
        </w:tabs>
        <w:ind w:left="261"/>
      </w:pPr>
      <w:r>
        <w:rPr>
          <w:w w:val="110"/>
        </w:rPr>
        <w:t>Round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Spermatid</w:t>
      </w:r>
      <w:r>
        <w:tab/>
      </w:r>
      <w:r>
        <w:rPr>
          <w:i/>
          <w:w w:val="110"/>
        </w:rPr>
        <w:t>ADAM3</w:t>
      </w:r>
      <w:r>
        <w:rPr>
          <w:w w:val="110"/>
        </w:rPr>
        <w:t>,</w:t>
      </w:r>
      <w:r>
        <w:rPr>
          <w:spacing w:val="44"/>
          <w:w w:val="110"/>
        </w:rPr>
        <w:t xml:space="preserve"> </w:t>
      </w:r>
      <w:r>
        <w:rPr>
          <w:i/>
          <w:w w:val="110"/>
        </w:rPr>
        <w:t>ADAM2</w:t>
      </w:r>
      <w:r>
        <w:rPr>
          <w:w w:val="110"/>
        </w:rPr>
        <w:t>,</w:t>
      </w:r>
      <w:r>
        <w:rPr>
          <w:spacing w:val="45"/>
          <w:w w:val="110"/>
        </w:rPr>
        <w:t xml:space="preserve"> </w:t>
      </w:r>
      <w:r>
        <w:rPr>
          <w:i/>
          <w:spacing w:val="-2"/>
          <w:w w:val="110"/>
        </w:rPr>
        <w:t>PEBP4</w:t>
      </w:r>
      <w:r>
        <w:rPr>
          <w:i/>
        </w:rPr>
        <w:tab/>
      </w:r>
      <w:r>
        <w:rPr>
          <w:w w:val="110"/>
        </w:rPr>
        <w:t>ADAM</w:t>
      </w:r>
      <w:r>
        <w:rPr>
          <w:spacing w:val="10"/>
          <w:w w:val="110"/>
        </w:rPr>
        <w:t xml:space="preserve"> </w:t>
      </w:r>
      <w:r>
        <w:rPr>
          <w:w w:val="110"/>
        </w:rPr>
        <w:t>family</w:t>
      </w:r>
      <w:r>
        <w:rPr>
          <w:spacing w:val="11"/>
          <w:w w:val="110"/>
        </w:rPr>
        <w:t xml:space="preserve"> </w:t>
      </w:r>
      <w:r>
        <w:rPr>
          <w:w w:val="110"/>
        </w:rPr>
        <w:t>proteins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specifically</w:t>
      </w:r>
    </w:p>
    <w:p w14:paraId="075E0ABF">
      <w:pPr>
        <w:spacing w:before="2" w:line="242" w:lineRule="auto"/>
        <w:ind w:left="5842"/>
      </w:pPr>
      <w:r>
        <w:rPr>
          <w:w w:val="105"/>
        </w:rPr>
        <w:t>expressed</w:t>
      </w:r>
      <w:r>
        <w:rPr>
          <w:spacing w:val="-2"/>
          <w:w w:val="105"/>
        </w:rPr>
        <w:t xml:space="preserve"> </w:t>
      </w:r>
      <w:r>
        <w:rPr>
          <w:w w:val="105"/>
        </w:rPr>
        <w:t>during</w:t>
      </w:r>
      <w:r>
        <w:rPr>
          <w:spacing w:val="-2"/>
          <w:w w:val="105"/>
        </w:rPr>
        <w:t xml:space="preserve"> </w:t>
      </w:r>
      <w:r>
        <w:rPr>
          <w:w w:val="105"/>
        </w:rPr>
        <w:t>round</w:t>
      </w:r>
      <w:r>
        <w:rPr>
          <w:spacing w:val="-2"/>
          <w:w w:val="105"/>
        </w:rPr>
        <w:t xml:space="preserve"> </w:t>
      </w:r>
      <w:r>
        <w:rPr>
          <w:w w:val="105"/>
        </w:rPr>
        <w:t>spermatid</w:t>
      </w:r>
      <w:r>
        <w:rPr>
          <w:spacing w:val="-2"/>
          <w:w w:val="105"/>
        </w:rPr>
        <w:t xml:space="preserve"> </w:t>
      </w:r>
      <w:r>
        <w:rPr>
          <w:w w:val="105"/>
        </w:rPr>
        <w:t>stage and critical for sperm formation.</w:t>
      </w:r>
    </w:p>
    <w:p w14:paraId="2FDB0CE3">
      <w:pPr>
        <w:tabs>
          <w:tab w:val="left" w:pos="2654"/>
          <w:tab w:val="left" w:pos="5840"/>
        </w:tabs>
        <w:spacing w:line="268" w:lineRule="exact"/>
        <w:ind w:left="261"/>
      </w:pPr>
      <w:r>
        <w:rPr>
          <w:w w:val="110"/>
        </w:rPr>
        <w:t>Elongating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Spermatid</w:t>
      </w:r>
      <w:r>
        <w:tab/>
      </w:r>
      <w:r>
        <w:rPr>
          <w:i/>
          <w:w w:val="110"/>
        </w:rPr>
        <w:t>SAXO1</w:t>
      </w:r>
      <w:r>
        <w:rPr>
          <w:w w:val="110"/>
        </w:rPr>
        <w:t>,</w:t>
      </w:r>
      <w:r>
        <w:rPr>
          <w:spacing w:val="59"/>
          <w:w w:val="110"/>
        </w:rPr>
        <w:t xml:space="preserve"> </w:t>
      </w:r>
      <w:r>
        <w:rPr>
          <w:i/>
          <w:w w:val="110"/>
        </w:rPr>
        <w:t>WDR64</w:t>
      </w:r>
      <w:r>
        <w:rPr>
          <w:w w:val="110"/>
        </w:rPr>
        <w:t>,</w:t>
      </w:r>
      <w:r>
        <w:rPr>
          <w:spacing w:val="60"/>
          <w:w w:val="110"/>
        </w:rPr>
        <w:t xml:space="preserve"> </w:t>
      </w:r>
      <w:r>
        <w:rPr>
          <w:i/>
          <w:spacing w:val="-2"/>
          <w:w w:val="110"/>
        </w:rPr>
        <w:t>CTNNA3</w:t>
      </w:r>
      <w:r>
        <w:rPr>
          <w:i/>
        </w:rPr>
        <w:tab/>
      </w:r>
      <w:r>
        <w:rPr>
          <w:w w:val="105"/>
        </w:rPr>
        <w:t>Microtubule-stabilizing</w:t>
      </w:r>
      <w:r>
        <w:rPr>
          <w:spacing w:val="41"/>
          <w:w w:val="105"/>
        </w:rPr>
        <w:t xml:space="preserve"> </w:t>
      </w:r>
      <w:r>
        <w:rPr>
          <w:spacing w:val="-2"/>
          <w:w w:val="105"/>
        </w:rPr>
        <w:t>proteins</w:t>
      </w:r>
    </w:p>
    <w:p w14:paraId="0CE4462A">
      <w:pPr>
        <w:spacing w:before="3" w:line="242" w:lineRule="auto"/>
        <w:ind w:left="5842"/>
      </w:pPr>
      <w:r>
        <w:rPr>
          <w:w w:val="105"/>
        </w:rPr>
        <w:t>involved in sperm tail formation, cell adhesion and polarity.</w:t>
      </w:r>
    </w:p>
    <w:p w14:paraId="6BEB87D6">
      <w:pPr>
        <w:tabs>
          <w:tab w:val="left" w:pos="2654"/>
          <w:tab w:val="left" w:pos="5841"/>
        </w:tabs>
        <w:spacing w:line="268" w:lineRule="exact"/>
        <w:ind w:left="261"/>
      </w:pPr>
      <w:r>
        <w:rPr>
          <w:w w:val="105"/>
        </w:rPr>
        <w:t>Mature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Spermatozoa</w:t>
      </w:r>
      <w:r>
        <w:tab/>
      </w:r>
      <w:r>
        <w:rPr>
          <w:i/>
          <w:spacing w:val="2"/>
          <w:w w:val="110"/>
        </w:rPr>
        <w:t>TNP1</w:t>
      </w:r>
      <w:r>
        <w:rPr>
          <w:spacing w:val="2"/>
          <w:w w:val="110"/>
        </w:rPr>
        <w:t>,</w:t>
      </w:r>
      <w:r>
        <w:rPr>
          <w:spacing w:val="60"/>
          <w:w w:val="150"/>
        </w:rPr>
        <w:t xml:space="preserve"> </w:t>
      </w:r>
      <w:r>
        <w:rPr>
          <w:i/>
          <w:spacing w:val="2"/>
          <w:w w:val="110"/>
        </w:rPr>
        <w:t>TPPP2</w:t>
      </w:r>
      <w:r>
        <w:rPr>
          <w:spacing w:val="2"/>
          <w:w w:val="110"/>
        </w:rPr>
        <w:t>,</w:t>
      </w:r>
      <w:r>
        <w:rPr>
          <w:spacing w:val="61"/>
          <w:w w:val="150"/>
        </w:rPr>
        <w:t xml:space="preserve"> </w:t>
      </w:r>
      <w:r>
        <w:rPr>
          <w:i/>
          <w:spacing w:val="-2"/>
          <w:w w:val="110"/>
        </w:rPr>
        <w:t>LELP1</w:t>
      </w:r>
      <w:r>
        <w:rPr>
          <w:i/>
        </w:rPr>
        <w:tab/>
      </w:r>
      <w:r>
        <w:rPr>
          <w:w w:val="105"/>
        </w:rPr>
        <w:t>Key</w:t>
      </w:r>
      <w:r>
        <w:rPr>
          <w:spacing w:val="14"/>
          <w:w w:val="105"/>
        </w:rPr>
        <w:t xml:space="preserve"> </w:t>
      </w:r>
      <w:r>
        <w:rPr>
          <w:w w:val="105"/>
        </w:rPr>
        <w:t>chromatin</w:t>
      </w:r>
      <w:r>
        <w:rPr>
          <w:spacing w:val="14"/>
          <w:w w:val="105"/>
        </w:rPr>
        <w:t xml:space="preserve"> </w:t>
      </w:r>
      <w:r>
        <w:rPr>
          <w:w w:val="105"/>
        </w:rPr>
        <w:t>remodeling</w:t>
      </w:r>
      <w:r>
        <w:rPr>
          <w:spacing w:val="14"/>
          <w:w w:val="105"/>
        </w:rPr>
        <w:t xml:space="preserve"> </w:t>
      </w:r>
      <w:r>
        <w:rPr>
          <w:w w:val="105"/>
        </w:rPr>
        <w:t>proteins</w:t>
      </w:r>
      <w:r>
        <w:rPr>
          <w:spacing w:val="14"/>
          <w:w w:val="105"/>
        </w:rPr>
        <w:t xml:space="preserve"> </w:t>
      </w:r>
      <w:r>
        <w:rPr>
          <w:spacing w:val="-5"/>
          <w:w w:val="105"/>
        </w:rPr>
        <w:t>and</w:t>
      </w:r>
    </w:p>
    <w:p w14:paraId="7F02EF82">
      <w:pPr>
        <w:spacing w:before="2"/>
        <w:ind w:left="5842"/>
      </w:pPr>
      <w:r>
        <w:rPr>
          <w:w w:val="105"/>
        </w:rPr>
        <w:t>markers</w:t>
      </w:r>
      <w:r>
        <w:rPr>
          <w:spacing w:val="12"/>
          <w:w w:val="105"/>
        </w:rPr>
        <w:t xml:space="preserve"> </w:t>
      </w:r>
      <w:r>
        <w:rPr>
          <w:w w:val="105"/>
        </w:rPr>
        <w:t>of</w:t>
      </w:r>
      <w:r>
        <w:rPr>
          <w:spacing w:val="12"/>
          <w:w w:val="105"/>
        </w:rPr>
        <w:t xml:space="preserve"> </w:t>
      </w:r>
      <w:r>
        <w:rPr>
          <w:w w:val="105"/>
        </w:rPr>
        <w:t>sperm</w:t>
      </w:r>
      <w:r>
        <w:rPr>
          <w:spacing w:val="12"/>
          <w:w w:val="105"/>
        </w:rPr>
        <w:t xml:space="preserve"> </w:t>
      </w:r>
      <w:r>
        <w:rPr>
          <w:w w:val="105"/>
        </w:rPr>
        <w:t>tail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formation.</w:t>
      </w:r>
    </w:p>
    <w:p w14:paraId="784E5A3E">
      <w:pPr>
        <w:tabs>
          <w:tab w:val="left" w:pos="2655"/>
          <w:tab w:val="left" w:pos="5842"/>
        </w:tabs>
        <w:spacing w:before="3"/>
        <w:ind w:left="261"/>
      </w:pPr>
      <w:r>
        <w:rPr>
          <w:w w:val="110"/>
        </w:rPr>
        <w:t>Sertoli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Cell</w:t>
      </w:r>
      <w:r>
        <w:tab/>
      </w:r>
      <w:r>
        <w:rPr>
          <w:i/>
          <w:w w:val="110"/>
        </w:rPr>
        <w:t>DSCAM</w:t>
      </w:r>
      <w:r>
        <w:rPr>
          <w:w w:val="110"/>
        </w:rPr>
        <w:t>,</w:t>
      </w:r>
      <w:r>
        <w:rPr>
          <w:spacing w:val="73"/>
          <w:w w:val="110"/>
        </w:rPr>
        <w:t xml:space="preserve"> </w:t>
      </w:r>
      <w:r>
        <w:rPr>
          <w:i/>
          <w:w w:val="110"/>
        </w:rPr>
        <w:t>TENM3</w:t>
      </w:r>
      <w:r>
        <w:rPr>
          <w:w w:val="110"/>
        </w:rPr>
        <w:t>,</w:t>
      </w:r>
      <w:r>
        <w:rPr>
          <w:spacing w:val="74"/>
          <w:w w:val="110"/>
        </w:rPr>
        <w:t xml:space="preserve"> </w:t>
      </w:r>
      <w:r>
        <w:rPr>
          <w:i/>
          <w:spacing w:val="-2"/>
          <w:w w:val="110"/>
        </w:rPr>
        <w:t>NLGN1</w:t>
      </w:r>
      <w:r>
        <w:rPr>
          <w:i/>
        </w:rPr>
        <w:tab/>
      </w:r>
      <w:r>
        <w:rPr>
          <w:w w:val="105"/>
        </w:rPr>
        <w:t>Involved</w:t>
      </w:r>
      <w:r>
        <w:rPr>
          <w:spacing w:val="17"/>
          <w:w w:val="105"/>
        </w:rPr>
        <w:t xml:space="preserve"> </w:t>
      </w:r>
      <w:r>
        <w:rPr>
          <w:w w:val="105"/>
        </w:rPr>
        <w:t>in</w:t>
      </w:r>
      <w:r>
        <w:rPr>
          <w:spacing w:val="17"/>
          <w:w w:val="105"/>
        </w:rPr>
        <w:t xml:space="preserve"> </w:t>
      </w:r>
      <w:r>
        <w:rPr>
          <w:w w:val="105"/>
        </w:rPr>
        <w:t>establishing</w:t>
      </w:r>
      <w:r>
        <w:rPr>
          <w:spacing w:val="17"/>
          <w:w w:val="105"/>
        </w:rPr>
        <w:t xml:space="preserve"> </w:t>
      </w:r>
      <w:r>
        <w:rPr>
          <w:w w:val="105"/>
        </w:rPr>
        <w:t>the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supportive</w:t>
      </w:r>
    </w:p>
    <w:p w14:paraId="1606A4A4">
      <w:pPr>
        <w:spacing w:before="2" w:line="242" w:lineRule="auto"/>
        <w:ind w:left="5842" w:right="61"/>
      </w:pPr>
      <w:r>
        <w:t xml:space="preserve">microenvironment for spermatogenesis </w:t>
      </w:r>
      <w:r>
        <w:rPr>
          <w:w w:val="105"/>
        </w:rPr>
        <w:t>and forming cell junctions.</w:t>
      </w:r>
    </w:p>
    <w:p w14:paraId="12B1BE36">
      <w:pPr>
        <w:spacing w:line="242" w:lineRule="auto"/>
        <w:sectPr>
          <w:type w:val="continuous"/>
          <w:pgSz w:w="11910" w:h="16840"/>
          <w:pgMar w:top="1920" w:right="850" w:bottom="280" w:left="1275" w:header="706" w:footer="783" w:gutter="0"/>
          <w:cols w:space="720" w:num="1"/>
        </w:sectPr>
      </w:pPr>
    </w:p>
    <w:p w14:paraId="0513CCDA">
      <w:pPr>
        <w:spacing w:line="242" w:lineRule="auto"/>
        <w:ind w:left="261" w:right="38"/>
      </w:pPr>
      <w:r>
        <w:rPr>
          <w:spacing w:val="-2"/>
          <w:w w:val="110"/>
        </w:rPr>
        <w:t>Peritubular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Myoid </w:t>
      </w:r>
      <w:r>
        <w:rPr>
          <w:spacing w:val="-4"/>
          <w:w w:val="110"/>
        </w:rPr>
        <w:t>Cell</w:t>
      </w:r>
    </w:p>
    <w:p w14:paraId="4BB79DE2">
      <w:pPr>
        <w:tabs>
          <w:tab w:val="left" w:pos="3448"/>
        </w:tabs>
        <w:ind w:left="261"/>
      </w:pPr>
      <w:r>
        <w:br w:type="column"/>
      </w:r>
      <w:r>
        <w:rPr>
          <w:i/>
          <w:w w:val="110"/>
        </w:rPr>
        <w:t>MYH11</w:t>
      </w:r>
      <w:r>
        <w:rPr>
          <w:w w:val="110"/>
        </w:rPr>
        <w:t>,</w:t>
      </w:r>
      <w:r>
        <w:rPr>
          <w:spacing w:val="44"/>
          <w:w w:val="110"/>
        </w:rPr>
        <w:t xml:space="preserve"> </w:t>
      </w:r>
      <w:r>
        <w:rPr>
          <w:i/>
          <w:w w:val="110"/>
        </w:rPr>
        <w:t>LMOD1</w:t>
      </w:r>
      <w:r>
        <w:rPr>
          <w:w w:val="110"/>
        </w:rPr>
        <w:t>,</w:t>
      </w:r>
      <w:r>
        <w:rPr>
          <w:spacing w:val="45"/>
          <w:w w:val="110"/>
        </w:rPr>
        <w:t xml:space="preserve"> </w:t>
      </w:r>
      <w:r>
        <w:rPr>
          <w:i/>
          <w:spacing w:val="-4"/>
          <w:w w:val="110"/>
        </w:rPr>
        <w:t>CALD1</w:t>
      </w:r>
      <w:r>
        <w:rPr>
          <w:i/>
        </w:rPr>
        <w:tab/>
      </w:r>
      <w:r>
        <w:t>Smooth-muscle-specific</w:t>
      </w:r>
      <w:r>
        <w:rPr>
          <w:spacing w:val="79"/>
        </w:rPr>
        <w:t xml:space="preserve"> </w:t>
      </w:r>
      <w:r>
        <w:rPr>
          <w:spacing w:val="-2"/>
        </w:rPr>
        <w:t>myosin;</w:t>
      </w:r>
    </w:p>
    <w:p w14:paraId="5F2EFF15">
      <w:pPr>
        <w:spacing w:before="2" w:line="242" w:lineRule="auto"/>
        <w:ind w:left="3448" w:right="250"/>
      </w:pPr>
      <w:r>
        <w:t>canonical marker of peritubular myoid</w:t>
      </w:r>
      <w:r>
        <w:rPr>
          <w:spacing w:val="40"/>
        </w:rPr>
        <w:t xml:space="preserve"> </w:t>
      </w:r>
      <w:r>
        <w:t>cells</w:t>
      </w:r>
      <w:r>
        <w:rPr>
          <w:spacing w:val="43"/>
        </w:rPr>
        <w:t xml:space="preserve"> </w:t>
      </w:r>
      <w:r>
        <w:t>surrounding</w:t>
      </w:r>
      <w:r>
        <w:rPr>
          <w:spacing w:val="43"/>
        </w:rPr>
        <w:t xml:space="preserve"> </w:t>
      </w:r>
      <w:r>
        <w:t>seminiferous</w:t>
      </w:r>
      <w:r>
        <w:rPr>
          <w:spacing w:val="43"/>
        </w:rPr>
        <w:t xml:space="preserve"> </w:t>
      </w:r>
      <w:r>
        <w:rPr>
          <w:spacing w:val="-2"/>
        </w:rPr>
        <w:t>tubules.</w:t>
      </w:r>
    </w:p>
    <w:p w14:paraId="6FA8AAFC">
      <w:pPr>
        <w:spacing w:line="242" w:lineRule="auto"/>
        <w:sectPr>
          <w:type w:val="continuous"/>
          <w:pgSz w:w="11910" w:h="16840"/>
          <w:pgMar w:top="1920" w:right="850" w:bottom="280" w:left="1275" w:header="706" w:footer="783" w:gutter="0"/>
          <w:cols w:equalWidth="0" w:num="2">
            <w:col w:w="2064" w:space="329"/>
            <w:col w:w="7392"/>
          </w:cols>
        </w:sectPr>
      </w:pPr>
    </w:p>
    <w:p w14:paraId="7264B7A8">
      <w:pPr>
        <w:tabs>
          <w:tab w:val="left" w:pos="2654"/>
          <w:tab w:val="left" w:pos="5841"/>
        </w:tabs>
        <w:spacing w:line="268" w:lineRule="exact"/>
        <w:ind w:left="261"/>
      </w:pPr>
      <w:r>
        <w:rPr>
          <w:w w:val="110"/>
        </w:rPr>
        <w:t>Leydig</w:t>
      </w:r>
      <w:r>
        <w:rPr>
          <w:spacing w:val="22"/>
          <w:w w:val="110"/>
        </w:rPr>
        <w:t xml:space="preserve"> </w:t>
      </w:r>
      <w:r>
        <w:rPr>
          <w:spacing w:val="-4"/>
          <w:w w:val="105"/>
        </w:rPr>
        <w:t>Cell</w:t>
      </w:r>
      <w:r>
        <w:tab/>
      </w:r>
      <w:r>
        <w:rPr>
          <w:i/>
          <w:spacing w:val="2"/>
          <w:w w:val="110"/>
        </w:rPr>
        <w:t>IGF1</w:t>
      </w:r>
      <w:r>
        <w:rPr>
          <w:spacing w:val="2"/>
          <w:w w:val="110"/>
        </w:rPr>
        <w:t>,</w:t>
      </w:r>
      <w:r>
        <w:rPr>
          <w:spacing w:val="64"/>
          <w:w w:val="150"/>
        </w:rPr>
        <w:t xml:space="preserve"> </w:t>
      </w:r>
      <w:r>
        <w:rPr>
          <w:i/>
          <w:spacing w:val="2"/>
          <w:w w:val="110"/>
        </w:rPr>
        <w:t>SLIT2</w:t>
      </w:r>
      <w:r>
        <w:rPr>
          <w:spacing w:val="2"/>
          <w:w w:val="110"/>
        </w:rPr>
        <w:t>,</w:t>
      </w:r>
      <w:r>
        <w:rPr>
          <w:spacing w:val="65"/>
          <w:w w:val="150"/>
        </w:rPr>
        <w:t xml:space="preserve"> </w:t>
      </w:r>
      <w:r>
        <w:rPr>
          <w:i/>
          <w:spacing w:val="-5"/>
          <w:w w:val="110"/>
        </w:rPr>
        <w:t>GSN</w:t>
      </w:r>
      <w:r>
        <w:rPr>
          <w:i/>
        </w:rPr>
        <w:tab/>
      </w:r>
      <w:r>
        <w:rPr>
          <w:w w:val="105"/>
        </w:rPr>
        <w:t>Classical</w:t>
      </w:r>
      <w:r>
        <w:rPr>
          <w:spacing w:val="12"/>
          <w:w w:val="105"/>
        </w:rPr>
        <w:t xml:space="preserve"> </w:t>
      </w:r>
      <w:r>
        <w:rPr>
          <w:w w:val="105"/>
        </w:rPr>
        <w:t>hormone</w:t>
      </w:r>
      <w:r>
        <w:rPr>
          <w:spacing w:val="12"/>
          <w:w w:val="105"/>
        </w:rPr>
        <w:t xml:space="preserve"> </w:t>
      </w:r>
      <w:r>
        <w:rPr>
          <w:w w:val="105"/>
        </w:rPr>
        <w:t>factors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supporting</w:t>
      </w:r>
    </w:p>
    <w:p w14:paraId="4B61E64F">
      <w:pPr>
        <w:spacing w:before="2" w:line="242" w:lineRule="auto"/>
        <w:ind w:left="5842" w:right="517"/>
      </w:pPr>
      <w:r>
        <w:rPr>
          <w:spacing w:val="-2"/>
          <w:w w:val="105"/>
        </w:rPr>
        <w:t xml:space="preserve">spermatogenesis and regulating </w:t>
      </w:r>
      <w:r>
        <w:rPr>
          <w:w w:val="105"/>
        </w:rPr>
        <w:t>interstitial function.</w:t>
      </w:r>
    </w:p>
    <w:p w14:paraId="6715C877">
      <w:pPr>
        <w:tabs>
          <w:tab w:val="left" w:pos="2656"/>
          <w:tab w:val="left" w:pos="5843"/>
        </w:tabs>
        <w:spacing w:line="268" w:lineRule="exact"/>
        <w:ind w:left="261"/>
      </w:pPr>
      <w:r>
        <w:rPr>
          <w:w w:val="110"/>
        </w:rPr>
        <w:t>Endothelial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Cell</w:t>
      </w:r>
      <w:r>
        <w:tab/>
      </w:r>
      <w:r>
        <w:rPr>
          <w:i/>
          <w:spacing w:val="2"/>
          <w:w w:val="115"/>
        </w:rPr>
        <w:t>FLT1</w:t>
      </w:r>
      <w:r>
        <w:rPr>
          <w:spacing w:val="2"/>
          <w:w w:val="115"/>
        </w:rPr>
        <w:t>,</w:t>
      </w:r>
      <w:r>
        <w:rPr>
          <w:spacing w:val="63"/>
          <w:w w:val="150"/>
        </w:rPr>
        <w:t xml:space="preserve"> </w:t>
      </w:r>
      <w:r>
        <w:rPr>
          <w:i/>
          <w:spacing w:val="2"/>
          <w:w w:val="115"/>
        </w:rPr>
        <w:t>PTPRB</w:t>
      </w:r>
      <w:r>
        <w:rPr>
          <w:spacing w:val="2"/>
          <w:w w:val="115"/>
        </w:rPr>
        <w:t>,</w:t>
      </w:r>
      <w:r>
        <w:rPr>
          <w:spacing w:val="63"/>
          <w:w w:val="150"/>
        </w:rPr>
        <w:t xml:space="preserve"> </w:t>
      </w:r>
      <w:r>
        <w:rPr>
          <w:i/>
          <w:spacing w:val="-5"/>
          <w:w w:val="115"/>
        </w:rPr>
        <w:t>ERG</w:t>
      </w:r>
      <w:r>
        <w:rPr>
          <w:i/>
        </w:rPr>
        <w:tab/>
      </w:r>
      <w:r>
        <w:rPr>
          <w:w w:val="105"/>
        </w:rPr>
        <w:t>Canonical</w:t>
      </w:r>
      <w:r>
        <w:rPr>
          <w:spacing w:val="15"/>
          <w:w w:val="105"/>
        </w:rPr>
        <w:t xml:space="preserve"> </w:t>
      </w:r>
      <w:r>
        <w:rPr>
          <w:w w:val="105"/>
        </w:rPr>
        <w:t>endothelial</w:t>
      </w:r>
      <w:r>
        <w:rPr>
          <w:spacing w:val="15"/>
          <w:w w:val="105"/>
        </w:rPr>
        <w:t xml:space="preserve"> </w:t>
      </w:r>
      <w:r>
        <w:rPr>
          <w:w w:val="105"/>
        </w:rPr>
        <w:t>cell</w:t>
      </w:r>
      <w:r>
        <w:rPr>
          <w:spacing w:val="16"/>
          <w:w w:val="105"/>
        </w:rPr>
        <w:t xml:space="preserve"> </w:t>
      </w:r>
      <w:r>
        <w:rPr>
          <w:w w:val="105"/>
        </w:rPr>
        <w:t>marker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genes.</w:t>
      </w:r>
    </w:p>
    <w:p w14:paraId="604D90CF">
      <w:pPr>
        <w:tabs>
          <w:tab w:val="left" w:pos="2655"/>
          <w:tab w:val="left" w:pos="5842"/>
        </w:tabs>
        <w:spacing w:before="3"/>
        <w:ind w:left="261"/>
      </w:pPr>
      <w:r>
        <w:rPr>
          <w:spacing w:val="-2"/>
          <w:w w:val="110"/>
        </w:rPr>
        <w:t>Macrophage</w:t>
      </w:r>
      <w:r>
        <w:tab/>
      </w:r>
      <w:r>
        <w:rPr>
          <w:i/>
          <w:w w:val="110"/>
        </w:rPr>
        <w:t>C1QC</w:t>
      </w:r>
      <w:r>
        <w:rPr>
          <w:w w:val="110"/>
        </w:rPr>
        <w:t>,</w:t>
      </w:r>
      <w:r>
        <w:rPr>
          <w:spacing w:val="68"/>
          <w:w w:val="150"/>
        </w:rPr>
        <w:t xml:space="preserve"> </w:t>
      </w:r>
      <w:r>
        <w:rPr>
          <w:i/>
          <w:w w:val="110"/>
        </w:rPr>
        <w:t>CSF1R</w:t>
      </w:r>
      <w:r>
        <w:rPr>
          <w:w w:val="110"/>
        </w:rPr>
        <w:t>,</w:t>
      </w:r>
      <w:r>
        <w:rPr>
          <w:spacing w:val="69"/>
          <w:w w:val="150"/>
        </w:rPr>
        <w:t xml:space="preserve"> </w:t>
      </w:r>
      <w:r>
        <w:rPr>
          <w:i/>
          <w:spacing w:val="-5"/>
          <w:w w:val="115"/>
        </w:rPr>
        <w:t>LYZ</w:t>
      </w:r>
      <w:r>
        <w:rPr>
          <w:i/>
        </w:rPr>
        <w:tab/>
      </w:r>
      <w:r>
        <w:rPr>
          <w:w w:val="105"/>
        </w:rPr>
        <w:t>High</w:t>
      </w:r>
      <w:r>
        <w:rPr>
          <w:spacing w:val="1"/>
          <w:w w:val="105"/>
        </w:rPr>
        <w:t xml:space="preserve"> </w:t>
      </w:r>
      <w:r>
        <w:rPr>
          <w:w w:val="105"/>
        </w:rPr>
        <w:t>expression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immune-</w:t>
      </w:r>
      <w:r>
        <w:rPr>
          <w:spacing w:val="-2"/>
          <w:w w:val="105"/>
        </w:rPr>
        <w:t>related</w:t>
      </w:r>
    </w:p>
    <w:p w14:paraId="010EA89A">
      <w:pPr>
        <w:spacing w:before="2"/>
        <w:ind w:left="5842"/>
      </w:pPr>
      <w:r>
        <w:t>marker</w:t>
      </w:r>
      <w:r>
        <w:rPr>
          <w:spacing w:val="43"/>
        </w:rPr>
        <w:t xml:space="preserve"> </w:t>
      </w:r>
      <w:r>
        <w:rPr>
          <w:spacing w:val="-2"/>
        </w:rPr>
        <w:t>genes.</w:t>
      </w:r>
    </w:p>
    <w:p w14:paraId="76128568">
      <w:pPr>
        <w:tabs>
          <w:tab w:val="left" w:pos="2654"/>
          <w:tab w:val="left" w:pos="5840"/>
        </w:tabs>
        <w:spacing w:before="2"/>
        <w:ind w:left="261"/>
      </w:pPr>
      <w:r>
        <w:rPr>
          <w:spacing w:val="-2"/>
          <w:w w:val="115"/>
        </w:rPr>
        <w:t>Lymphocyte</w:t>
      </w:r>
      <w:r>
        <w:tab/>
      </w:r>
      <w:r>
        <w:rPr>
          <w:i/>
          <w:spacing w:val="2"/>
          <w:w w:val="115"/>
        </w:rPr>
        <w:t>IL7R</w:t>
      </w:r>
      <w:r>
        <w:rPr>
          <w:spacing w:val="2"/>
          <w:w w:val="115"/>
        </w:rPr>
        <w:t>,</w:t>
      </w:r>
      <w:r>
        <w:rPr>
          <w:spacing w:val="63"/>
          <w:w w:val="150"/>
        </w:rPr>
        <w:t xml:space="preserve"> </w:t>
      </w:r>
      <w:r>
        <w:rPr>
          <w:i/>
          <w:spacing w:val="2"/>
          <w:w w:val="115"/>
        </w:rPr>
        <w:t>KLRK1</w:t>
      </w:r>
      <w:r>
        <w:rPr>
          <w:spacing w:val="2"/>
          <w:w w:val="115"/>
        </w:rPr>
        <w:t>,</w:t>
      </w:r>
      <w:r>
        <w:rPr>
          <w:spacing w:val="63"/>
          <w:w w:val="150"/>
        </w:rPr>
        <w:t xml:space="preserve"> </w:t>
      </w:r>
      <w:r>
        <w:rPr>
          <w:i/>
          <w:spacing w:val="-2"/>
          <w:w w:val="115"/>
        </w:rPr>
        <w:t>IKZF1</w:t>
      </w:r>
      <w:r>
        <w:rPr>
          <w:i/>
        </w:rPr>
        <w:tab/>
      </w:r>
      <w:r>
        <w:rPr>
          <w:w w:val="115"/>
        </w:rPr>
        <w:t>Specific</w:t>
      </w:r>
      <w:r>
        <w:rPr>
          <w:spacing w:val="-6"/>
          <w:w w:val="115"/>
        </w:rPr>
        <w:t xml:space="preserve"> </w:t>
      </w:r>
      <w:r>
        <w:rPr>
          <w:w w:val="115"/>
        </w:rPr>
        <w:t>markers</w:t>
      </w:r>
      <w:r>
        <w:rPr>
          <w:spacing w:val="-6"/>
          <w:w w:val="115"/>
        </w:rPr>
        <w:t xml:space="preserve"> </w:t>
      </w:r>
      <w:r>
        <w:rPr>
          <w:w w:val="115"/>
        </w:rPr>
        <w:t>for</w:t>
      </w:r>
      <w:r>
        <w:rPr>
          <w:spacing w:val="-5"/>
          <w:w w:val="115"/>
        </w:rPr>
        <w:t xml:space="preserve"> </w:t>
      </w:r>
      <w:r>
        <w:rPr>
          <w:w w:val="115"/>
        </w:rPr>
        <w:t>T/NK/B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cell</w:t>
      </w:r>
    </w:p>
    <w:p w14:paraId="671954D2">
      <w:pPr>
        <w:spacing w:before="3"/>
        <w:ind w:left="5842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215900</wp:posOffset>
                </wp:positionV>
                <wp:extent cx="6143625" cy="1270"/>
                <wp:effectExtent l="0" t="0" r="0" b="0"/>
                <wp:wrapNone/>
                <wp:docPr id="40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3625">
                              <a:moveTo>
                                <a:pt x="0" y="0"/>
                              </a:moveTo>
                              <a:lnTo>
                                <a:pt x="6143498" y="0"/>
                              </a:lnTo>
                            </a:path>
                          </a:pathLst>
                        </a:custGeom>
                        <a:ln w="110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o:spt="100" style="position:absolute;left:0pt;margin-left:70.85pt;margin-top:17pt;height:0.1pt;width:483.75pt;mso-position-horizontal-relative:page;z-index:251660288;mso-width-relative:page;mso-height-relative:page;" filled="f" stroked="t" coordsize="6143625,1" o:gfxdata="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OokLnVAAAACgEAAA8AAAAA&#10;AAAAAQAgAAAAIgAAAGRycy9kb3ducmV2LnhtbFBLAQIUABQAAAAIAIdO4kCjiyFnFwIAAH0EAAAO&#10;AAAAAAAAAAEAIAAAACQBAABkcnMvZTJvRG9jLnhtbFBLBQYAAAAABgAGAFkBAACtBQAAAAA=&#10;" path="m0,0l6143498,0e">
                <v:fill on="f" focussize="0,0"/>
                <v:stroke weight="0.872992125984252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2"/>
          <w:w w:val="105"/>
        </w:rPr>
        <w:t>populations.</w:t>
      </w:r>
    </w:p>
    <w:p w14:paraId="2BF46F88">
      <w:pPr>
        <w:pStyle w:val="3"/>
        <w:spacing w:line="232" w:lineRule="auto"/>
        <w:ind w:left="142" w:right="563"/>
        <w:jc w:val="both"/>
      </w:pPr>
      <w:bookmarkStart w:id="0" w:name="_GoBack"/>
      <w:bookmarkEnd w:id="0"/>
    </w:p>
    <w:sectPr>
      <w:headerReference r:id="rId3" w:type="default"/>
      <w:footerReference r:id="rId4" w:type="default"/>
      <w:pgSz w:w="11910" w:h="16840"/>
      <w:pgMar w:top="567" w:right="850" w:bottom="567" w:left="1275" w:header="706" w:footer="78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itka Text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Roboto">
    <w:panose1 w:val="02000000000000000000"/>
    <w:charset w:val="00"/>
    <w:family w:val="auto"/>
    <w:pitch w:val="default"/>
    <w:sig w:usb0="E00002FF" w:usb1="5000205B" w:usb2="00000020" w:usb3="00000000" w:csb0="2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9C9B7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10054590</wp:posOffset>
              </wp:positionV>
              <wp:extent cx="164465" cy="164465"/>
              <wp:effectExtent l="0" t="0" r="0" b="0"/>
              <wp:wrapNone/>
              <wp:docPr id="23" name="Text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4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64DB79">
                          <w:pPr>
                            <w:spacing w:line="24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26" o:spt="202" type="#_x0000_t202" style="position:absolute;left:0pt;margin-left:291.15pt;margin-top:791.7pt;height:12.95pt;width:12.95pt;mso-position-horizontal-relative:page;mso-position-vertical-relative:page;z-index:-251654144;mso-width-relative:page;mso-height-relative:page;" filled="f" stroked="f" coordsize="21600,21600" o:gfxdata="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T7Gg2wAAAA0BAAAPAAAAAAAAAAEAIAAAACIAAABkcnMvZG93bnJldi54bWxQSwECFAAUAAAACACH&#10;TuJAKL7mlq8BAAB1AwAADgAAAAAAAAABACAAAAAq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64DB79">
                    <w:pPr>
                      <w:spacing w:line="243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8AEF0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435610</wp:posOffset>
              </wp:positionV>
              <wp:extent cx="2310765" cy="164465"/>
              <wp:effectExtent l="0" t="0" r="0" b="0"/>
              <wp:wrapNone/>
              <wp:docPr id="21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07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923ABB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26" o:spt="202" type="#_x0000_t202" style="position:absolute;left:0pt;margin-left:69.85pt;margin-top:34.3pt;height:12.95pt;width:181.95pt;mso-position-horizontal-relative:page;mso-position-vertical-relative:page;z-index:-251655168;mso-width-relative:page;mso-height-relative:page;" filled="f" stroked="f" coordsize="21600,21600" o:gfxdata="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G9CYefYAAAACQEAAA8AAAAAAAAAAQAgAAAAIgAAAGRycy9kb3ducmV2LnhtbFBLAQIUABQAAAAI&#10;AIdO4kBKDG6ytAEAAHY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923ABB"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5124450</wp:posOffset>
              </wp:positionH>
              <wp:positionV relativeFrom="page">
                <wp:posOffset>435610</wp:posOffset>
              </wp:positionV>
              <wp:extent cx="1547495" cy="164465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749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B43929">
                          <w:pPr>
                            <w:spacing w:line="243" w:lineRule="exac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403.5pt;margin-top:34.3pt;height:12.95pt;width:121.85pt;mso-position-horizontal-relative:page;mso-position-vertical-relative:page;z-index:-251654144;mso-width-relative:page;mso-height-relative:page;" filled="f" stroked="f" coordsize="21600,21600" o:gfxdata="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uXsHt2QAAAAoBAAAPAAAAAAAAAAEAIAAAACIAAABkcnMvZG93bnJldi54bWxQSwECFAAUAAAA&#10;CACHTuJAkdCTn7QBAAB2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B43929">
                    <w:pPr>
                      <w:spacing w:line="243" w:lineRule="exact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B0D7C"/>
    <w:rsid w:val="00080EA5"/>
    <w:rsid w:val="001B77B6"/>
    <w:rsid w:val="0024622A"/>
    <w:rsid w:val="002B0D7C"/>
    <w:rsid w:val="003D3706"/>
    <w:rsid w:val="00545280"/>
    <w:rsid w:val="00BF1985"/>
    <w:rsid w:val="00C2199D"/>
    <w:rsid w:val="00F912BF"/>
    <w:rsid w:val="140B1219"/>
    <w:rsid w:val="27DA216D"/>
    <w:rsid w:val="2BEE4BA1"/>
    <w:rsid w:val="755D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54"/>
      <w:ind w:left="261" w:hanging="2394"/>
      <w:outlineLvl w:val="0"/>
    </w:pPr>
    <w:rPr>
      <w:b/>
      <w:bC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0"/>
      <w:szCs w:val="20"/>
    </w:r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itle"/>
    <w:basedOn w:val="1"/>
    <w:qFormat/>
    <w:uiPriority w:val="10"/>
    <w:pPr>
      <w:spacing w:before="249"/>
      <w:ind w:left="303" w:right="725"/>
      <w:jc w:val="center"/>
    </w:pPr>
    <w:rPr>
      <w:b/>
      <w:bCs/>
      <w:sz w:val="34"/>
      <w:szCs w:val="34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spacing w:line="249" w:lineRule="exact"/>
      <w:jc w:val="righ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2648</Words>
  <Characters>14833</Characters>
  <Lines>128</Lines>
  <Paragraphs>36</Paragraphs>
  <TotalTime>0</TotalTime>
  <ScaleCrop>false</ScaleCrop>
  <LinksUpToDate>false</LinksUpToDate>
  <CharactersWithSpaces>15825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2026-06-17T13:27:00Z</dcterms:created>
  <dc:creator>18402</dc:creator>
  <cp:lastModifiedBy>Dong</cp:lastModifiedBy>
  <dcterms:modified xsi:type="dcterms:W3CDTF">2026-08-28T07:31:14Z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LaTeX with hyperref</vt:lpwstr>
  </property>
  <property fmtid="{D5CDD505-2E9C-101B-9397-08002B2CF9AE}" pid="5" name="LastSaved">
    <vt:filetime>2026-06-17T00:00:00Z</vt:filetime>
  </property>
  <property fmtid="{D5CDD505-2E9C-101B-9397-08002B2CF9AE}" pid="6" name="PTEX.Fullbanner">
    <vt:lpwstr>This is pdfTeX, Version 3.141592653-2.6-1.40.27 (TeX Live 2025) kpathsea version 6.4.1</vt:lpwstr>
  </property>
  <property fmtid="{D5CDD505-2E9C-101B-9397-08002B2CF9AE}" pid="7" name="Producer">
    <vt:lpwstr>pdfTeX-1.40.27</vt:lpwstr>
  </property>
  <property fmtid="{D5CDD505-2E9C-101B-9397-08002B2CF9AE}" pid="8" name="KSOTemplateDocerSaveRecord">
    <vt:lpwstr>eyJoZGlkIjoiNTRmYjc2Yzk3YzdiYjdhOTIwMjcxMmZmZDkyYzg1NjEiLCJ1c2VySWQiOiI0MTIxMDk1MTgifQ==</vt:lpwstr>
  </property>
  <property fmtid="{D5CDD505-2E9C-101B-9397-08002B2CF9AE}" pid="9" name="KSOProductBuildVer">
    <vt:lpwstr>2052-12.1.0.28043</vt:lpwstr>
  </property>
  <property fmtid="{D5CDD505-2E9C-101B-9397-08002B2CF9AE}" pid="10" name="ICV">
    <vt:lpwstr>9128706431D741AF873B526700B2BFDF_13</vt:lpwstr>
  </property>
</Properties>
</file>