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568CC4">
      <w:pPr>
        <w:pStyle w:val="4"/>
        <w:widowControl/>
        <w:spacing w:line="360" w:lineRule="auto"/>
        <w:jc w:val="left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/>
          <w:b/>
          <w:bCs/>
          <w:sz w:val="28"/>
          <w:szCs w:val="28"/>
          <w:lang w:val="en-US"/>
        </w:rPr>
        <w:t>Generation of the Whole-Genome Expression Matrix for ‘GP’</w:t>
      </w:r>
    </w:p>
    <w:p w14:paraId="789A79BE">
      <w:pPr>
        <w:spacing w:line="360" w:lineRule="auto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Raw paired-end RNA-seq reads from normal fruit (CK) and mildly watercored fruit (MS) of the pineapple cultivar ‘Comte de Paris’ were downloaded from the NCBI Sequence Read Archive under BioProject PRJNA889062</w:t>
      </w:r>
      <w:r>
        <w:rPr>
          <w:rFonts w:hint="eastAsia" w:ascii="Times New Roman" w:hAnsi="Times New Roman" w:cs="Times New Roman"/>
          <w:sz w:val="22"/>
          <w:szCs w:val="2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</w:rPr>
        <w:t>[</w:t>
      </w:r>
      <w:r>
        <w:rPr>
          <w:rFonts w:hint="eastAsia" w:ascii="Times New Roman" w:hAnsi="Times New Roman" w:cs="Times New Roman"/>
          <w:sz w:val="22"/>
          <w:szCs w:val="22"/>
          <w:lang w:val="en-US" w:eastAsia="zh-CN"/>
        </w:rPr>
        <w:t>1</w:t>
      </w:r>
      <w:r>
        <w:rPr>
          <w:rFonts w:hint="default" w:ascii="Times New Roman" w:hAnsi="Times New Roman" w:cs="Times New Roman"/>
          <w:sz w:val="22"/>
          <w:szCs w:val="22"/>
        </w:rPr>
        <w:t>]. Raw reads underwent quality control using Trimmomatic (v0.39) with the parameters ILLUMINACLIP:TruSeq3-PE.fa:2:30:10, LEADING:15, TRAILING:15, SLIDINGWINDOW:4:20, and MINLEN:100</w:t>
      </w:r>
      <w:r>
        <w:rPr>
          <w:rFonts w:hint="eastAsia" w:ascii="Times New Roman" w:hAnsi="Times New Roman" w:cs="Times New Roman"/>
          <w:sz w:val="22"/>
          <w:szCs w:val="2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</w:rPr>
        <w:t>[</w:t>
      </w:r>
      <w:r>
        <w:rPr>
          <w:rFonts w:hint="eastAsia" w:ascii="Times New Roman" w:hAnsi="Times New Roman" w:cs="Times New Roman"/>
          <w:sz w:val="22"/>
          <w:szCs w:val="22"/>
          <w:lang w:val="en-US" w:eastAsia="zh-CN"/>
        </w:rPr>
        <w:t>2</w:t>
      </w:r>
      <w:r>
        <w:rPr>
          <w:rFonts w:hint="default" w:ascii="Times New Roman" w:hAnsi="Times New Roman" w:cs="Times New Roman"/>
          <w:sz w:val="22"/>
          <w:szCs w:val="22"/>
        </w:rPr>
        <w:t xml:space="preserve">]. High-quality reads were aligned to the </w:t>
      </w:r>
      <w:r>
        <w:rPr>
          <w:rFonts w:hint="default" w:ascii="Times New Roman" w:hAnsi="Times New Roman" w:cs="Times New Roman"/>
          <w:i/>
          <w:iCs/>
          <w:sz w:val="22"/>
          <w:szCs w:val="22"/>
        </w:rPr>
        <w:t>Ananas comosus</w:t>
      </w:r>
      <w:r>
        <w:rPr>
          <w:rFonts w:hint="eastAsia" w:ascii="Times New Roman" w:hAnsi="Times New Roman" w:cs="Times New Roman"/>
          <w:sz w:val="22"/>
          <w:szCs w:val="2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</w:rPr>
        <w:t>‘GP’ genome assembly using HISAT2 (v2.2.1) with the parameters --dta and --rna-strandness RF, while all other parameters were left at default settings</w:t>
      </w:r>
      <w:r>
        <w:rPr>
          <w:rFonts w:hint="eastAsia" w:ascii="Times New Roman" w:hAnsi="Times New Roman" w:cs="Times New Roman"/>
          <w:sz w:val="22"/>
          <w:szCs w:val="2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</w:rPr>
        <w:t>[</w:t>
      </w:r>
      <w:r>
        <w:rPr>
          <w:rFonts w:hint="eastAsia" w:ascii="Times New Roman" w:hAnsi="Times New Roman" w:cs="Times New Roman"/>
          <w:sz w:val="22"/>
          <w:szCs w:val="22"/>
          <w:lang w:val="en-US" w:eastAsia="zh-CN"/>
        </w:rPr>
        <w:t>3</w:t>
      </w:r>
      <w:r>
        <w:rPr>
          <w:rFonts w:hint="default" w:ascii="Times New Roman" w:hAnsi="Times New Roman" w:cs="Times New Roman"/>
          <w:sz w:val="22"/>
          <w:szCs w:val="22"/>
        </w:rPr>
        <w:t>]. Gene expression was quantified against the corresponding ‘GP’ gene annotation using StringTie</w:t>
      </w:r>
      <w:r>
        <w:rPr>
          <w:rFonts w:hint="eastAsia" w:ascii="Times New Roman" w:hAnsi="Times New Roman" w:cs="Times New Roman"/>
          <w:sz w:val="22"/>
          <w:szCs w:val="2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</w:rPr>
        <w:t>(v2.2.3) with the parameters -e, -G, -A, and --rf, while all other parameters were left at default settings. Gene-level expression values were reported as fragments per kilobase of transcript per million mapped reads (FPKM) [</w:t>
      </w:r>
      <w:r>
        <w:rPr>
          <w:rFonts w:hint="eastAsia" w:ascii="Times New Roman" w:hAnsi="Times New Roman" w:cs="Times New Roman"/>
          <w:sz w:val="22"/>
          <w:szCs w:val="22"/>
          <w:lang w:val="en-US" w:eastAsia="zh-CN"/>
        </w:rPr>
        <w:t>4</w:t>
      </w:r>
      <w:r>
        <w:rPr>
          <w:rFonts w:hint="default" w:ascii="Times New Roman" w:hAnsi="Times New Roman" w:cs="Times New Roman"/>
          <w:sz w:val="22"/>
          <w:szCs w:val="22"/>
        </w:rPr>
        <w:t>].</w:t>
      </w:r>
    </w:p>
    <w:p w14:paraId="180A1D5D">
      <w:pPr>
        <w:spacing w:line="360" w:lineRule="auto"/>
        <w:rPr>
          <w:rFonts w:hint="default" w:ascii="Times New Roman" w:hAnsi="Times New Roman" w:cs="Times New Roman"/>
          <w:sz w:val="22"/>
          <w:szCs w:val="22"/>
        </w:rPr>
      </w:pPr>
    </w:p>
    <w:p w14:paraId="2F29C8FC">
      <w:pPr>
        <w:spacing w:line="360" w:lineRule="auto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References</w:t>
      </w:r>
    </w:p>
    <w:p w14:paraId="51F4975A">
      <w:pPr>
        <w:spacing w:line="360" w:lineRule="auto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[</w:t>
      </w:r>
      <w:r>
        <w:rPr>
          <w:rFonts w:hint="eastAsia" w:ascii="Times New Roman" w:hAnsi="Times New Roman" w:cs="Times New Roman"/>
          <w:sz w:val="22"/>
          <w:szCs w:val="22"/>
          <w:lang w:val="en-US" w:eastAsia="zh-CN"/>
        </w:rPr>
        <w:t>1</w:t>
      </w:r>
      <w:r>
        <w:rPr>
          <w:rFonts w:hint="default" w:ascii="Times New Roman" w:hAnsi="Times New Roman" w:cs="Times New Roman"/>
          <w:sz w:val="22"/>
          <w:szCs w:val="22"/>
        </w:rPr>
        <w:t xml:space="preserve">] Yao Y, Li M, Lin W, Liu S, Wu Q, </w:t>
      </w:r>
      <w:r>
        <w:rPr>
          <w:rFonts w:hint="eastAsia" w:ascii="Times New Roman" w:hAnsi="Times New Roman" w:cs="Times New Roman"/>
          <w:sz w:val="22"/>
          <w:szCs w:val="22"/>
          <w:lang w:val="en-US" w:eastAsia="zh-CN"/>
        </w:rPr>
        <w:t>et al</w:t>
      </w:r>
      <w:r>
        <w:rPr>
          <w:rFonts w:hint="default" w:ascii="Times New Roman" w:hAnsi="Times New Roman" w:cs="Times New Roman"/>
          <w:sz w:val="22"/>
          <w:szCs w:val="22"/>
        </w:rPr>
        <w:t xml:space="preserve">. 2022. Transcriptome analysis of watercore in pineapple. </w:t>
      </w:r>
      <w:r>
        <w:rPr>
          <w:rFonts w:hint="default" w:ascii="Times New Roman" w:hAnsi="Times New Roman" w:cs="Times New Roman"/>
          <w:i/>
          <w:iCs/>
          <w:sz w:val="22"/>
          <w:szCs w:val="22"/>
        </w:rPr>
        <w:t>Horticulturae</w:t>
      </w:r>
      <w:r>
        <w:rPr>
          <w:rFonts w:hint="default" w:ascii="Times New Roman" w:hAnsi="Times New Roman" w:cs="Times New Roman"/>
          <w:sz w:val="22"/>
          <w:szCs w:val="22"/>
        </w:rPr>
        <w:t xml:space="preserve"> 8:1175.</w:t>
      </w:r>
    </w:p>
    <w:p w14:paraId="3B4504D9">
      <w:pPr>
        <w:spacing w:line="360" w:lineRule="auto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https://doi.org/10.3390/horticulturae8121175</w:t>
      </w:r>
    </w:p>
    <w:p w14:paraId="3793C053">
      <w:pPr>
        <w:spacing w:line="360" w:lineRule="auto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[</w:t>
      </w:r>
      <w:r>
        <w:rPr>
          <w:rFonts w:hint="eastAsia" w:ascii="Times New Roman" w:hAnsi="Times New Roman" w:cs="Times New Roman"/>
          <w:sz w:val="22"/>
          <w:szCs w:val="22"/>
          <w:lang w:val="en-US" w:eastAsia="zh-CN"/>
        </w:rPr>
        <w:t>2</w:t>
      </w:r>
      <w:r>
        <w:rPr>
          <w:rFonts w:hint="default" w:ascii="Times New Roman" w:hAnsi="Times New Roman" w:cs="Times New Roman"/>
          <w:sz w:val="22"/>
          <w:szCs w:val="22"/>
        </w:rPr>
        <w:t xml:space="preserve">] Bolger AM, Lohse M, and Usadel B. 2014. Trimmomatic: a flexible trimmer for Illumina sequence data. </w:t>
      </w:r>
      <w:r>
        <w:rPr>
          <w:rFonts w:hint="default" w:ascii="Times New Roman" w:hAnsi="Times New Roman" w:cs="Times New Roman"/>
          <w:i/>
          <w:iCs/>
          <w:sz w:val="22"/>
          <w:szCs w:val="22"/>
        </w:rPr>
        <w:t>Bioinformatics</w:t>
      </w:r>
      <w:r>
        <w:rPr>
          <w:rFonts w:hint="default" w:ascii="Times New Roman" w:hAnsi="Times New Roman" w:cs="Times New Roman"/>
          <w:sz w:val="22"/>
          <w:szCs w:val="22"/>
        </w:rPr>
        <w:t xml:space="preserve"> 30:2114–2120.</w:t>
      </w:r>
    </w:p>
    <w:p w14:paraId="39347643">
      <w:pPr>
        <w:spacing w:line="360" w:lineRule="auto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https://doi.org/10.1093/bioinformatics/btu170</w:t>
      </w:r>
    </w:p>
    <w:p w14:paraId="198D526E">
      <w:pPr>
        <w:spacing w:line="360" w:lineRule="auto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[</w:t>
      </w:r>
      <w:r>
        <w:rPr>
          <w:rFonts w:hint="eastAsia" w:ascii="Times New Roman" w:hAnsi="Times New Roman" w:cs="Times New Roman"/>
          <w:sz w:val="22"/>
          <w:szCs w:val="22"/>
          <w:lang w:val="en-US" w:eastAsia="zh-CN"/>
        </w:rPr>
        <w:t>3</w:t>
      </w:r>
      <w:r>
        <w:rPr>
          <w:rFonts w:hint="default" w:ascii="Times New Roman" w:hAnsi="Times New Roman" w:cs="Times New Roman"/>
          <w:sz w:val="22"/>
          <w:szCs w:val="22"/>
        </w:rPr>
        <w:t xml:space="preserve">] Kim D, Paggi JM, Park C, Bennett C, and Salzberg SL. 2019. Graph-based genome alignment and genotyping with HISAT2 and HISAT-genotype. </w:t>
      </w:r>
      <w:r>
        <w:rPr>
          <w:rFonts w:hint="default" w:ascii="Times New Roman" w:hAnsi="Times New Roman" w:cs="Times New Roman"/>
          <w:i/>
          <w:iCs/>
          <w:sz w:val="22"/>
          <w:szCs w:val="22"/>
        </w:rPr>
        <w:t>Nature Biotechnology</w:t>
      </w:r>
      <w:r>
        <w:rPr>
          <w:rFonts w:hint="default" w:ascii="Times New Roman" w:hAnsi="Times New Roman" w:cs="Times New Roman"/>
          <w:sz w:val="22"/>
          <w:szCs w:val="22"/>
        </w:rPr>
        <w:t xml:space="preserve"> 37:907–915.</w:t>
      </w:r>
    </w:p>
    <w:p w14:paraId="53F38BAE">
      <w:pPr>
        <w:spacing w:line="360" w:lineRule="auto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https://doi.org/10.1038/s41587-019-0201-4</w:t>
      </w:r>
    </w:p>
    <w:p w14:paraId="3ADE0E9A">
      <w:pPr>
        <w:spacing w:line="360" w:lineRule="auto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[</w:t>
      </w:r>
      <w:r>
        <w:rPr>
          <w:rFonts w:hint="eastAsia" w:ascii="Times New Roman" w:hAnsi="Times New Roman" w:cs="Times New Roman"/>
          <w:sz w:val="22"/>
          <w:szCs w:val="22"/>
          <w:lang w:val="en-US" w:eastAsia="zh-CN"/>
        </w:rPr>
        <w:t>4</w:t>
      </w:r>
      <w:r>
        <w:rPr>
          <w:rFonts w:hint="default" w:ascii="Times New Roman" w:hAnsi="Times New Roman" w:cs="Times New Roman"/>
          <w:sz w:val="22"/>
          <w:szCs w:val="22"/>
        </w:rPr>
        <w:t xml:space="preserve">] Pertea M, Pertea GM, Antonescu CM, Chang TC, Mendell JT, </w:t>
      </w:r>
      <w:r>
        <w:rPr>
          <w:rFonts w:hint="eastAsia" w:ascii="Times New Roman" w:hAnsi="Times New Roman" w:cs="Times New Roman"/>
          <w:sz w:val="22"/>
          <w:szCs w:val="22"/>
          <w:lang w:val="en-US" w:eastAsia="zh-CN"/>
        </w:rPr>
        <w:t>et al</w:t>
      </w:r>
      <w:r>
        <w:rPr>
          <w:rFonts w:hint="default" w:ascii="Times New Roman" w:hAnsi="Times New Roman" w:cs="Times New Roman"/>
          <w:sz w:val="22"/>
          <w:szCs w:val="22"/>
        </w:rPr>
        <w:t xml:space="preserve">. 2015. StringTie enables improved reconstruction of a transcriptome from RNA-seq reads. </w:t>
      </w:r>
      <w:r>
        <w:rPr>
          <w:rFonts w:hint="default" w:ascii="Times New Roman" w:hAnsi="Times New Roman" w:cs="Times New Roman"/>
          <w:i/>
          <w:iCs/>
          <w:sz w:val="22"/>
          <w:szCs w:val="22"/>
        </w:rPr>
        <w:t>Nature Biotechnology</w:t>
      </w:r>
      <w:r>
        <w:rPr>
          <w:rFonts w:hint="default" w:ascii="Times New Roman" w:hAnsi="Times New Roman" w:cs="Times New Roman"/>
          <w:sz w:val="22"/>
          <w:szCs w:val="22"/>
        </w:rPr>
        <w:t xml:space="preserve"> 33:290–295.</w:t>
      </w:r>
    </w:p>
    <w:p w14:paraId="28DDE142">
      <w:pPr>
        <w:spacing w:line="360" w:lineRule="auto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https://doi.org/10.1038/nbt.3122</w:t>
      </w:r>
    </w:p>
    <w:p w14:paraId="3C0765BA">
      <w:pPr>
        <w:spacing w:line="360" w:lineRule="auto"/>
        <w:rPr>
          <w:rFonts w:hint="default" w:ascii="Times New Roman" w:hAnsi="Times New Roman" w:cs="Times New Roman"/>
          <w:sz w:val="22"/>
          <w:szCs w:val="22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FF3D24"/>
    <w:rsid w:val="070312E9"/>
    <w:rsid w:val="072D2DE1"/>
    <w:rsid w:val="07F14ED8"/>
    <w:rsid w:val="0C465358"/>
    <w:rsid w:val="0CAD0AD3"/>
    <w:rsid w:val="126807A8"/>
    <w:rsid w:val="17C61EE4"/>
    <w:rsid w:val="1E1C7453"/>
    <w:rsid w:val="2DB80F46"/>
    <w:rsid w:val="33B807F1"/>
    <w:rsid w:val="362F1FC2"/>
    <w:rsid w:val="4FCE2600"/>
    <w:rsid w:val="51B9766F"/>
    <w:rsid w:val="57462870"/>
    <w:rsid w:val="5A9F65E5"/>
    <w:rsid w:val="5E104167"/>
    <w:rsid w:val="60BC0B6F"/>
    <w:rsid w:val="61546F28"/>
    <w:rsid w:val="68430E0B"/>
    <w:rsid w:val="696F5C06"/>
    <w:rsid w:val="6B6F63E1"/>
    <w:rsid w:val="6E41423D"/>
    <w:rsid w:val="70957ADB"/>
    <w:rsid w:val="7BF81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p1"/>
    <w:basedOn w:val="1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kern w:val="0"/>
      <w:sz w:val="21"/>
      <w:szCs w:val="21"/>
      <w:lang w:val="zh-CN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234</Words>
  <Characters>1546</Characters>
  <Lines>0</Lines>
  <Paragraphs>0</Paragraphs>
  <TotalTime>34</TotalTime>
  <ScaleCrop>false</ScaleCrop>
  <LinksUpToDate>false</LinksUpToDate>
  <CharactersWithSpaces>1769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2026-08-14T07:56:00Z</dcterms:created>
  <dc:creator>MSI-NB</dc:creator>
  <cp:lastModifiedBy>王</cp:lastModifiedBy>
  <dcterms:modified xsi:type="dcterms:W3CDTF">2026-08-17T12:45:03Z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eyJoZGlkIjoiYzE0YTlhMGY0N2MyMjJiODYwZTM5N2FkODM4MjcxMTkiLCJ1c2VySWQiOiI1NDkxMjIyMjcifQ==</vt:lpwstr>
  </property>
  <property fmtid="{D5CDD505-2E9C-101B-9397-08002B2CF9AE}" pid="4" name="ICV">
    <vt:lpwstr>EC13FB41792244AFB944F51D4F7D09C3_12</vt:lpwstr>
  </property>
</Properties>
</file>