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E294">
      <w:pPr>
        <w:spacing w:after="0" w:line="480" w:lineRule="auto"/>
        <w:jc w:val="both"/>
      </w:pPr>
      <w:bookmarkStart w:id="0" w:name="_GoBack"/>
      <w:bookmarkEnd w:id="0"/>
      <w:r>
        <w:rPr>
          <w:rFonts w:eastAsia="Calibri" w:cstheme="minorHAnsi"/>
          <w:b/>
          <w:bCs/>
        </w:rPr>
        <w:t xml:space="preserve">Supplementary Table 5. </w:t>
      </w:r>
      <w:r>
        <w:t xml:space="preserve">Association of  </w:t>
      </w:r>
      <w:r>
        <w:rPr>
          <w:rFonts w:cstheme="minorHAnsi"/>
        </w:rPr>
        <w:t>top significant SNP (SNP46961, on chr 8)</w:t>
      </w:r>
      <w:r>
        <w:t xml:space="preserve"> </w:t>
      </w:r>
      <w:r>
        <w:rPr>
          <w:rFonts w:cstheme="minorHAnsi"/>
        </w:rPr>
        <w:t xml:space="preserve">at </w:t>
      </w:r>
      <w:r>
        <w:rPr>
          <w:rFonts w:cstheme="minorHAnsi"/>
          <w:i/>
        </w:rPr>
        <w:t>qMCR8.1</w:t>
      </w:r>
      <w:r>
        <w:rPr>
          <w:rFonts w:cstheme="minorHAnsi"/>
        </w:rPr>
        <w:t xml:space="preserve"> </w:t>
      </w:r>
      <w:r>
        <w:t xml:space="preserve">locus </w:t>
      </w:r>
      <w:r>
        <w:rPr>
          <w:rFonts w:cstheme="minorHAnsi"/>
        </w:rPr>
        <w:t xml:space="preserve">with the content of citrate, malate (MAL) and </w:t>
      </w:r>
      <w:r>
        <w:rPr>
          <w:rFonts w:ascii="Calibri" w:hAnsi="Calibri" w:eastAsia="Calibri" w:cs="Calibri"/>
          <w:bCs/>
        </w:rPr>
        <w:t>malate/citrate ratio (MC</w:t>
      </w:r>
      <w:r>
        <w:rPr>
          <w:rFonts w:ascii="Calibri" w:hAnsi="Calibri" w:eastAsia="Calibri" w:cs="Calibri"/>
          <w:bCs/>
          <w:vertAlign w:val="subscript"/>
        </w:rPr>
        <w:t>ratio</w:t>
      </w:r>
      <w:r>
        <w:rPr>
          <w:rFonts w:ascii="Calibri" w:hAnsi="Calibri" w:eastAsia="Calibri" w:cs="Calibri"/>
          <w:bCs/>
        </w:rPr>
        <w:t xml:space="preserve">) </w:t>
      </w:r>
      <w:r>
        <w:rPr>
          <w:rFonts w:cstheme="minorHAnsi"/>
        </w:rPr>
        <w:t xml:space="preserve">using data from Gurrieri et al.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ADDIN EN.CITE &lt;EndNote&gt;&lt;Cite&gt;&lt;Author&gt;Gurrieri&lt;/Author&gt;&lt;Year&gt;2001&lt;/Year&gt;&lt;RecNum&gt;342&lt;/RecNum&gt;&lt;DisplayText&gt;&lt;style face="superscript"&gt;[38]&lt;/style&gt;&lt;/DisplayText&gt;&lt;record&gt;&lt;rec-number&gt;342&lt;/rec-number&gt;&lt;foreign-keys&gt;&lt;key app="EN" db-id="er9v29w28wpfayevval5zsvqapwf00ez5ftv" timestamp="1732205512"&gt;342&lt;/key&gt;&lt;/foreign-keys&gt;&lt;ref-type name="Journal Article"&gt;17&lt;/ref-type&gt;&lt;contributors&gt;&lt;authors&gt;&lt;author&gt;Gurrieri, Fabrizio&lt;/author&gt;&lt;author&gt;Audergon, Jean-Marc&lt;/author&gt;&lt;author&gt;Albagnac, Guy&lt;/author&gt;&lt;author&gt;Reich, Maryse&lt;/author&gt;&lt;/authors&gt;&lt;/contributors&gt;&lt;titles&gt;&lt;title&gt;Soluble sugars and carboxylic acids in ripe apricot fruit as parameters for distinguishing different cultivars&lt;/title&gt;&lt;secondary-title&gt;Euphytica&lt;/secondary-title&gt;&lt;/titles&gt;&lt;periodical&gt;&lt;full-title&gt;Euphytica&lt;/full-title&gt;&lt;/periodical&gt;&lt;pages&gt;183-189&lt;/pages&gt;&lt;volume&gt;117&lt;/volume&gt;&lt;number&gt;3&lt;/number&gt;&lt;dates&gt;&lt;year&gt;2001&lt;/year&gt;&lt;pub-dates&gt;&lt;date&gt;2001/02/01&lt;/date&gt;&lt;/pub-dates&gt;&lt;/dates&gt;&lt;isbn&gt;1573-5060&lt;/isbn&gt;&lt;urls&gt;&lt;related-urls&gt;&lt;url&gt;https://doi.org/10.1023/A:1026595528044&lt;/url&gt;&lt;/related-urls&gt;&lt;/urls&gt;&lt;electronic-resource-num&gt;10.1023/A:1026595528044&lt;/electronic-resource-num&gt;&lt;/record&gt;&lt;/Cite&gt;&lt;/EndNote&gt;</w:instrText>
      </w:r>
      <w:r>
        <w:rPr>
          <w:rFonts w:cstheme="minorHAnsi"/>
        </w:rPr>
        <w:fldChar w:fldCharType="separate"/>
      </w:r>
      <w:r>
        <w:rPr>
          <w:rFonts w:cstheme="minorHAnsi"/>
          <w:vertAlign w:val="superscript"/>
        </w:rPr>
        <w:t>[38]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and genotypic data extracted from publicly available SRA datasets.</w:t>
      </w:r>
    </w:p>
    <w:p w14:paraId="5F6E1C9C">
      <w:pPr>
        <w:rPr>
          <w:lang w:val="it-IT"/>
        </w:rPr>
      </w:pPr>
    </w:p>
    <w:tbl>
      <w:tblPr>
        <w:tblStyle w:val="2"/>
        <w:tblW w:w="9360" w:type="dxa"/>
        <w:tblInd w:w="5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80"/>
        <w:gridCol w:w="1000"/>
        <w:gridCol w:w="1200"/>
        <w:gridCol w:w="940"/>
        <w:gridCol w:w="940"/>
        <w:gridCol w:w="940"/>
        <w:gridCol w:w="1420"/>
        <w:gridCol w:w="1140"/>
      </w:tblGrid>
      <w:tr w14:paraId="2B4AA7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76AA7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  <w:t>name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AE978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  <w:t>accession code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71F17B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  <w:t>origin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65CB1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  <w:t>Malic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862F4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  <w:t>Citric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2F76A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  <w:t>MC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vertAlign w:val="subscript"/>
                <w:lang/>
              </w:rPr>
              <w:t>ratio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5739A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  <w:t>SRA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E67D8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18"/>
                <w:lang/>
              </w:rPr>
              <w:t>SNP46961</w:t>
            </w:r>
          </w:p>
        </w:tc>
      </w:tr>
      <w:tr w14:paraId="21CFF5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9A68D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9C581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7547CD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7FF472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/>
              </w:rPr>
              <w:t>meq/100 g FW</w:t>
            </w: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EDF12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19335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706B19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/>
              </w:rPr>
            </w:pPr>
          </w:p>
        </w:tc>
      </w:tr>
      <w:tr w14:paraId="7B92EC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EBA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Rouge du Roussillon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9209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EE91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France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E1EA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7.3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C60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18.7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9F20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B1A2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4FF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A/A</w:t>
            </w:r>
          </w:p>
        </w:tc>
      </w:tr>
      <w:tr w14:paraId="7C2F81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1C8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Rouge de Rivesaltes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012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067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France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30E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8.8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F301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15.9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5AC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3290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A36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A/A</w:t>
            </w:r>
          </w:p>
        </w:tc>
      </w:tr>
      <w:tr w14:paraId="02AA6F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BCA5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Moniqui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B00B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A9F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Spain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ABC5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6.1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1EE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19.8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8F62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CE1A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964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A/A</w:t>
            </w:r>
          </w:p>
        </w:tc>
      </w:tr>
      <w:tr w14:paraId="326F85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6BA2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Cafona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C28A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544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CF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Italy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BB6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ED4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19.7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04D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2F7F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C4C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A/A</w:t>
            </w:r>
          </w:p>
        </w:tc>
      </w:tr>
      <w:tr w14:paraId="7703C9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7F2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Screara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F697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804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7F4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France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262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9.7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B798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22.5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B832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76A1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1439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A/A</w:t>
            </w:r>
          </w:p>
        </w:tc>
      </w:tr>
      <w:tr w14:paraId="63D5B2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8C23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Canino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16C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1343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2F08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Spain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3149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9.3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F29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23.7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DE4F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5F39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928F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A/A</w:t>
            </w:r>
          </w:p>
        </w:tc>
      </w:tr>
      <w:tr w14:paraId="2A44FA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BD24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Rouget de Sernhac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7D01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1714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2CB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France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DFBA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19.9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A16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6.7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1B9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2.97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E3CC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BFC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A/T</w:t>
            </w:r>
          </w:p>
        </w:tc>
      </w:tr>
      <w:tr w14:paraId="5B3256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2090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Ferriana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C95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1727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BD6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Tunisia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1C9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21A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33.3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6E7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0677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SRX1140227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9F9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A/A</w:t>
            </w:r>
          </w:p>
        </w:tc>
      </w:tr>
      <w:tr w14:paraId="5173FC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4F82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Priana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FE2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1729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93F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Tunisia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ECB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8.3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5C3B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21.9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77D4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28EF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9F4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A/A</w:t>
            </w:r>
          </w:p>
        </w:tc>
      </w:tr>
      <w:tr w14:paraId="1C6614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0D06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Beliana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E6D0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1731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A416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France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891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16.3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50A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17.6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B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FA61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FEAD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A/T</w:t>
            </w:r>
          </w:p>
        </w:tc>
      </w:tr>
      <w:tr w14:paraId="6101A1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952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Laycot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21F7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1813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005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Canada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3B5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14.3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0900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20.3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214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FF8A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356D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A/A</w:t>
            </w:r>
          </w:p>
        </w:tc>
      </w:tr>
      <w:tr w14:paraId="11C236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1ADA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Hargrand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4D11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1814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855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Canada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A4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11.5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B63B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14.3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5FD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8540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DBE2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A/T</w:t>
            </w:r>
          </w:p>
        </w:tc>
      </w:tr>
      <w:tr w14:paraId="6394B9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C26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Fantasme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D3BE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1939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98B7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France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28E8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24.4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EB6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CBA8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9.04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553D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1A1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A/T</w:t>
            </w:r>
          </w:p>
        </w:tc>
      </w:tr>
      <w:tr w14:paraId="31975D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B09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Palsteyn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6456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1956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052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South Africa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BD1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20.3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597A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15.3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5AA1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1.33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5AC7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BE5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A/T</w:t>
            </w:r>
          </w:p>
        </w:tc>
      </w:tr>
      <w:tr w14:paraId="06DA5F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83D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Rouge de Fournes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8CE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2129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E5A1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France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E105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17.8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B779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15.5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AC8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9815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B860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A/T</w:t>
            </w:r>
          </w:p>
        </w:tc>
      </w:tr>
      <w:tr w14:paraId="75DCE0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C41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Ivresse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2CE7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2243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E6B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France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4105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24.9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3EA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8.1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7C8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3.07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11EC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2640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A/T</w:t>
            </w:r>
          </w:p>
        </w:tc>
      </w:tr>
      <w:tr w14:paraId="4FB8C3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460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Modesto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E4F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2310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0C0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USA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340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CFD5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21.6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0EC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5F69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E14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A/A</w:t>
            </w:r>
          </w:p>
        </w:tc>
      </w:tr>
      <w:tr w14:paraId="03F62E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2675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Flamingold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06C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2312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85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USA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82F0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8.4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C58D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BAD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6952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SRX1140268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05DB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A/A</w:t>
            </w:r>
          </w:p>
        </w:tc>
      </w:tr>
      <w:tr w14:paraId="74A30C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41A64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Tomcot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7F42C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2669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8F723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USA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27936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15.8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30113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17.8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70601D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0.89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EBADB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ERS5488934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3E7E5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/>
              </w:rPr>
              <w:t>A/T</w:t>
            </w:r>
          </w:p>
        </w:tc>
      </w:tr>
      <w:tr w14:paraId="5643F8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3985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20"/>
                <w:szCs w:val="20"/>
                <w:lang w:val="it-IT"/>
              </w:rPr>
              <w:t>data from Gurrieri et al., 2001</w:t>
            </w:r>
          </w:p>
        </w:tc>
      </w:tr>
    </w:tbl>
    <w:p w14:paraId="1071ADEE">
      <w:pPr>
        <w:rPr>
          <w:lang w:val="it-IT"/>
        </w:rPr>
      </w:pP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64"/>
    <w:rsid w:val="00046F64"/>
    <w:rsid w:val="009D6BAB"/>
    <w:rsid w:val="00F26852"/>
    <w:rsid w:val="15D8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911</Characters>
  <Lines>7</Lines>
  <Paragraphs>2</Paragraphs>
  <TotalTime>0</TotalTime>
  <ScaleCrop>false</ScaleCrop>
  <LinksUpToDate>false</LinksUpToDate>
  <CharactersWithSpaces>930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2024-01-31T13:52:00Z</dcterms:created>
  <dc:creator>Marco Cirilli</dc:creator>
  <cp:lastModifiedBy>Dong</cp:lastModifiedBy>
  <dcterms:modified xsi:type="dcterms:W3CDTF">2025-02-13T02:03:47Z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eyJoZGlkIjoiYmRhODQxYWVhYzNiNzgyYmU0NmU4YWZkMTk4YzRjNWYiLCJ1c2VySWQiOiI0MTIxMDk1MTgifQ==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ACE543CCECE043D88EF7D284156CAB2B_12</vt:lpwstr>
  </property>
</Properties>
</file>