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Supplementary File S1 for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Genomic insights into apple aroma diversity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Authors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Tayab Soomro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Michael Jordan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Sophie Watts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Zoe Migicovsky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Charlie Forney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Jun Song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Sean Myles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color w:val="3c40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Affiliations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 of Plant, Food, and Environmental Sciences, Faculty of Agriculture, Dalhousie University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Agriculture &amp; Agri-Food Canada, Kentville Research and Development Centre, Kentville, Nova Scotia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Methods for genotyping SNP in CMS and MYB retrotransposon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Kompetitive Allele Specific PCR (KASP) genotyping assay method for citramalate synthase SNP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Methods: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KASP assyas were run on genomic DNA samples normalized in 384-well plates. Primer sequences for the assay can be found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Primers used in the KASP assay.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14.000000000001" w:type="dxa"/>
        <w:jc w:val="center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</w:tblBorders>
        <w:tblLayout w:type="fixed"/>
        <w:tblLook w:val="0400"/>
      </w:tblPr>
      <w:tblGrid>
        <w:gridCol w:w="1908"/>
        <w:gridCol w:w="4706"/>
        <w:tblGridChange w:id="0">
          <w:tblGrid>
            <w:gridCol w:w="1908"/>
            <w:gridCol w:w="4706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Primer Name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Primer Sequence (5’ – 3’)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MD_CMS_KASP_G2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GAAGGTGACCAAGTTCATGCTatgccagtggaattcacg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MD_CMS_KASP_C2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GAAGGTCGGAGTCAACGGATTatgccagtggaattcacc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MD_CMS_387_R3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AACTGCAAAATAAAAGTTAATATGGAAA</w:t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assay (5ul reaction) was run using the following reagents: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0.07ul of 100uM primers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2.5ul KASP mastermix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 ul of 3ng/ul DNA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used the following program on a CFX cycler: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Stage 1: 94°C for 15 minutes (Hot-start activation)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Stage 2 (Touchdown):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94°C for 20 seconds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61°C for 1 minute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(decrease by 0.6°C per cycle)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[REPEAT 10x]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Stage 3 (amplification):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94°C for 20 seconds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55°C for 1 minute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[REPEAT 26x]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plates were then read in BioRad CFX for 1 minute at 37°C.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High-resolution DNA melting (HRM)-based assay method to detect redTE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Methods: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High-Resolution DNA melting(HRM)-based genotyping assays were run on genomic DNA samples normalized in 384-well plates. Primer sequences for the assay were taken from Zhang et al. (2019) and can be found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1.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Primers used in the HRM assay.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14.000000000001" w:type="dxa"/>
        <w:jc w:val="center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</w:tblBorders>
        <w:tblLayout w:type="fixed"/>
        <w:tblLook w:val="0400"/>
      </w:tblPr>
      <w:tblGrid>
        <w:gridCol w:w="1908"/>
        <w:gridCol w:w="4706"/>
        <w:tblGridChange w:id="0">
          <w:tblGrid>
            <w:gridCol w:w="1908"/>
            <w:gridCol w:w="4706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Primer Name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Primer Sequence (5’ – 3’)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redTE_F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GGTCACCCAACCCACACTGGGCCTTG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redTE_R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CGGCCGCAATCGCAAGACGCAGA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assay was run using the following reagents: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0.1ul of 100uM primers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2ul of 5ng/ul DNA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2.025 ul sterile water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0.5ul of 10x PCR buffer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0.05ul of 5U/ul Taq</w:t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0.125ul 10x Evagreen Dye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0.2 ul of 10mM dNTPs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used the following program on a CFX cycler: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95°C for 3:30 minutes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95°C for 30 seconds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60°C for 30 seconds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72°C for 30 seconds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[REPEAT 34x]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72°C for 5 minutes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plates were denatured for 3-5 minutes before they were read using a Lightscanner HR384 (Biofire) and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sz w:val="23"/>
          <w:szCs w:val="23"/>
          <w:shd w:fill="f8f8f8" w:val="clear"/>
          <w:rtl w:val="0"/>
        </w:rPr>
        <w:t xml:space="preserve">LightScanner Software with Call-IT 2.5 in ‘amplicon genotyping’ mode.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spacing w:after="0" w:before="0" w:line="36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3rdcrjn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