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F7E0" w14:textId="63669AD6" w:rsidR="007F1B0A" w:rsidRDefault="003560C8">
      <w:r w:rsidRPr="003560C8">
        <w:rPr>
          <w:b/>
          <w:sz w:val="24"/>
        </w:rPr>
        <w:t>Table S</w:t>
      </w:r>
      <w:r w:rsidR="000077EC">
        <w:rPr>
          <w:b/>
          <w:sz w:val="24"/>
        </w:rPr>
        <w:t>3</w:t>
      </w:r>
      <w:r w:rsidRPr="003560C8">
        <w:rPr>
          <w:b/>
          <w:sz w:val="24"/>
        </w:rPr>
        <w:t xml:space="preserve">. </w:t>
      </w:r>
      <w:r w:rsidRPr="003560C8">
        <w:rPr>
          <w:sz w:val="24"/>
        </w:rPr>
        <w:t xml:space="preserve">The nutritive elements content and pH value of the soil in the Changyang orchard and the control orchard. </w:t>
      </w: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1240"/>
        <w:gridCol w:w="2340"/>
        <w:gridCol w:w="1807"/>
        <w:gridCol w:w="2126"/>
      </w:tblGrid>
      <w:tr w:rsidR="001D4AA7" w:rsidRPr="001D4AA7" w14:paraId="6A8D5C00" w14:textId="77777777" w:rsidTr="001D4AA7">
        <w:trPr>
          <w:trHeight w:val="27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C11FC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Orchard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AC091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Changyang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A7A94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Control</w:t>
            </w:r>
          </w:p>
        </w:tc>
      </w:tr>
      <w:tr w:rsidR="001D4AA7" w:rsidRPr="001D4AA7" w14:paraId="59C2BF0C" w14:textId="77777777" w:rsidTr="001D4AA7">
        <w:trPr>
          <w:trHeight w:val="360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5CD7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pH value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9314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7.88 ± 0.05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1A1D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5.54 ± 0.01</w:t>
            </w:r>
          </w:p>
        </w:tc>
      </w:tr>
      <w:tr w:rsidR="001D4AA7" w:rsidRPr="001D4AA7" w14:paraId="2EB9AC93" w14:textId="77777777" w:rsidTr="001D4AA7">
        <w:trPr>
          <w:trHeight w:val="270"/>
          <w:jc w:val="center"/>
        </w:trPr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281A82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nutritive element content</w:t>
            </w:r>
            <w:r w:rsidRPr="001D4AA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mg/kg</w:t>
            </w:r>
            <w:r w:rsidRPr="001D4AA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BD53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Available nitrogen (N)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F9A9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170.81 ± 3.43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A070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136.51 ± 15.72*</w:t>
            </w:r>
          </w:p>
        </w:tc>
      </w:tr>
      <w:tr w:rsidR="001D4AA7" w:rsidRPr="001D4AA7" w14:paraId="2BE79C66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1E4C9C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C1E8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Available phosphorus (P)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B4D4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99.80 ± 14.40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F0CC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139.62 ± 23.35</w:t>
            </w:r>
          </w:p>
        </w:tc>
      </w:tr>
      <w:tr w:rsidR="001D4AA7" w:rsidRPr="001D4AA7" w14:paraId="6C26A42B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7CA2C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E102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Available potassium (K)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00A4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323.00 ± 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513F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297.00 ± 2.00**</w:t>
            </w:r>
          </w:p>
        </w:tc>
      </w:tr>
      <w:tr w:rsidR="001D4AA7" w:rsidRPr="001D4AA7" w14:paraId="3996BDE6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4EE00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2A87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Calcium (Ca)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3D2E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7075.27 ± 40.85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FA21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946.74 ± 22.66**</w:t>
            </w:r>
          </w:p>
        </w:tc>
      </w:tr>
      <w:tr w:rsidR="001D4AA7" w:rsidRPr="001D4AA7" w14:paraId="75648C99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FFE869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E568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 xml:space="preserve">Magnesium </w:t>
            </w:r>
            <w:r w:rsidRPr="001D4AA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Mg</w:t>
            </w:r>
            <w:r w:rsidRPr="001D4AA7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4716B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159.23 ± 1.40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D6E9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343.22 ± 91.82*</w:t>
            </w:r>
          </w:p>
        </w:tc>
      </w:tr>
      <w:tr w:rsidR="001D4AA7" w:rsidRPr="001D4AA7" w14:paraId="38BD6A60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72AF43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638D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Ferrum (Fe)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D344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18.13 ± 0.16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AB6A4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411.38 ± 2.51**</w:t>
            </w:r>
          </w:p>
        </w:tc>
      </w:tr>
      <w:tr w:rsidR="001D4AA7" w:rsidRPr="001D4AA7" w14:paraId="41534750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6B294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B01A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manganese (Mn)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DB91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8.71 ± 0.19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28E9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43.15 ± 1.05**</w:t>
            </w:r>
          </w:p>
        </w:tc>
      </w:tr>
      <w:tr w:rsidR="001D4AA7" w:rsidRPr="001D4AA7" w14:paraId="785CCB41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E3ABA5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9BC7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Copper (Cu)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FC08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0.96 ± 0.01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9779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4.45 ± 0.06**</w:t>
            </w:r>
          </w:p>
        </w:tc>
      </w:tr>
      <w:tr w:rsidR="001D4AA7" w:rsidRPr="001D4AA7" w14:paraId="36306046" w14:textId="77777777" w:rsidTr="001D4AA7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EE75B3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61BE2" w14:textId="77777777" w:rsidR="001D4AA7" w:rsidRPr="001D4AA7" w:rsidRDefault="001D4AA7" w:rsidP="001D4AA7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Zinc (Zn)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88E5C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2.27 ± 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A306C" w14:textId="77777777" w:rsidR="001D4AA7" w:rsidRPr="001D4AA7" w:rsidRDefault="001D4AA7" w:rsidP="001D4AA7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1D4AA7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9.68 ± 0.24**</w:t>
            </w:r>
          </w:p>
        </w:tc>
      </w:tr>
    </w:tbl>
    <w:p w14:paraId="78EA2A61" w14:textId="77777777" w:rsidR="00A61CA5" w:rsidRDefault="00A61CA5" w:rsidP="00A61CA5">
      <w:r>
        <w:rPr>
          <w:rFonts w:hint="eastAsia"/>
        </w:rPr>
        <w:t xml:space="preserve">Note: </w:t>
      </w:r>
      <w:r w:rsidRPr="004E29F3">
        <w:t xml:space="preserve">A single asterisk (*) represents statistically significant differences (P &lt; 0.05), and double asterisks (**) represent </w:t>
      </w:r>
      <w:r w:rsidR="00701FDB" w:rsidRPr="00701FDB">
        <w:t>highly</w:t>
      </w:r>
      <w:r w:rsidR="00701FDB">
        <w:t xml:space="preserve"> </w:t>
      </w:r>
      <w:r w:rsidRPr="004E29F3">
        <w:t>statistically significant differences (P &lt; 0.01). Analysed using Student's t-test.</w:t>
      </w:r>
      <w:r>
        <w:rPr>
          <w:rFonts w:hint="eastAsia"/>
        </w:rPr>
        <w:t xml:space="preserve"> </w:t>
      </w:r>
    </w:p>
    <w:p w14:paraId="4A68B9FB" w14:textId="77777777" w:rsidR="007F1B0A" w:rsidRDefault="007F1B0A"/>
    <w:sectPr w:rsidR="007F1B0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F764" w14:textId="77777777" w:rsidR="000238D7" w:rsidRDefault="000238D7" w:rsidP="007F1B0A">
      <w:r>
        <w:separator/>
      </w:r>
    </w:p>
  </w:endnote>
  <w:endnote w:type="continuationSeparator" w:id="0">
    <w:p w14:paraId="165C2E5F" w14:textId="77777777" w:rsidR="000238D7" w:rsidRDefault="000238D7" w:rsidP="007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5FF0" w14:textId="77777777" w:rsidR="000238D7" w:rsidRDefault="000238D7" w:rsidP="007F1B0A">
      <w:r>
        <w:separator/>
      </w:r>
    </w:p>
  </w:footnote>
  <w:footnote w:type="continuationSeparator" w:id="0">
    <w:p w14:paraId="3550E3D3" w14:textId="77777777" w:rsidR="000238D7" w:rsidRDefault="000238D7" w:rsidP="007F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5F"/>
    <w:rsid w:val="000077EC"/>
    <w:rsid w:val="000238D7"/>
    <w:rsid w:val="001D4AA7"/>
    <w:rsid w:val="003560C8"/>
    <w:rsid w:val="00482ABC"/>
    <w:rsid w:val="004E4394"/>
    <w:rsid w:val="00531AB6"/>
    <w:rsid w:val="0064013D"/>
    <w:rsid w:val="00663D6A"/>
    <w:rsid w:val="00701FDB"/>
    <w:rsid w:val="007F1B0A"/>
    <w:rsid w:val="00A61CA5"/>
    <w:rsid w:val="00BD3D5F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4DCA4"/>
  <w15:chartTrackingRefBased/>
  <w15:docId w15:val="{941836B4-6A18-4771-818D-91C56ED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6A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B0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B0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wujuxun</dc:creator>
  <cp:keywords/>
  <dc:description/>
  <cp:lastModifiedBy>宸宇 徐</cp:lastModifiedBy>
  <cp:revision>7</cp:revision>
  <dcterms:created xsi:type="dcterms:W3CDTF">2017-04-11T06:36:00Z</dcterms:created>
  <dcterms:modified xsi:type="dcterms:W3CDTF">2023-11-08T09:58:00Z</dcterms:modified>
</cp:coreProperties>
</file>