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D02E4">
      <w:pPr>
        <w:keepNext w:val="0"/>
        <w:keepLines w:val="0"/>
        <w:pageBreakBefore w:val="0"/>
        <w:widowControl w:val="0"/>
        <w:kinsoku/>
        <w:wordWrap/>
        <w:overflowPunct/>
        <w:topLinePunct w:val="0"/>
        <w:autoSpaceDE/>
        <w:autoSpaceDN/>
        <w:bidi w:val="0"/>
        <w:adjustRightInd/>
        <w:snapToGrid/>
        <w:spacing w:line="240" w:lineRule="auto"/>
        <w:ind w:left="482" w:hanging="482" w:hangingChars="200"/>
        <w:textAlignment w:val="auto"/>
        <w:rPr>
          <w:rFonts w:hint="default" w:ascii="Times New Roman" w:hAnsi="Times New Roman" w:eastAsia="宋体" w:cs="Times New Roman"/>
          <w:sz w:val="24"/>
          <w:lang w:val="en-US" w:eastAsia="zh-CN" w:bidi="ar"/>
        </w:rPr>
      </w:pPr>
      <w:r>
        <w:rPr>
          <w:rFonts w:hint="default" w:ascii="Times New Roman Bold" w:hAnsi="Times New Roman Bold" w:eastAsia="宋体" w:cs="Times New Roman Bold"/>
          <w:b/>
          <w:bCs/>
          <w:sz w:val="24"/>
          <w:highlight w:val="none"/>
          <w:lang w:val="en-US" w:eastAsia="zh-CN" w:bidi="ar"/>
        </w:rPr>
        <w:t>Supplementary Table S1</w:t>
      </w:r>
      <w:r>
        <w:rPr>
          <w:rFonts w:hint="default" w:ascii="Times New Roman" w:hAnsi="Times New Roman" w:eastAsia="宋体" w:cs="Times New Roman"/>
          <w:sz w:val="24"/>
          <w:lang w:val="en-US" w:eastAsia="zh-CN" w:bidi="ar"/>
        </w:rPr>
        <w:t xml:space="preserve"> </w:t>
      </w:r>
      <w:bookmarkStart w:id="0" w:name="_GoBack"/>
      <w:r>
        <w:rPr>
          <w:rFonts w:hint="eastAsia" w:ascii="Times New Roman" w:hAnsi="Times New Roman" w:eastAsia="宋体" w:cs="Times New Roman"/>
          <w:sz w:val="24"/>
          <w:lang w:val="en-US" w:eastAsia="zh-CN" w:bidi="ar"/>
        </w:rPr>
        <w:t>Represe</w:t>
      </w:r>
      <w:bookmarkEnd w:id="0"/>
      <w:r>
        <w:rPr>
          <w:rFonts w:hint="eastAsia" w:ascii="Times New Roman" w:hAnsi="Times New Roman" w:eastAsia="宋体" w:cs="Times New Roman"/>
          <w:sz w:val="24"/>
          <w:lang w:val="en-US" w:eastAsia="zh-CN" w:bidi="ar"/>
        </w:rPr>
        <w:t>ntative ranges of major forest carbon-cycle components reported in recent studies, together with the corresponding measurement or estimation methods</w:t>
      </w:r>
      <w:r>
        <w:rPr>
          <w:rFonts w:hint="default" w:ascii="Times New Roman" w:hAnsi="Times New Roman" w:eastAsia="宋体" w:cs="Times New Roman"/>
          <w:sz w:val="24"/>
          <w:lang w:val="en-US" w:eastAsia="zh-CN" w:bidi="ar"/>
        </w:rPr>
        <w:t>.</w:t>
      </w:r>
    </w:p>
    <w:p w14:paraId="03398FF5">
      <w:pPr>
        <w:keepNext w:val="0"/>
        <w:keepLines w:val="0"/>
        <w:pageBreakBefore w:val="0"/>
        <w:widowControl w:val="0"/>
        <w:kinsoku/>
        <w:wordWrap/>
        <w:overflowPunct/>
        <w:topLinePunct w:val="0"/>
        <w:autoSpaceDE/>
        <w:autoSpaceDN/>
        <w:bidi w:val="0"/>
        <w:adjustRightInd/>
        <w:snapToGrid/>
        <w:spacing w:line="240" w:lineRule="auto"/>
        <w:ind w:left="482" w:hanging="480" w:hangingChars="200"/>
        <w:textAlignment w:val="auto"/>
        <w:rPr>
          <w:rFonts w:hint="default" w:ascii="Times New Roman" w:hAnsi="Times New Roman" w:eastAsia="宋体" w:cs="Times New Roman"/>
          <w:sz w:val="24"/>
          <w:lang w:val="en-US" w:eastAsia="zh-CN" w:bidi="ar"/>
        </w:rPr>
      </w:pPr>
    </w:p>
    <w:tbl>
      <w:tblPr>
        <w:tblStyle w:val="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21"/>
        <w:gridCol w:w="1244"/>
        <w:gridCol w:w="7057"/>
        <w:gridCol w:w="4095"/>
        <w:gridCol w:w="6369"/>
        <w:gridCol w:w="801"/>
      </w:tblGrid>
      <w:tr w14:paraId="385238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0" w:type="auto"/>
            <w:tcBorders>
              <w:bottom w:val="single" w:color="auto" w:sz="4" w:space="0"/>
            </w:tcBorders>
            <w:vAlign w:val="top"/>
          </w:tcPr>
          <w:p w14:paraId="4501D90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Forest type / system</w:t>
            </w:r>
          </w:p>
        </w:tc>
        <w:tc>
          <w:tcPr>
            <w:tcW w:w="0" w:type="auto"/>
            <w:tcBorders>
              <w:bottom w:val="single" w:color="auto" w:sz="4" w:space="0"/>
            </w:tcBorders>
            <w:vAlign w:val="top"/>
          </w:tcPr>
          <w:p w14:paraId="09F82C6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Variable(s)</w:t>
            </w:r>
          </w:p>
        </w:tc>
        <w:tc>
          <w:tcPr>
            <w:tcW w:w="0" w:type="auto"/>
            <w:tcBorders>
              <w:bottom w:val="single" w:color="auto" w:sz="4" w:space="0"/>
            </w:tcBorders>
            <w:vAlign w:val="top"/>
          </w:tcPr>
          <w:p w14:paraId="75C97E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Representative reported value(s)</w:t>
            </w:r>
          </w:p>
        </w:tc>
        <w:tc>
          <w:tcPr>
            <w:tcW w:w="0" w:type="auto"/>
            <w:tcBorders>
              <w:bottom w:val="single" w:color="auto" w:sz="4" w:space="0"/>
            </w:tcBorders>
            <w:vAlign w:val="top"/>
          </w:tcPr>
          <w:p w14:paraId="3E71F4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Monitoring / estimation method</w:t>
            </w:r>
          </w:p>
        </w:tc>
        <w:tc>
          <w:tcPr>
            <w:tcW w:w="0" w:type="auto"/>
            <w:tcBorders>
              <w:bottom w:val="single" w:color="auto" w:sz="4" w:space="0"/>
            </w:tcBorders>
            <w:vAlign w:val="top"/>
          </w:tcPr>
          <w:p w14:paraId="578744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Comparative implication</w:t>
            </w:r>
          </w:p>
        </w:tc>
        <w:tc>
          <w:tcPr>
            <w:tcW w:w="0" w:type="auto"/>
            <w:tcBorders>
              <w:bottom w:val="single" w:color="auto" w:sz="4" w:space="0"/>
            </w:tcBorders>
            <w:vAlign w:val="top"/>
          </w:tcPr>
          <w:p w14:paraId="4C2A89B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Source</w:t>
            </w:r>
          </w:p>
        </w:tc>
      </w:tr>
      <w:tr w14:paraId="577F3C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6" w:hRule="atLeast"/>
        </w:trPr>
        <w:tc>
          <w:tcPr>
            <w:tcW w:w="0" w:type="auto"/>
            <w:tcBorders>
              <w:top w:val="single" w:color="auto" w:sz="4" w:space="0"/>
              <w:tl2br w:val="nil"/>
              <w:tr2bl w:val="nil"/>
            </w:tcBorders>
            <w:vAlign w:val="top"/>
          </w:tcPr>
          <w:p w14:paraId="0A09CF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Naturally regenerating vs. planted forests across China (35 forest EC sites)</w:t>
            </w:r>
          </w:p>
        </w:tc>
        <w:tc>
          <w:tcPr>
            <w:tcW w:w="0" w:type="auto"/>
            <w:tcBorders>
              <w:top w:val="single" w:color="auto" w:sz="4" w:space="0"/>
              <w:tl2br w:val="nil"/>
              <w:tr2bl w:val="nil"/>
            </w:tcBorders>
            <w:vAlign w:val="top"/>
          </w:tcPr>
          <w:p w14:paraId="6B0708F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NEP, GPP, ER</w:t>
            </w:r>
          </w:p>
        </w:tc>
        <w:tc>
          <w:tcPr>
            <w:tcW w:w="0" w:type="auto"/>
            <w:tcBorders>
              <w:top w:val="single" w:color="auto" w:sz="4" w:space="0"/>
              <w:tl2br w:val="nil"/>
              <w:tr2bl w:val="nil"/>
            </w:tcBorders>
            <w:vAlign w:val="top"/>
          </w:tcPr>
          <w:p w14:paraId="6357448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NEP: 6.5-775.58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xml:space="preserve"> (NF); -221.61 to 1125.6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xml:space="preserve"> (PF). Mean GPP: 1448.41 ± 471.13 (NF) vs 1500.68 ± 582.84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xml:space="preserve"> (PF). Mean ER: 1087.08 ± 473.42 (NF) vs 1095.77 ± 349.83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xml:space="preserve"> (PF).</w:t>
            </w:r>
          </w:p>
        </w:tc>
        <w:tc>
          <w:tcPr>
            <w:tcW w:w="0" w:type="auto"/>
            <w:tcBorders>
              <w:top w:val="single" w:color="auto" w:sz="4" w:space="0"/>
              <w:tl2br w:val="nil"/>
              <w:tr2bl w:val="nil"/>
            </w:tcBorders>
            <w:vAlign w:val="top"/>
          </w:tcPr>
          <w:p w14:paraId="3BCFC38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Eddy covariance synthesis</w:t>
            </w:r>
          </w:p>
        </w:tc>
        <w:tc>
          <w:tcPr>
            <w:tcW w:w="0" w:type="auto"/>
            <w:tcBorders>
              <w:top w:val="single" w:color="auto" w:sz="4" w:space="0"/>
              <w:tl2br w:val="nil"/>
              <w:tr2bl w:val="nil"/>
            </w:tcBorders>
            <w:vAlign w:val="top"/>
          </w:tcPr>
          <w:p w14:paraId="6A5882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Shows very large cross-site NEP variability even within one country; stand origin and stand age affect interpretation.</w:t>
            </w:r>
          </w:p>
        </w:tc>
        <w:tc>
          <w:tcPr>
            <w:tcW w:w="0" w:type="auto"/>
            <w:tcBorders>
              <w:top w:val="single" w:color="auto" w:sz="4" w:space="0"/>
              <w:tl2br w:val="nil"/>
              <w:tr2bl w:val="nil"/>
            </w:tcBorders>
            <w:vAlign w:val="top"/>
          </w:tcPr>
          <w:p w14:paraId="2A890D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highlight w:val="yellow"/>
                <w:vertAlign w:val="baseline"/>
                <w:lang w:val="en-US" w:eastAsia="zh-CN" w:bidi="ar"/>
              </w:rPr>
              <w:t>[9]</w:t>
            </w:r>
          </w:p>
        </w:tc>
      </w:tr>
      <w:tr w14:paraId="12CD15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trPr>
        <w:tc>
          <w:tcPr>
            <w:tcW w:w="0" w:type="auto"/>
            <w:tcBorders>
              <w:tl2br w:val="nil"/>
              <w:tr2bl w:val="nil"/>
            </w:tcBorders>
            <w:vAlign w:val="top"/>
          </w:tcPr>
          <w:p w14:paraId="3C7CDC3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Temperate deciduous forest, Kentucky, USA</w:t>
            </w:r>
          </w:p>
        </w:tc>
        <w:tc>
          <w:tcPr>
            <w:tcW w:w="0" w:type="auto"/>
            <w:tcBorders>
              <w:tl2br w:val="nil"/>
              <w:tr2bl w:val="nil"/>
            </w:tcBorders>
            <w:vAlign w:val="top"/>
          </w:tcPr>
          <w:p w14:paraId="71A523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GPP, RE, NEE</w:t>
            </w:r>
          </w:p>
        </w:tc>
        <w:tc>
          <w:tcPr>
            <w:tcW w:w="0" w:type="auto"/>
            <w:tcBorders>
              <w:tl2br w:val="nil"/>
              <w:tr2bl w:val="nil"/>
            </w:tcBorders>
            <w:vAlign w:val="top"/>
          </w:tcPr>
          <w:p w14:paraId="3D4299E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Mean GPP: 1677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Mean RE: 1374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Mean NEE: -303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p>
        </w:tc>
        <w:tc>
          <w:tcPr>
            <w:tcW w:w="0" w:type="auto"/>
            <w:tcBorders>
              <w:tl2br w:val="nil"/>
              <w:tr2bl w:val="nil"/>
            </w:tcBorders>
            <w:vAlign w:val="top"/>
          </w:tcPr>
          <w:p w14:paraId="48EEC95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Eddy covariance (2016-2020)</w:t>
            </w:r>
          </w:p>
        </w:tc>
        <w:tc>
          <w:tcPr>
            <w:tcW w:w="0" w:type="auto"/>
            <w:tcBorders>
              <w:tl2br w:val="nil"/>
              <w:tr2bl w:val="nil"/>
            </w:tcBorders>
            <w:vAlign w:val="top"/>
          </w:tcPr>
          <w:p w14:paraId="43FFA58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A representative temperate forest example showing a persistent carbon sink at the site scale.</w:t>
            </w:r>
          </w:p>
        </w:tc>
        <w:tc>
          <w:tcPr>
            <w:tcW w:w="0" w:type="auto"/>
            <w:tcBorders>
              <w:tl2br w:val="nil"/>
              <w:tr2bl w:val="nil"/>
            </w:tcBorders>
            <w:vAlign w:val="top"/>
          </w:tcPr>
          <w:p w14:paraId="4EE43F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highlight w:val="yellow"/>
                <w:vertAlign w:val="baseline"/>
                <w:lang w:val="en-US" w:eastAsia="zh-CN" w:bidi="ar"/>
              </w:rPr>
              <w:t>[10]</w:t>
            </w:r>
          </w:p>
        </w:tc>
      </w:tr>
      <w:tr w14:paraId="5F1759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5" w:hRule="atLeast"/>
        </w:trPr>
        <w:tc>
          <w:tcPr>
            <w:tcW w:w="0" w:type="auto"/>
            <w:tcBorders>
              <w:tl2br w:val="nil"/>
              <w:tr2bl w:val="nil"/>
            </w:tcBorders>
            <w:vAlign w:val="top"/>
          </w:tcPr>
          <w:p w14:paraId="387210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Circumpolar evergreen boreal forests</w:t>
            </w:r>
          </w:p>
        </w:tc>
        <w:tc>
          <w:tcPr>
            <w:tcW w:w="0" w:type="auto"/>
            <w:tcBorders>
              <w:tl2br w:val="nil"/>
              <w:tr2bl w:val="nil"/>
            </w:tcBorders>
            <w:vAlign w:val="top"/>
          </w:tcPr>
          <w:p w14:paraId="7C0DC2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GPP</w:t>
            </w:r>
          </w:p>
        </w:tc>
        <w:tc>
          <w:tcPr>
            <w:tcW w:w="0" w:type="auto"/>
            <w:tcBorders>
              <w:tl2br w:val="nil"/>
              <w:tr2bl w:val="nil"/>
            </w:tcBorders>
            <w:vAlign w:val="top"/>
          </w:tcPr>
          <w:p w14:paraId="1CA3469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Median annual GPP: 760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90% confidence range: 584-968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p>
        </w:tc>
        <w:tc>
          <w:tcPr>
            <w:tcW w:w="0" w:type="auto"/>
            <w:tcBorders>
              <w:tl2br w:val="nil"/>
              <w:tr2bl w:val="nil"/>
            </w:tcBorders>
            <w:vAlign w:val="top"/>
          </w:tcPr>
          <w:p w14:paraId="2013948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Remote sensing approach trained by eddy-covariance observations and cryosphere-related satellite data</w:t>
            </w:r>
          </w:p>
        </w:tc>
        <w:tc>
          <w:tcPr>
            <w:tcW w:w="0" w:type="auto"/>
            <w:tcBorders>
              <w:tl2br w:val="nil"/>
              <w:tr2bl w:val="nil"/>
            </w:tcBorders>
            <w:vAlign w:val="top"/>
          </w:tcPr>
          <w:p w14:paraId="58EEED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Illustrates that biome-scale boreal GPP estimates can be lower than site-level temperate/subtropical tower values because of aggregation and scaling.</w:t>
            </w:r>
          </w:p>
        </w:tc>
        <w:tc>
          <w:tcPr>
            <w:tcW w:w="0" w:type="auto"/>
            <w:tcBorders>
              <w:tl2br w:val="nil"/>
              <w:tr2bl w:val="nil"/>
            </w:tcBorders>
            <w:vAlign w:val="top"/>
          </w:tcPr>
          <w:p w14:paraId="5A16639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highlight w:val="yellow"/>
                <w:vertAlign w:val="baseline"/>
                <w:lang w:val="en-US" w:eastAsia="zh-CN" w:bidi="ar"/>
              </w:rPr>
              <w:t>[11]</w:t>
            </w:r>
          </w:p>
        </w:tc>
      </w:tr>
      <w:tr w14:paraId="7343C9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trPr>
        <w:tc>
          <w:tcPr>
            <w:tcW w:w="0" w:type="auto"/>
            <w:tcBorders>
              <w:tl2br w:val="nil"/>
              <w:tr2bl w:val="nil"/>
            </w:tcBorders>
            <w:vAlign w:val="top"/>
          </w:tcPr>
          <w:p w14:paraId="20B06C3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European managed forests (historical period)</w:t>
            </w:r>
          </w:p>
        </w:tc>
        <w:tc>
          <w:tcPr>
            <w:tcW w:w="0" w:type="auto"/>
            <w:tcBorders>
              <w:tl2br w:val="nil"/>
              <w:tr2bl w:val="nil"/>
            </w:tcBorders>
            <w:vAlign w:val="top"/>
          </w:tcPr>
          <w:p w14:paraId="4D68F48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NEP, NBP</w:t>
            </w:r>
          </w:p>
        </w:tc>
        <w:tc>
          <w:tcPr>
            <w:tcW w:w="0" w:type="auto"/>
            <w:tcBorders>
              <w:tl2br w:val="nil"/>
              <w:tr2bl w:val="nil"/>
            </w:tcBorders>
            <w:vAlign w:val="top"/>
          </w:tcPr>
          <w:p w14:paraId="773B40D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Average NEP: about 1.3 t C ha</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Average NBP: 0.60 t C ha</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p>
        </w:tc>
        <w:tc>
          <w:tcPr>
            <w:tcW w:w="0" w:type="auto"/>
            <w:tcBorders>
              <w:tl2br w:val="nil"/>
              <w:tr2bl w:val="nil"/>
            </w:tcBorders>
            <w:vAlign w:val="top"/>
          </w:tcPr>
          <w:p w14:paraId="5B13A26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Carbon Budget Model / management + disturbance accounting</w:t>
            </w:r>
          </w:p>
        </w:tc>
        <w:tc>
          <w:tcPr>
            <w:tcW w:w="0" w:type="auto"/>
            <w:tcBorders>
              <w:tl2br w:val="nil"/>
              <w:tr2bl w:val="nil"/>
            </w:tcBorders>
            <w:vAlign w:val="top"/>
          </w:tcPr>
          <w:p w14:paraId="414D01C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Demonstrates that NBP is lower than NEP when harvest and natural disturbances are explicitly included.</w:t>
            </w:r>
          </w:p>
        </w:tc>
        <w:tc>
          <w:tcPr>
            <w:tcW w:w="0" w:type="auto"/>
            <w:tcBorders>
              <w:tl2br w:val="nil"/>
              <w:tr2bl w:val="nil"/>
            </w:tcBorders>
            <w:vAlign w:val="top"/>
          </w:tcPr>
          <w:p w14:paraId="09213F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highlight w:val="yellow"/>
                <w:vertAlign w:val="baseline"/>
                <w:lang w:val="en-US" w:eastAsia="zh-CN" w:bidi="ar"/>
              </w:rPr>
              <w:t>[12]</w:t>
            </w:r>
          </w:p>
        </w:tc>
      </w:tr>
      <w:tr w14:paraId="4EBC58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trPr>
        <w:tc>
          <w:tcPr>
            <w:tcW w:w="0" w:type="auto"/>
            <w:tcBorders>
              <w:tl2br w:val="nil"/>
              <w:tr2bl w:val="nil"/>
            </w:tcBorders>
            <w:vAlign w:val="top"/>
          </w:tcPr>
          <w:p w14:paraId="210325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Subtropical forests of southeast China</w:t>
            </w:r>
          </w:p>
        </w:tc>
        <w:tc>
          <w:tcPr>
            <w:tcW w:w="0" w:type="auto"/>
            <w:tcBorders>
              <w:tl2br w:val="nil"/>
              <w:tr2bl w:val="nil"/>
            </w:tcBorders>
            <w:vAlign w:val="top"/>
          </w:tcPr>
          <w:p w14:paraId="39E56D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Rh, Ra</w:t>
            </w:r>
          </w:p>
        </w:tc>
        <w:tc>
          <w:tcPr>
            <w:tcW w:w="0" w:type="auto"/>
            <w:tcBorders>
              <w:tl2br w:val="nil"/>
              <w:tr2bl w:val="nil"/>
            </w:tcBorders>
            <w:vAlign w:val="top"/>
          </w:tcPr>
          <w:p w14:paraId="5874F0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Rh: 0.8-1.6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day</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Ra: 0.5-0.8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day</w:t>
            </w:r>
            <w:r>
              <w:rPr>
                <w:rFonts w:hint="default" w:ascii="Times New Roman" w:hAnsi="Times New Roman" w:eastAsia="宋体" w:cs="Times New Roman"/>
                <w:sz w:val="21"/>
                <w:szCs w:val="21"/>
                <w:vertAlign w:val="superscript"/>
                <w:lang w:val="en-US" w:eastAsia="zh-CN" w:bidi="ar"/>
              </w:rPr>
              <w:t>-1</w:t>
            </w:r>
          </w:p>
        </w:tc>
        <w:tc>
          <w:tcPr>
            <w:tcW w:w="0" w:type="auto"/>
            <w:tcBorders>
              <w:tl2br w:val="nil"/>
              <w:tr2bl w:val="nil"/>
            </w:tcBorders>
            <w:vAlign w:val="top"/>
          </w:tcPr>
          <w:p w14:paraId="28368BB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Independent process-based models validated with field data</w:t>
            </w:r>
          </w:p>
        </w:tc>
        <w:tc>
          <w:tcPr>
            <w:tcW w:w="0" w:type="auto"/>
            <w:tcBorders>
              <w:tl2br w:val="nil"/>
              <w:tr2bl w:val="nil"/>
            </w:tcBorders>
            <w:vAlign w:val="top"/>
          </w:tcPr>
          <w:p w14:paraId="4AB0CD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Shows that Rh exceeded Ra in these subtropical forests; also highlights that partitioned respiration components are method-sensitive.</w:t>
            </w:r>
          </w:p>
        </w:tc>
        <w:tc>
          <w:tcPr>
            <w:tcW w:w="0" w:type="auto"/>
            <w:tcBorders>
              <w:tl2br w:val="nil"/>
              <w:tr2bl w:val="nil"/>
            </w:tcBorders>
            <w:vAlign w:val="top"/>
          </w:tcPr>
          <w:p w14:paraId="74B7EF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highlight w:val="yellow"/>
                <w:vertAlign w:val="baseline"/>
                <w:lang w:val="en-US" w:eastAsia="zh-CN" w:bidi="ar"/>
              </w:rPr>
              <w:t>[13]</w:t>
            </w:r>
          </w:p>
        </w:tc>
      </w:tr>
      <w:tr w14:paraId="3CE530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trPr>
        <w:tc>
          <w:tcPr>
            <w:tcW w:w="0" w:type="auto"/>
            <w:tcBorders>
              <w:tl2br w:val="nil"/>
              <w:tr2bl w:val="nil"/>
            </w:tcBorders>
            <w:vAlign w:val="top"/>
          </w:tcPr>
          <w:p w14:paraId="166D39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Pacific Northwest old-growth Douglas-fir forest</w:t>
            </w:r>
          </w:p>
        </w:tc>
        <w:tc>
          <w:tcPr>
            <w:tcW w:w="0" w:type="auto"/>
            <w:tcBorders>
              <w:tl2br w:val="nil"/>
              <w:tr2bl w:val="nil"/>
            </w:tcBorders>
            <w:vAlign w:val="top"/>
          </w:tcPr>
          <w:p w14:paraId="52CC70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DOC</w:t>
            </w:r>
          </w:p>
        </w:tc>
        <w:tc>
          <w:tcPr>
            <w:tcW w:w="0" w:type="auto"/>
            <w:tcBorders>
              <w:tl2br w:val="nil"/>
              <w:tr2bl w:val="nil"/>
            </w:tcBorders>
            <w:vAlign w:val="top"/>
          </w:tcPr>
          <w:p w14:paraId="7198FC1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DOC flux into groundwater: 2.7-3.7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DOC flux into shallow soil: 73-210 g C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yr</w:t>
            </w:r>
            <w:r>
              <w:rPr>
                <w:rFonts w:hint="default" w:ascii="Times New Roman" w:hAnsi="Times New Roman" w:eastAsia="宋体" w:cs="Times New Roman"/>
                <w:sz w:val="21"/>
                <w:szCs w:val="21"/>
                <w:vertAlign w:val="superscript"/>
                <w:lang w:val="en-US" w:eastAsia="zh-CN" w:bidi="ar"/>
              </w:rPr>
              <w:t>-1</w:t>
            </w:r>
          </w:p>
        </w:tc>
        <w:tc>
          <w:tcPr>
            <w:tcW w:w="0" w:type="auto"/>
            <w:tcBorders>
              <w:tl2br w:val="nil"/>
              <w:tr2bl w:val="nil"/>
            </w:tcBorders>
            <w:vAlign w:val="top"/>
          </w:tcPr>
          <w:p w14:paraId="6755C21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Tension lysimeters + hydrologic model</w:t>
            </w:r>
          </w:p>
        </w:tc>
        <w:tc>
          <w:tcPr>
            <w:tcW w:w="0" w:type="auto"/>
            <w:tcBorders>
              <w:tl2br w:val="nil"/>
              <w:tr2bl w:val="nil"/>
            </w:tcBorders>
            <w:vAlign w:val="top"/>
          </w:tcPr>
          <w:p w14:paraId="36EF9A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DOC loss to groundwater was small at this site, but vertical DOC transfer within the soil profile was much larger.</w:t>
            </w:r>
          </w:p>
        </w:tc>
        <w:tc>
          <w:tcPr>
            <w:tcW w:w="0" w:type="auto"/>
            <w:tcBorders>
              <w:tl2br w:val="nil"/>
              <w:tr2bl w:val="nil"/>
            </w:tcBorders>
            <w:vAlign w:val="top"/>
          </w:tcPr>
          <w:p w14:paraId="0685C65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highlight w:val="yellow"/>
                <w:vertAlign w:val="baseline"/>
                <w:lang w:val="en-US" w:eastAsia="zh-CN" w:bidi="ar"/>
              </w:rPr>
              <w:t>[14]</w:t>
            </w:r>
          </w:p>
        </w:tc>
      </w:tr>
      <w:tr w14:paraId="545490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5" w:hRule="atLeast"/>
        </w:trPr>
        <w:tc>
          <w:tcPr>
            <w:tcW w:w="0" w:type="auto"/>
            <w:tcBorders>
              <w:tl2br w:val="nil"/>
              <w:tr2bl w:val="nil"/>
            </w:tcBorders>
            <w:vAlign w:val="top"/>
          </w:tcPr>
          <w:p w14:paraId="36A0E1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Global forest streams</w:t>
            </w:r>
          </w:p>
        </w:tc>
        <w:tc>
          <w:tcPr>
            <w:tcW w:w="0" w:type="auto"/>
            <w:tcBorders>
              <w:tl2br w:val="nil"/>
              <w:tr2bl w:val="nil"/>
            </w:tcBorders>
            <w:vAlign w:val="top"/>
          </w:tcPr>
          <w:p w14:paraId="57CEA2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DOC</w:t>
            </w:r>
          </w:p>
        </w:tc>
        <w:tc>
          <w:tcPr>
            <w:tcW w:w="0" w:type="auto"/>
            <w:tcBorders>
              <w:tl2br w:val="nil"/>
              <w:tr2bl w:val="nil"/>
            </w:tcBorders>
            <w:vAlign w:val="top"/>
          </w:tcPr>
          <w:p w14:paraId="5DC5364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Annual DOC export: ~0.20 Pg C yr</w:t>
            </w:r>
            <w:r>
              <w:rPr>
                <w:rFonts w:hint="default" w:ascii="Times New Roman" w:hAnsi="Times New Roman" w:eastAsia="宋体" w:cs="Times New Roman"/>
                <w:sz w:val="21"/>
                <w:szCs w:val="21"/>
                <w:vertAlign w:val="superscript"/>
                <w:lang w:val="en-US" w:eastAsia="zh-CN" w:bidi="ar"/>
              </w:rPr>
              <w:t>-1</w:t>
            </w:r>
            <w:r>
              <w:rPr>
                <w:rFonts w:hint="default" w:ascii="Times New Roman" w:hAnsi="Times New Roman" w:eastAsia="宋体" w:cs="Times New Roman"/>
                <w:sz w:val="21"/>
                <w:szCs w:val="21"/>
                <w:vertAlign w:val="baseline"/>
                <w:lang w:val="en-US" w:eastAsia="zh-CN" w:bidi="ar"/>
              </w:rPr>
              <w:t xml:space="preserve"> (range 0.06-0.39 Pg); DOC:GPP ratio: ≤ 0.01% to 1.63% across climate zones</w:t>
            </w:r>
          </w:p>
        </w:tc>
        <w:tc>
          <w:tcPr>
            <w:tcW w:w="0" w:type="auto"/>
            <w:tcBorders>
              <w:tl2br w:val="nil"/>
              <w:tr2bl w:val="nil"/>
            </w:tcBorders>
            <w:vAlign w:val="top"/>
          </w:tcPr>
          <w:p w14:paraId="310418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Random forest model using &gt;3000 observations + stream discharge database</w:t>
            </w:r>
          </w:p>
        </w:tc>
        <w:tc>
          <w:tcPr>
            <w:tcW w:w="0" w:type="auto"/>
            <w:tcBorders>
              <w:tl2br w:val="nil"/>
              <w:tr2bl w:val="nil"/>
            </w:tcBorders>
            <w:vAlign w:val="top"/>
          </w:tcPr>
          <w:p w14:paraId="25ED85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Indicates that DOC export is usually much smaller than GPP, but can still become non-negligible in accounting terms in some hydro-climatic settings.</w:t>
            </w:r>
          </w:p>
        </w:tc>
        <w:tc>
          <w:tcPr>
            <w:tcW w:w="0" w:type="auto"/>
            <w:tcBorders>
              <w:tl2br w:val="nil"/>
              <w:tr2bl w:val="nil"/>
            </w:tcBorders>
            <w:vAlign w:val="top"/>
          </w:tcPr>
          <w:p w14:paraId="12E3C08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highlight w:val="yellow"/>
                <w:vertAlign w:val="baseline"/>
                <w:lang w:val="en-US" w:eastAsia="zh-CN" w:bidi="ar"/>
              </w:rPr>
              <w:t>[15]</w:t>
            </w:r>
          </w:p>
        </w:tc>
      </w:tr>
      <w:tr w14:paraId="4D946FC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6" w:hRule="atLeast"/>
        </w:trPr>
        <w:tc>
          <w:tcPr>
            <w:tcW w:w="0" w:type="auto"/>
            <w:tcBorders>
              <w:tl2br w:val="nil"/>
              <w:tr2bl w:val="nil"/>
            </w:tcBorders>
            <w:vAlign w:val="top"/>
          </w:tcPr>
          <w:p w14:paraId="31165B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Scandinavian boreal forest (summer campaign)</w:t>
            </w:r>
          </w:p>
        </w:tc>
        <w:tc>
          <w:tcPr>
            <w:tcW w:w="0" w:type="auto"/>
            <w:tcBorders>
              <w:tl2br w:val="nil"/>
              <w:tr2bl w:val="nil"/>
            </w:tcBorders>
            <w:vAlign w:val="top"/>
          </w:tcPr>
          <w:p w14:paraId="2C0C90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BVOC / VOC</w:t>
            </w:r>
          </w:p>
        </w:tc>
        <w:tc>
          <w:tcPr>
            <w:tcW w:w="0" w:type="auto"/>
            <w:tcBorders>
              <w:tl2br w:val="nil"/>
              <w:tr2bl w:val="nil"/>
            </w:tcBorders>
            <w:vAlign w:val="top"/>
          </w:tcPr>
          <w:p w14:paraId="754F83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Total monoterpene flux: 386 ± 5 ng m</w:t>
            </w:r>
            <w:r>
              <w:rPr>
                <w:rFonts w:hint="default" w:ascii="Times New Roman" w:hAnsi="Times New Roman" w:eastAsia="宋体" w:cs="Times New Roman"/>
                <w:sz w:val="21"/>
                <w:szCs w:val="21"/>
                <w:vertAlign w:val="superscript"/>
                <w:lang w:val="en-US" w:eastAsia="zh-CN" w:bidi="ar"/>
              </w:rPr>
              <w:t>-2</w:t>
            </w:r>
            <w:r>
              <w:rPr>
                <w:rFonts w:hint="default" w:ascii="Times New Roman" w:hAnsi="Times New Roman" w:eastAsia="宋体" w:cs="Times New Roman"/>
                <w:sz w:val="21"/>
                <w:szCs w:val="21"/>
                <w:vertAlign w:val="baseline"/>
                <w:lang w:val="en-US" w:eastAsia="zh-CN" w:bidi="ar"/>
              </w:rPr>
              <w:t xml:space="preserve"> s</w:t>
            </w:r>
            <w:r>
              <w:rPr>
                <w:rFonts w:hint="default" w:ascii="Times New Roman" w:hAnsi="Times New Roman" w:eastAsia="宋体" w:cs="Times New Roman"/>
                <w:sz w:val="21"/>
                <w:szCs w:val="21"/>
                <w:vertAlign w:val="superscript"/>
                <w:lang w:val="en-US" w:eastAsia="zh-CN" w:bidi="ar"/>
              </w:rPr>
              <w:t>-1</w:t>
            </w:r>
          </w:p>
        </w:tc>
        <w:tc>
          <w:tcPr>
            <w:tcW w:w="0" w:type="auto"/>
            <w:tcBorders>
              <w:tl2br w:val="nil"/>
              <w:tr2bl w:val="nil"/>
            </w:tcBorders>
            <w:vAlign w:val="top"/>
          </w:tcPr>
          <w:p w14:paraId="47D57E2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Eddy covariance using Vocus PTR-ToF-MS; speciated MT fluxes supplemented by SLG + TD-GC-MS</w:t>
            </w:r>
          </w:p>
        </w:tc>
        <w:tc>
          <w:tcPr>
            <w:tcW w:w="0" w:type="auto"/>
            <w:tcBorders>
              <w:tl2br w:val="nil"/>
              <w:tr2bl w:val="nil"/>
            </w:tcBorders>
            <w:vAlign w:val="top"/>
          </w:tcPr>
          <w:p w14:paraId="4D29BFA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vertAlign w:val="baseline"/>
                <w:lang w:val="en-US" w:eastAsia="zh-CN" w:bidi="ar"/>
              </w:rPr>
              <w:t>BVOC carbon losses are much smaller than CO</w:t>
            </w:r>
            <w:r>
              <w:rPr>
                <w:rFonts w:hint="default" w:ascii="Times New Roman" w:hAnsi="Times New Roman" w:eastAsia="宋体" w:cs="Times New Roman"/>
                <w:sz w:val="21"/>
                <w:szCs w:val="21"/>
                <w:vertAlign w:val="subscript"/>
                <w:lang w:val="en-US" w:eastAsia="zh-CN" w:bidi="ar"/>
              </w:rPr>
              <w:t>2</w:t>
            </w:r>
            <w:r>
              <w:rPr>
                <w:rFonts w:hint="default" w:ascii="Times New Roman" w:hAnsi="Times New Roman" w:eastAsia="宋体" w:cs="Times New Roman"/>
                <w:sz w:val="21"/>
                <w:szCs w:val="21"/>
                <w:vertAlign w:val="baseline"/>
                <w:lang w:val="en-US" w:eastAsia="zh-CN" w:bidi="ar"/>
              </w:rPr>
              <w:t xml:space="preserve"> fluxes, but their ecosystem-scale magnitude is measurable and relevant for non-CO</w:t>
            </w:r>
            <w:r>
              <w:rPr>
                <w:rFonts w:hint="default" w:ascii="Times New Roman" w:hAnsi="Times New Roman" w:eastAsia="宋体" w:cs="Times New Roman"/>
                <w:sz w:val="21"/>
                <w:szCs w:val="21"/>
                <w:vertAlign w:val="subscript"/>
                <w:lang w:val="en-US" w:eastAsia="zh-CN" w:bidi="ar"/>
              </w:rPr>
              <w:t>2</w:t>
            </w:r>
            <w:r>
              <w:rPr>
                <w:rFonts w:hint="default" w:ascii="Times New Roman" w:hAnsi="Times New Roman" w:eastAsia="宋体" w:cs="Times New Roman"/>
                <w:sz w:val="21"/>
                <w:szCs w:val="21"/>
                <w:vertAlign w:val="baseline"/>
                <w:lang w:val="en-US" w:eastAsia="zh-CN" w:bidi="ar"/>
              </w:rPr>
              <w:t xml:space="preserve"> carbon accounting and atmospheric chemistry.</w:t>
            </w:r>
          </w:p>
        </w:tc>
        <w:tc>
          <w:tcPr>
            <w:tcW w:w="0" w:type="auto"/>
            <w:tcBorders>
              <w:tl2br w:val="nil"/>
              <w:tr2bl w:val="nil"/>
            </w:tcBorders>
            <w:vAlign w:val="top"/>
          </w:tcPr>
          <w:p w14:paraId="258ABB5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vertAlign w:val="baseline"/>
                <w:lang w:val="en-US" w:eastAsia="zh-CN" w:bidi="ar"/>
              </w:rPr>
            </w:pPr>
            <w:r>
              <w:rPr>
                <w:rFonts w:hint="default" w:ascii="Times New Roman" w:hAnsi="Times New Roman" w:eastAsia="宋体" w:cs="Times New Roman"/>
                <w:sz w:val="21"/>
                <w:szCs w:val="21"/>
                <w:highlight w:val="yellow"/>
                <w:vertAlign w:val="baseline"/>
                <w:lang w:val="en-US" w:eastAsia="zh-CN" w:bidi="ar"/>
              </w:rPr>
              <w:t>[16]</w:t>
            </w:r>
          </w:p>
        </w:tc>
      </w:tr>
    </w:tbl>
    <w:p w14:paraId="44A481D2">
      <w:pPr>
        <w:keepNext w:val="0"/>
        <w:keepLines w:val="0"/>
        <w:pageBreakBefore w:val="0"/>
        <w:widowControl w:val="0"/>
        <w:numPr>
          <w:ilvl w:val="0"/>
          <w:numId w:val="0"/>
        </w:numPr>
        <w:kinsoku/>
        <w:wordWrap/>
        <w:overflowPunct/>
        <w:topLinePunct w:val="0"/>
        <w:autoSpaceDE w:val="0"/>
        <w:autoSpaceDN w:val="0"/>
        <w:bidi w:val="0"/>
        <w:adjustRightInd w:val="0"/>
        <w:snapToGrid/>
        <w:spacing w:before="313" w:beforeLines="100" w:after="313" w:afterLines="100" w:line="240" w:lineRule="auto"/>
        <w:jc w:val="left"/>
        <w:textAlignment w:val="auto"/>
        <w:rPr>
          <w:rFonts w:ascii="Times New Roman Bold" w:hAnsi="Times New Roman Bold" w:eastAsia="宋体" w:cs="Times New Roman Bold"/>
          <w:b/>
          <w:bCs/>
          <w:sz w:val="24"/>
          <w:lang w:bidi="ar"/>
        </w:rPr>
      </w:pPr>
    </w:p>
    <w:p w14:paraId="03CC1CD9">
      <w:pPr>
        <w:keepNext w:val="0"/>
        <w:keepLines w:val="0"/>
        <w:pageBreakBefore w:val="0"/>
        <w:widowControl w:val="0"/>
        <w:numPr>
          <w:ilvl w:val="0"/>
          <w:numId w:val="0"/>
        </w:numPr>
        <w:kinsoku/>
        <w:wordWrap/>
        <w:overflowPunct/>
        <w:topLinePunct w:val="0"/>
        <w:autoSpaceDE w:val="0"/>
        <w:autoSpaceDN w:val="0"/>
        <w:bidi w:val="0"/>
        <w:adjustRightInd w:val="0"/>
        <w:snapToGrid/>
        <w:spacing w:before="313" w:beforeLines="100" w:after="313" w:afterLines="100" w:line="240" w:lineRule="auto"/>
        <w:jc w:val="left"/>
        <w:textAlignment w:val="auto"/>
        <w:rPr>
          <w:rFonts w:hint="eastAsia" w:ascii="Times New Roman Bold" w:hAnsi="Times New Roman Bold" w:eastAsia="宋体" w:cs="Times New Roman Bold"/>
          <w:b/>
          <w:bCs/>
          <w:sz w:val="24"/>
          <w:lang w:eastAsia="zh-CN" w:bidi="ar"/>
        </w:rPr>
      </w:pPr>
      <w:r>
        <w:rPr>
          <w:rFonts w:ascii="Times New Roman Bold" w:hAnsi="Times New Roman Bold" w:eastAsia="宋体" w:cs="Times New Roman Bold"/>
          <w:b/>
          <w:bCs/>
          <w:sz w:val="24"/>
          <w:lang w:bidi="ar"/>
        </w:rPr>
        <w:t>References</w:t>
      </w:r>
    </w:p>
    <w:p w14:paraId="50F443A3">
      <w:pPr>
        <w:keepNext w:val="0"/>
        <w:keepLines w:val="0"/>
        <w:pageBreakBefore w:val="0"/>
        <w:widowControl w:val="0"/>
        <w:numPr>
          <w:ilvl w:val="0"/>
          <w:numId w:val="0"/>
        </w:numPr>
        <w:kinsoku/>
        <w:wordWrap/>
        <w:overflowPunct/>
        <w:topLinePunct w:val="0"/>
        <w:autoSpaceDE w:val="0"/>
        <w:autoSpaceDN w:val="0"/>
        <w:bidi w:val="0"/>
        <w:adjustRightInd w:val="0"/>
        <w:snapToGrid/>
        <w:spacing w:before="313" w:beforeLines="100" w:after="313" w:afterLines="100" w:line="240" w:lineRule="auto"/>
        <w:ind w:left="482" w:leftChars="0" w:hanging="482" w:hangingChars="200"/>
        <w:jc w:val="left"/>
        <w:textAlignment w:val="auto"/>
        <w:rPr>
          <w:rFonts w:hint="eastAsia" w:ascii="Times New Roman" w:hAnsi="Times New Roman" w:eastAsia="宋体" w:cs="Times New Roman"/>
          <w:color w:val="000000"/>
          <w:kern w:val="0"/>
          <w:sz w:val="24"/>
        </w:rPr>
      </w:pPr>
      <w:r>
        <w:rPr>
          <w:rFonts w:hint="eastAsia" w:ascii="Times New Roman Bold" w:hAnsi="Times New Roman Bold" w:eastAsia="宋体" w:cs="Times New Roman Bold"/>
          <w:b/>
          <w:bCs/>
          <w:sz w:val="24"/>
          <w:lang w:eastAsia="zh-CN" w:bidi="ar"/>
        </w:rPr>
        <w:t>[</w:t>
      </w:r>
      <w:r>
        <w:rPr>
          <w:rFonts w:hint="default" w:ascii="Times New Roman" w:hAnsi="Times New Roman" w:eastAsia="宋体" w:cs="Times New Roman"/>
          <w:color w:val="000000"/>
          <w:kern w:val="0"/>
          <w:sz w:val="24"/>
          <w:lang w:val="en-US"/>
        </w:rPr>
        <w:t xml:space="preserve">1] </w:t>
      </w:r>
      <w:r>
        <w:rPr>
          <w:rFonts w:ascii="Times New Roman" w:hAnsi="Times New Roman" w:eastAsia="宋体" w:cs="Times New Roman"/>
          <w:color w:val="000000"/>
          <w:kern w:val="0"/>
          <w:sz w:val="24"/>
        </w:rPr>
        <w:t xml:space="preserve">Pan YD, Birdsey RA, Phillips OL, </w:t>
      </w:r>
      <w:r>
        <w:rPr>
          <w:rFonts w:hint="eastAsia" w:ascii="Times New Roman" w:hAnsi="Times New Roman" w:eastAsia="宋体" w:cs="Times New Roman"/>
          <w:color w:val="000000"/>
          <w:kern w:val="0"/>
          <w:sz w:val="24"/>
        </w:rPr>
        <w:t xml:space="preserve">Houghton RA, Fang JY, </w:t>
      </w:r>
      <w:r>
        <w:rPr>
          <w:rFonts w:ascii="Times New Roman" w:hAnsi="Times New Roman" w:eastAsia="宋体" w:cs="Times New Roman"/>
          <w:color w:val="000000"/>
          <w:kern w:val="0"/>
          <w:sz w:val="24"/>
        </w:rPr>
        <w:t>et al.</w:t>
      </w:r>
      <w:r>
        <w:rPr>
          <w:rFonts w:hint="eastAsia" w:ascii="Times New Roman" w:hAnsi="Times New Roman" w:eastAsia="宋体" w:cs="Times New Roman"/>
          <w:color w:val="000000"/>
          <w:kern w:val="0"/>
          <w:sz w:val="24"/>
        </w:rPr>
        <w:t xml:space="preserve"> 2024</w:t>
      </w:r>
      <w:r>
        <w:rPr>
          <w:rFonts w:ascii="Times New Roman" w:hAnsi="Times New Roman" w:eastAsia="宋体" w:cs="Times New Roman"/>
          <w:color w:val="000000"/>
          <w:kern w:val="0"/>
          <w:sz w:val="24"/>
        </w:rPr>
        <w:t xml:space="preserve">. The enduring world forest carbon sink. </w:t>
      </w:r>
      <w:r>
        <w:rPr>
          <w:rFonts w:hint="default" w:ascii="Times New Roman Italic" w:hAnsi="Times New Roman Italic" w:eastAsia="宋体" w:cs="Times New Roman Italic"/>
          <w:i/>
          <w:iCs/>
          <w:color w:val="000000"/>
          <w:kern w:val="0"/>
          <w:sz w:val="24"/>
        </w:rPr>
        <w:t xml:space="preserve">Nature </w:t>
      </w:r>
      <w:r>
        <w:rPr>
          <w:rFonts w:ascii="Times New Roman" w:hAnsi="Times New Roman" w:eastAsia="宋体" w:cs="Times New Roman"/>
          <w:color w:val="000000"/>
          <w:kern w:val="0"/>
          <w:sz w:val="24"/>
        </w:rPr>
        <w:t>631:563-569</w:t>
      </w:r>
      <w:r>
        <w:rPr>
          <w:rFonts w:hint="eastAsia" w:ascii="Times New Roman" w:hAnsi="Times New Roman" w:eastAsia="宋体" w:cs="Times New Roman"/>
          <w:color w:val="000000"/>
          <w:kern w:val="0"/>
          <w:sz w:val="24"/>
        </w:rPr>
        <w:t>.</w:t>
      </w:r>
    </w:p>
    <w:p w14:paraId="7C666443">
      <w:pPr>
        <w:keepNext w:val="0"/>
        <w:keepLines w:val="0"/>
        <w:pageBreakBefore w:val="0"/>
        <w:widowControl w:val="0"/>
        <w:numPr>
          <w:ilvl w:val="0"/>
          <w:numId w:val="0"/>
        </w:numPr>
        <w:kinsoku/>
        <w:wordWrap/>
        <w:overflowPunct/>
        <w:topLinePunct w:val="0"/>
        <w:autoSpaceDE w:val="0"/>
        <w:autoSpaceDN w:val="0"/>
        <w:bidi w:val="0"/>
        <w:adjustRightInd w:val="0"/>
        <w:snapToGrid/>
        <w:spacing w:before="313" w:beforeLines="100" w:after="313" w:afterLines="100" w:line="240" w:lineRule="auto"/>
        <w:ind w:left="480" w:leftChars="0" w:hanging="480" w:hangingChars="200"/>
        <w:jc w:val="left"/>
        <w:textAlignment w:val="auto"/>
        <w:rPr>
          <w:rFonts w:hint="eastAsia"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[2] </w:t>
      </w:r>
      <w:r>
        <w:rPr>
          <w:rFonts w:ascii="Times New Roman" w:hAnsi="Times New Roman" w:eastAsia="宋体" w:cs="Times New Roman"/>
          <w:color w:val="000000"/>
          <w:kern w:val="0"/>
          <w:sz w:val="24"/>
        </w:rPr>
        <w:t xml:space="preserve">Fang JY, Liu GH, Zhu B, </w:t>
      </w:r>
      <w:r>
        <w:rPr>
          <w:rFonts w:hint="eastAsia" w:ascii="Times New Roman" w:hAnsi="Times New Roman" w:eastAsia="宋体" w:cs="Times New Roman"/>
          <w:color w:val="000000"/>
          <w:kern w:val="0"/>
          <w:sz w:val="24"/>
        </w:rPr>
        <w:t>Wang XK, Liu SH</w:t>
      </w:r>
      <w:r>
        <w:rPr>
          <w:rFonts w:hint="default" w:ascii="Times New Roman" w:hAnsi="Times New Roman" w:eastAsia="宋体" w:cs="Times New Roman"/>
          <w:color w:val="000000"/>
          <w:kern w:val="0"/>
          <w:sz w:val="24"/>
          <w:lang w:val="en-US"/>
        </w:rPr>
        <w:t>.</w:t>
      </w:r>
      <w:r>
        <w:rPr>
          <w:rFonts w:hint="eastAsia" w:ascii="Times New Roman" w:hAnsi="Times New Roman" w:eastAsia="宋体" w:cs="Times New Roman"/>
          <w:color w:val="000000"/>
          <w:kern w:val="0"/>
          <w:sz w:val="24"/>
        </w:rPr>
        <w:t xml:space="preserve"> 2007</w:t>
      </w:r>
      <w:r>
        <w:rPr>
          <w:rFonts w:ascii="Times New Roman" w:hAnsi="Times New Roman" w:eastAsia="宋体" w:cs="Times New Roman"/>
          <w:color w:val="000000"/>
          <w:kern w:val="0"/>
          <w:sz w:val="24"/>
        </w:rPr>
        <w:t>. Carbon budgets of three temperate forest ecosystems in Dongling Mt., Beijing, China.</w:t>
      </w:r>
      <w:r>
        <w:rPr>
          <w:rFonts w:hint="eastAsia" w:ascii="Times New Roman" w:hAnsi="Times New Roman" w:eastAsia="宋体" w:cs="Times New Roman"/>
          <w:color w:val="000000"/>
          <w:kern w:val="0"/>
          <w:sz w:val="24"/>
        </w:rPr>
        <w:t xml:space="preserve"> </w:t>
      </w:r>
      <w:r>
        <w:rPr>
          <w:rFonts w:hint="default" w:ascii="Times New Roman Italic" w:hAnsi="Times New Roman Italic" w:eastAsia="宋体" w:cs="Times New Roman Italic"/>
          <w:i/>
          <w:iCs/>
          <w:color w:val="000000"/>
          <w:kern w:val="0"/>
          <w:sz w:val="24"/>
        </w:rPr>
        <w:t>Science in China Series D: Earth Sciences</w:t>
      </w:r>
      <w:r>
        <w:rPr>
          <w:rFonts w:ascii="Times New Roman" w:hAnsi="Times New Roman" w:eastAsia="宋体" w:cs="Times New Roman"/>
          <w:color w:val="000000"/>
          <w:kern w:val="0"/>
          <w:sz w:val="24"/>
        </w:rPr>
        <w:t xml:space="preserve"> 50:92-101</w:t>
      </w:r>
      <w:r>
        <w:rPr>
          <w:rFonts w:hint="eastAsia" w:ascii="Times New Roman" w:hAnsi="Times New Roman" w:eastAsia="宋体" w:cs="Times New Roman"/>
          <w:color w:val="000000"/>
          <w:kern w:val="0"/>
          <w:sz w:val="24"/>
        </w:rPr>
        <w:t>.</w:t>
      </w:r>
    </w:p>
    <w:p w14:paraId="12D37F88">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[3] </w:t>
      </w:r>
      <w:r>
        <w:rPr>
          <w:rFonts w:ascii="Times New Roman" w:hAnsi="Times New Roman" w:eastAsia="宋体" w:cs="Times New Roman"/>
          <w:color w:val="000000"/>
          <w:kern w:val="0"/>
          <w:sz w:val="24"/>
        </w:rPr>
        <w:t xml:space="preserve">Fang JY, Chen AP, Peng CH, </w:t>
      </w:r>
      <w:r>
        <w:rPr>
          <w:rFonts w:hint="eastAsia" w:ascii="Times New Roman" w:hAnsi="Times New Roman" w:eastAsia="宋体" w:cs="Times New Roman"/>
          <w:color w:val="000000"/>
          <w:kern w:val="0"/>
          <w:sz w:val="24"/>
        </w:rPr>
        <w:t>Zhao SQ, Ci L</w:t>
      </w:r>
      <w:r>
        <w:rPr>
          <w:rFonts w:hint="default" w:ascii="Times New Roman" w:hAnsi="Times New Roman" w:eastAsia="宋体" w:cs="Times New Roman"/>
          <w:color w:val="000000"/>
          <w:kern w:val="0"/>
          <w:sz w:val="24"/>
          <w:lang w:val="en-US"/>
        </w:rPr>
        <w:t>.</w:t>
      </w:r>
      <w:r>
        <w:rPr>
          <w:rFonts w:hint="eastAsia" w:ascii="Times New Roman" w:hAnsi="Times New Roman" w:eastAsia="宋体" w:cs="Times New Roman"/>
          <w:color w:val="000000"/>
          <w:kern w:val="0"/>
          <w:sz w:val="24"/>
        </w:rPr>
        <w:t xml:space="preserve"> 2001</w:t>
      </w:r>
      <w:r>
        <w:rPr>
          <w:rFonts w:ascii="Times New Roman" w:hAnsi="Times New Roman" w:eastAsia="宋体" w:cs="Times New Roman"/>
          <w:color w:val="000000"/>
          <w:kern w:val="0"/>
          <w:sz w:val="24"/>
        </w:rPr>
        <w:t xml:space="preserve">. Changes in Forest Biomass Carbon Storage in China Between 1949 and 1998. </w:t>
      </w:r>
      <w:r>
        <w:rPr>
          <w:rFonts w:hint="default" w:ascii="Times New Roman Italic" w:hAnsi="Times New Roman Italic" w:eastAsia="宋体" w:cs="Times New Roman Italic"/>
          <w:i/>
          <w:iCs/>
          <w:color w:val="000000"/>
          <w:kern w:val="0"/>
          <w:sz w:val="24"/>
        </w:rPr>
        <w:t xml:space="preserve">Science </w:t>
      </w:r>
      <w:r>
        <w:rPr>
          <w:rFonts w:ascii="Times New Roman" w:hAnsi="Times New Roman" w:eastAsia="宋体" w:cs="Times New Roman"/>
          <w:color w:val="000000"/>
          <w:kern w:val="0"/>
          <w:sz w:val="24"/>
        </w:rPr>
        <w:t>292:2320-2322</w:t>
      </w:r>
      <w:r>
        <w:rPr>
          <w:rFonts w:hint="eastAsia" w:ascii="Times New Roman" w:hAnsi="Times New Roman" w:eastAsia="宋体" w:cs="Times New Roman"/>
          <w:color w:val="000000"/>
          <w:kern w:val="0"/>
          <w:sz w:val="24"/>
        </w:rPr>
        <w:t>.</w:t>
      </w:r>
    </w:p>
    <w:p w14:paraId="0A02E59A">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[4] </w:t>
      </w:r>
      <w:r>
        <w:rPr>
          <w:rFonts w:ascii="Times New Roman" w:hAnsi="Times New Roman" w:eastAsia="宋体" w:cs="Times New Roman"/>
          <w:color w:val="000000"/>
          <w:kern w:val="0"/>
          <w:sz w:val="24"/>
        </w:rPr>
        <w:t>Zhang XY,</w:t>
      </w:r>
      <w:r>
        <w:rPr>
          <w:rFonts w:hint="eastAsia" w:ascii="Times New Roman" w:hAnsi="Times New Roman" w:eastAsia="宋体" w:cs="Times New Roman"/>
          <w:color w:val="000000"/>
          <w:kern w:val="0"/>
          <w:sz w:val="24"/>
        </w:rPr>
        <w:t xml:space="preserve"> 2019</w:t>
      </w:r>
      <w:r>
        <w:rPr>
          <w:rFonts w:ascii="Times New Roman" w:hAnsi="Times New Roman" w:eastAsia="宋体" w:cs="Times New Roman"/>
          <w:color w:val="000000"/>
          <w:kern w:val="0"/>
          <w:sz w:val="24"/>
        </w:rPr>
        <w:t xml:space="preserve">. Quick </w:t>
      </w:r>
      <w:r>
        <w:rPr>
          <w:rFonts w:hint="default" w:ascii="Times New Roman" w:hAnsi="Times New Roman" w:eastAsia="宋体" w:cs="Times New Roman"/>
          <w:color w:val="000000"/>
          <w:kern w:val="0"/>
          <w:sz w:val="24"/>
          <w:lang w:val="en-US"/>
        </w:rPr>
        <w:t>a</w:t>
      </w:r>
      <w:r>
        <w:rPr>
          <w:rFonts w:ascii="Times New Roman" w:hAnsi="Times New Roman" w:eastAsia="宋体" w:cs="Times New Roman"/>
          <w:color w:val="000000"/>
          <w:kern w:val="0"/>
          <w:sz w:val="24"/>
        </w:rPr>
        <w:t xml:space="preserve">boveground </w:t>
      </w:r>
      <w:r>
        <w:rPr>
          <w:rFonts w:hint="default" w:ascii="Times New Roman" w:hAnsi="Times New Roman" w:eastAsia="宋体" w:cs="Times New Roman"/>
          <w:color w:val="000000"/>
          <w:kern w:val="0"/>
          <w:sz w:val="24"/>
          <w:lang w:val="en-US"/>
        </w:rPr>
        <w:t>c</w:t>
      </w:r>
      <w:r>
        <w:rPr>
          <w:rFonts w:ascii="Times New Roman" w:hAnsi="Times New Roman" w:eastAsia="宋体" w:cs="Times New Roman"/>
          <w:color w:val="000000"/>
          <w:kern w:val="0"/>
          <w:sz w:val="24"/>
        </w:rPr>
        <w:t xml:space="preserve">arbon </w:t>
      </w:r>
      <w:r>
        <w:rPr>
          <w:rFonts w:hint="default" w:ascii="Times New Roman" w:hAnsi="Times New Roman" w:eastAsia="宋体" w:cs="Times New Roman"/>
          <w:color w:val="000000"/>
          <w:kern w:val="0"/>
          <w:sz w:val="24"/>
          <w:lang w:val="en-US"/>
        </w:rPr>
        <w:t>s</w:t>
      </w:r>
      <w:r>
        <w:rPr>
          <w:rFonts w:ascii="Times New Roman" w:hAnsi="Times New Roman" w:eastAsia="宋体" w:cs="Times New Roman"/>
          <w:color w:val="000000"/>
          <w:kern w:val="0"/>
          <w:sz w:val="24"/>
        </w:rPr>
        <w:t xml:space="preserve">tock </w:t>
      </w:r>
      <w:r>
        <w:rPr>
          <w:rFonts w:hint="default" w:ascii="Times New Roman" w:hAnsi="Times New Roman" w:eastAsia="宋体" w:cs="Times New Roman"/>
          <w:color w:val="000000"/>
          <w:kern w:val="0"/>
          <w:sz w:val="24"/>
          <w:lang w:val="en-US"/>
        </w:rPr>
        <w:t>e</w:t>
      </w:r>
      <w:r>
        <w:rPr>
          <w:rFonts w:ascii="Times New Roman" w:hAnsi="Times New Roman" w:eastAsia="宋体" w:cs="Times New Roman"/>
          <w:color w:val="000000"/>
          <w:kern w:val="0"/>
          <w:sz w:val="24"/>
        </w:rPr>
        <w:t xml:space="preserve">stimation of </w:t>
      </w:r>
      <w:r>
        <w:rPr>
          <w:rFonts w:hint="default" w:ascii="Times New Roman" w:hAnsi="Times New Roman" w:eastAsia="宋体" w:cs="Times New Roman"/>
          <w:color w:val="000000"/>
          <w:kern w:val="0"/>
          <w:sz w:val="24"/>
          <w:lang w:val="en-US"/>
        </w:rPr>
        <w:t>d</w:t>
      </w:r>
      <w:r>
        <w:rPr>
          <w:rFonts w:ascii="Times New Roman" w:hAnsi="Times New Roman" w:eastAsia="宋体" w:cs="Times New Roman"/>
          <w:color w:val="000000"/>
          <w:kern w:val="0"/>
          <w:sz w:val="24"/>
        </w:rPr>
        <w:t xml:space="preserve">ensely </w:t>
      </w:r>
      <w:r>
        <w:rPr>
          <w:rFonts w:hint="default" w:ascii="Times New Roman" w:hAnsi="Times New Roman" w:eastAsia="宋体" w:cs="Times New Roman"/>
          <w:color w:val="000000"/>
          <w:kern w:val="0"/>
          <w:sz w:val="24"/>
          <w:lang w:val="en-US"/>
        </w:rPr>
        <w:t>p</w:t>
      </w:r>
      <w:r>
        <w:rPr>
          <w:rFonts w:ascii="Times New Roman" w:hAnsi="Times New Roman" w:eastAsia="宋体" w:cs="Times New Roman"/>
          <w:color w:val="000000"/>
          <w:kern w:val="0"/>
          <w:sz w:val="24"/>
        </w:rPr>
        <w:t xml:space="preserve">lanted </w:t>
      </w:r>
      <w:r>
        <w:rPr>
          <w:rFonts w:hint="default" w:ascii="Times New Roman" w:hAnsi="Times New Roman" w:eastAsia="宋体" w:cs="Times New Roman"/>
          <w:color w:val="000000"/>
          <w:kern w:val="0"/>
          <w:sz w:val="24"/>
          <w:lang w:val="en-US"/>
        </w:rPr>
        <w:t>s</w:t>
      </w:r>
      <w:r>
        <w:rPr>
          <w:rFonts w:ascii="Times New Roman" w:hAnsi="Times New Roman" w:eastAsia="宋体" w:cs="Times New Roman"/>
          <w:color w:val="000000"/>
          <w:kern w:val="0"/>
          <w:sz w:val="24"/>
        </w:rPr>
        <w:t xml:space="preserve">hrubs by </w:t>
      </w:r>
      <w:r>
        <w:rPr>
          <w:rFonts w:hint="default" w:ascii="Times New Roman" w:hAnsi="Times New Roman" w:eastAsia="宋体" w:cs="Times New Roman"/>
          <w:color w:val="000000"/>
          <w:kern w:val="0"/>
          <w:sz w:val="24"/>
          <w:lang w:val="en-US"/>
        </w:rPr>
        <w:t>u</w:t>
      </w:r>
      <w:r>
        <w:rPr>
          <w:rFonts w:ascii="Times New Roman" w:hAnsi="Times New Roman" w:eastAsia="宋体" w:cs="Times New Roman"/>
          <w:color w:val="000000"/>
          <w:kern w:val="0"/>
          <w:sz w:val="24"/>
        </w:rPr>
        <w:t xml:space="preserve">sing </w:t>
      </w:r>
      <w:r>
        <w:rPr>
          <w:rFonts w:hint="default" w:ascii="Times New Roman" w:hAnsi="Times New Roman" w:eastAsia="宋体" w:cs="Times New Roman"/>
          <w:color w:val="000000"/>
          <w:kern w:val="0"/>
          <w:sz w:val="24"/>
          <w:lang w:val="en-US"/>
        </w:rPr>
        <w:t>p</w:t>
      </w:r>
      <w:r>
        <w:rPr>
          <w:rFonts w:ascii="Times New Roman" w:hAnsi="Times New Roman" w:eastAsia="宋体" w:cs="Times New Roman"/>
          <w:color w:val="000000"/>
          <w:kern w:val="0"/>
          <w:sz w:val="24"/>
        </w:rPr>
        <w:t xml:space="preserve">oint </w:t>
      </w:r>
      <w:r>
        <w:rPr>
          <w:rFonts w:hint="default" w:ascii="Times New Roman" w:hAnsi="Times New Roman" w:eastAsia="宋体" w:cs="Times New Roman"/>
          <w:color w:val="000000"/>
          <w:kern w:val="0"/>
          <w:sz w:val="24"/>
          <w:lang w:val="en-US"/>
        </w:rPr>
        <w:t>c</w:t>
      </w:r>
      <w:r>
        <w:rPr>
          <w:rFonts w:ascii="Times New Roman" w:hAnsi="Times New Roman" w:eastAsia="宋体" w:cs="Times New Roman"/>
          <w:color w:val="000000"/>
          <w:kern w:val="0"/>
          <w:sz w:val="24"/>
        </w:rPr>
        <w:t xml:space="preserve">loud </w:t>
      </w:r>
      <w:r>
        <w:rPr>
          <w:rFonts w:hint="default" w:ascii="Times New Roman" w:hAnsi="Times New Roman" w:eastAsia="宋体" w:cs="Times New Roman"/>
          <w:color w:val="000000"/>
          <w:kern w:val="0"/>
          <w:sz w:val="24"/>
          <w:lang w:val="en-US"/>
        </w:rPr>
        <w:t>d</w:t>
      </w:r>
      <w:r>
        <w:rPr>
          <w:rFonts w:ascii="Times New Roman" w:hAnsi="Times New Roman" w:eastAsia="宋体" w:cs="Times New Roman"/>
          <w:color w:val="000000"/>
          <w:kern w:val="0"/>
          <w:sz w:val="24"/>
        </w:rPr>
        <w:t xml:space="preserve">erived from </w:t>
      </w:r>
      <w:r>
        <w:rPr>
          <w:rFonts w:hint="default" w:ascii="Times New Roman" w:hAnsi="Times New Roman" w:eastAsia="宋体" w:cs="Times New Roman"/>
          <w:color w:val="000000"/>
          <w:kern w:val="0"/>
          <w:sz w:val="24"/>
          <w:lang w:val="en-US"/>
        </w:rPr>
        <w:t>u</w:t>
      </w:r>
      <w:r>
        <w:rPr>
          <w:rFonts w:ascii="Times New Roman" w:hAnsi="Times New Roman" w:eastAsia="宋体" w:cs="Times New Roman"/>
          <w:color w:val="000000"/>
          <w:kern w:val="0"/>
          <w:sz w:val="24"/>
        </w:rPr>
        <w:t xml:space="preserve">nmanned </w:t>
      </w:r>
      <w:r>
        <w:rPr>
          <w:rFonts w:hint="default" w:ascii="Times New Roman" w:hAnsi="Times New Roman" w:eastAsia="宋体" w:cs="Times New Roman"/>
          <w:color w:val="000000"/>
          <w:kern w:val="0"/>
          <w:sz w:val="24"/>
          <w:lang w:val="en-US"/>
        </w:rPr>
        <w:t>a</w:t>
      </w:r>
      <w:r>
        <w:rPr>
          <w:rFonts w:ascii="Times New Roman" w:hAnsi="Times New Roman" w:eastAsia="宋体" w:cs="Times New Roman"/>
          <w:color w:val="000000"/>
          <w:kern w:val="0"/>
          <w:sz w:val="24"/>
        </w:rPr>
        <w:t xml:space="preserve">erial </w:t>
      </w:r>
      <w:r>
        <w:rPr>
          <w:rFonts w:hint="default" w:ascii="Times New Roman" w:hAnsi="Times New Roman" w:eastAsia="宋体" w:cs="Times New Roman"/>
          <w:color w:val="000000"/>
          <w:kern w:val="0"/>
          <w:sz w:val="24"/>
          <w:lang w:val="en-US"/>
        </w:rPr>
        <w:t>v</w:t>
      </w:r>
      <w:r>
        <w:rPr>
          <w:rFonts w:ascii="Times New Roman" w:hAnsi="Times New Roman" w:eastAsia="宋体" w:cs="Times New Roman"/>
          <w:color w:val="000000"/>
          <w:kern w:val="0"/>
          <w:sz w:val="24"/>
        </w:rPr>
        <w:t xml:space="preserve">ehicle. </w:t>
      </w:r>
      <w:r>
        <w:rPr>
          <w:rFonts w:hint="default" w:ascii="Times New Roman Italic" w:hAnsi="Times New Roman Italic" w:eastAsia="宋体" w:cs="Times New Roman Italic"/>
          <w:i/>
          <w:iCs/>
          <w:color w:val="000000"/>
          <w:kern w:val="0"/>
          <w:sz w:val="24"/>
        </w:rPr>
        <w:t>Remote Sens</w:t>
      </w:r>
      <w:r>
        <w:rPr>
          <w:rFonts w:hint="default" w:ascii="Times New Roman Italic" w:hAnsi="Times New Roman Italic" w:eastAsia="宋体" w:cs="Times New Roman Italic"/>
          <w:i/>
          <w:iCs/>
          <w:color w:val="000000"/>
          <w:kern w:val="0"/>
          <w:sz w:val="24"/>
          <w:lang w:val="en-US"/>
        </w:rPr>
        <w:t>ing</w:t>
      </w:r>
      <w:r>
        <w:rPr>
          <w:rFonts w:ascii="Times New Roman" w:hAnsi="Times New Roman" w:eastAsia="宋体" w:cs="Times New Roman"/>
          <w:color w:val="000000"/>
          <w:kern w:val="0"/>
          <w:sz w:val="24"/>
        </w:rPr>
        <w:t xml:space="preserve"> 11:2914</w:t>
      </w:r>
      <w:r>
        <w:rPr>
          <w:rFonts w:hint="eastAsia" w:ascii="Times New Roman" w:hAnsi="Times New Roman" w:eastAsia="宋体" w:cs="Times New Roman"/>
          <w:color w:val="000000"/>
          <w:kern w:val="0"/>
          <w:sz w:val="24"/>
        </w:rPr>
        <w:t>.</w:t>
      </w:r>
    </w:p>
    <w:p w14:paraId="07493343">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[5] </w:t>
      </w:r>
      <w:r>
        <w:rPr>
          <w:rFonts w:ascii="Times New Roman" w:hAnsi="Times New Roman" w:eastAsia="宋体" w:cs="Times New Roman"/>
          <w:color w:val="000000"/>
          <w:kern w:val="0"/>
          <w:sz w:val="24"/>
        </w:rPr>
        <w:t xml:space="preserve">Tang XL, Zhao X, Bai YF, </w:t>
      </w:r>
      <w:r>
        <w:rPr>
          <w:rFonts w:hint="eastAsia" w:ascii="Times New Roman" w:hAnsi="Times New Roman" w:eastAsia="宋体" w:cs="Times New Roman"/>
          <w:color w:val="000000"/>
          <w:kern w:val="0"/>
          <w:sz w:val="24"/>
        </w:rPr>
        <w:t>Tang ZY, Wang WT, et al. 2018</w:t>
      </w:r>
      <w:r>
        <w:rPr>
          <w:rFonts w:ascii="Times New Roman" w:hAnsi="Times New Roman" w:eastAsia="宋体" w:cs="Times New Roman"/>
          <w:color w:val="000000"/>
          <w:kern w:val="0"/>
          <w:sz w:val="24"/>
        </w:rPr>
        <w:t xml:space="preserve">. Carbon pools in China's terrestrial ecosystems: New estimates based on an intensive field survey. </w:t>
      </w:r>
      <w:r>
        <w:rPr>
          <w:rFonts w:hint="default" w:ascii="Times New Roman Italic" w:hAnsi="Times New Roman Italic" w:eastAsia="宋体" w:cs="Times New Roman Italic"/>
          <w:i/>
          <w:iCs/>
          <w:color w:val="000000"/>
          <w:kern w:val="0"/>
          <w:sz w:val="24"/>
        </w:rPr>
        <w:t>Proceedings of the National Academy of Sciences of the United States of America</w:t>
      </w:r>
      <w:r>
        <w:rPr>
          <w:rFonts w:ascii="Times New Roman" w:hAnsi="Times New Roman" w:eastAsia="宋体" w:cs="Times New Roman"/>
          <w:color w:val="000000"/>
          <w:kern w:val="0"/>
          <w:sz w:val="24"/>
        </w:rPr>
        <w:t xml:space="preserve"> 115:4021-4026</w:t>
      </w:r>
      <w:r>
        <w:rPr>
          <w:rFonts w:hint="eastAsia" w:ascii="Times New Roman" w:hAnsi="Times New Roman" w:eastAsia="宋体" w:cs="Times New Roman"/>
          <w:color w:val="000000"/>
          <w:kern w:val="0"/>
          <w:sz w:val="24"/>
        </w:rPr>
        <w:t>.</w:t>
      </w:r>
    </w:p>
    <w:p w14:paraId="558576AF">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[6] </w:t>
      </w:r>
      <w:r>
        <w:rPr>
          <w:rFonts w:ascii="Times New Roman" w:hAnsi="Times New Roman" w:eastAsia="宋体" w:cs="Times New Roman"/>
          <w:color w:val="000000"/>
          <w:kern w:val="0"/>
          <w:sz w:val="24"/>
        </w:rPr>
        <w:t>Kawanishi A, Sakai Y, Ishizuka S,</w:t>
      </w:r>
      <w:r>
        <w:rPr>
          <w:rFonts w:hint="eastAsia" w:ascii="Times New Roman" w:hAnsi="Times New Roman" w:eastAsia="宋体" w:cs="Times New Roman"/>
          <w:color w:val="000000"/>
          <w:kern w:val="0"/>
          <w:sz w:val="24"/>
        </w:rPr>
        <w:t xml:space="preserve"> Hashimoto S, Komatsu M, </w:t>
      </w:r>
      <w:r>
        <w:rPr>
          <w:rFonts w:ascii="Times New Roman" w:hAnsi="Times New Roman" w:eastAsia="宋体" w:cs="Times New Roman"/>
          <w:color w:val="000000"/>
          <w:kern w:val="0"/>
          <w:sz w:val="24"/>
        </w:rPr>
        <w:t>et al.</w:t>
      </w:r>
      <w:r>
        <w:rPr>
          <w:rFonts w:hint="eastAsia" w:ascii="Times New Roman" w:hAnsi="Times New Roman" w:eastAsia="宋体" w:cs="Times New Roman"/>
          <w:color w:val="000000"/>
          <w:kern w:val="0"/>
          <w:sz w:val="24"/>
        </w:rPr>
        <w:t xml:space="preserve"> 2024</w:t>
      </w:r>
      <w:r>
        <w:rPr>
          <w:rFonts w:ascii="Times New Roman" w:hAnsi="Times New Roman" w:eastAsia="宋体" w:cs="Times New Roman"/>
          <w:color w:val="000000"/>
          <w:kern w:val="0"/>
          <w:sz w:val="24"/>
        </w:rPr>
        <w:t xml:space="preserve">. Increased deadwood carbon stocks through planted forestry practices: insights from a Forest Inventory Survey in Japan. </w:t>
      </w:r>
      <w:r>
        <w:rPr>
          <w:rFonts w:hint="default" w:ascii="Times New Roman Italic" w:hAnsi="Times New Roman Italic" w:eastAsia="宋体" w:cs="Times New Roman Italic"/>
          <w:i/>
          <w:iCs/>
          <w:color w:val="000000"/>
          <w:kern w:val="0"/>
          <w:sz w:val="24"/>
        </w:rPr>
        <w:t>Carbon Manag</w:t>
      </w:r>
      <w:r>
        <w:rPr>
          <w:rFonts w:hint="default" w:ascii="Times New Roman Italic" w:hAnsi="Times New Roman Italic" w:eastAsia="宋体" w:cs="Times New Roman Italic"/>
          <w:i/>
          <w:iCs/>
          <w:color w:val="000000"/>
          <w:kern w:val="0"/>
          <w:sz w:val="24"/>
          <w:lang w:val="en-US" w:eastAsia="zh-CN"/>
        </w:rPr>
        <w:t>ement</w:t>
      </w:r>
      <w:r>
        <w:rPr>
          <w:rFonts w:ascii="Times New Roman" w:hAnsi="Times New Roman" w:eastAsia="宋体" w:cs="Times New Roman"/>
          <w:color w:val="000000"/>
          <w:kern w:val="0"/>
          <w:sz w:val="24"/>
        </w:rPr>
        <w:t xml:space="preserve"> 15:2315087</w:t>
      </w:r>
      <w:r>
        <w:rPr>
          <w:rFonts w:hint="eastAsia" w:ascii="Times New Roman" w:hAnsi="Times New Roman" w:eastAsia="宋体" w:cs="Times New Roman"/>
          <w:color w:val="000000"/>
          <w:kern w:val="0"/>
          <w:sz w:val="24"/>
        </w:rPr>
        <w:t>.</w:t>
      </w:r>
    </w:p>
    <w:p w14:paraId="14681040">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[7] </w:t>
      </w:r>
      <w:r>
        <w:rPr>
          <w:rFonts w:ascii="Times New Roman" w:hAnsi="Times New Roman" w:eastAsia="宋体" w:cs="Times New Roman"/>
          <w:color w:val="000000"/>
          <w:kern w:val="0"/>
          <w:sz w:val="24"/>
        </w:rPr>
        <w:t xml:space="preserve">Hong SB, Ding JZ, Kan F, </w:t>
      </w:r>
      <w:r>
        <w:rPr>
          <w:rFonts w:hint="eastAsia" w:ascii="Times New Roman" w:hAnsi="Times New Roman" w:eastAsia="宋体" w:cs="Times New Roman"/>
          <w:color w:val="000000"/>
          <w:kern w:val="0"/>
          <w:sz w:val="24"/>
        </w:rPr>
        <w:t xml:space="preserve">Xu H, Chen SY, </w:t>
      </w:r>
      <w:r>
        <w:rPr>
          <w:rFonts w:ascii="Times New Roman" w:hAnsi="Times New Roman" w:eastAsia="宋体" w:cs="Times New Roman"/>
          <w:color w:val="000000"/>
          <w:kern w:val="0"/>
          <w:sz w:val="24"/>
        </w:rPr>
        <w:t>et al.</w:t>
      </w:r>
      <w:r>
        <w:rPr>
          <w:rFonts w:hint="eastAsia" w:ascii="Times New Roman" w:hAnsi="Times New Roman" w:eastAsia="宋体" w:cs="Times New Roman"/>
          <w:color w:val="000000"/>
          <w:kern w:val="0"/>
          <w:sz w:val="24"/>
        </w:rPr>
        <w:t xml:space="preserve"> 2023</w:t>
      </w:r>
      <w:r>
        <w:rPr>
          <w:rFonts w:ascii="Times New Roman" w:hAnsi="Times New Roman" w:eastAsia="宋体" w:cs="Times New Roman"/>
          <w:color w:val="000000"/>
          <w:kern w:val="0"/>
          <w:sz w:val="24"/>
        </w:rPr>
        <w:t xml:space="preserve">. Asymmetry of carbon sequestrations by plant and soil after forestation regulated by soil nitrogen. </w:t>
      </w:r>
      <w:r>
        <w:rPr>
          <w:rFonts w:hint="default" w:ascii="Times New Roman Italic" w:hAnsi="Times New Roman Italic" w:eastAsia="宋体" w:cs="Times New Roman Italic"/>
          <w:i/>
          <w:iCs/>
          <w:color w:val="000000"/>
          <w:kern w:val="0"/>
          <w:sz w:val="24"/>
        </w:rPr>
        <w:t>Nat</w:t>
      </w:r>
      <w:r>
        <w:rPr>
          <w:rFonts w:hint="default" w:ascii="Times New Roman Italic" w:hAnsi="Times New Roman Italic" w:eastAsia="宋体" w:cs="Times New Roman Italic"/>
          <w:i/>
          <w:iCs/>
          <w:color w:val="000000"/>
          <w:kern w:val="0"/>
          <w:sz w:val="24"/>
          <w:lang w:val="en-US"/>
        </w:rPr>
        <w:t>ure</w:t>
      </w:r>
      <w:r>
        <w:rPr>
          <w:rFonts w:hint="default" w:ascii="Times New Roman Italic" w:hAnsi="Times New Roman Italic" w:eastAsia="宋体" w:cs="Times New Roman Italic"/>
          <w:i/>
          <w:iCs/>
          <w:color w:val="000000"/>
          <w:kern w:val="0"/>
          <w:sz w:val="24"/>
        </w:rPr>
        <w:t xml:space="preserve"> Commun</w:t>
      </w:r>
      <w:r>
        <w:rPr>
          <w:rFonts w:hint="default" w:ascii="Times New Roman Italic" w:hAnsi="Times New Roman Italic" w:eastAsia="宋体" w:cs="Times New Roman Italic"/>
          <w:i/>
          <w:iCs/>
          <w:color w:val="000000"/>
          <w:kern w:val="0"/>
          <w:sz w:val="24"/>
          <w:lang w:val="en-US"/>
        </w:rPr>
        <w:t>ications</w:t>
      </w:r>
      <w:r>
        <w:rPr>
          <w:rFonts w:ascii="Times New Roman" w:hAnsi="Times New Roman" w:eastAsia="宋体" w:cs="Times New Roman"/>
          <w:color w:val="000000"/>
          <w:kern w:val="0"/>
          <w:sz w:val="24"/>
        </w:rPr>
        <w:t xml:space="preserve"> 14:3196</w:t>
      </w:r>
      <w:r>
        <w:rPr>
          <w:rFonts w:hint="eastAsia" w:ascii="Times New Roman" w:hAnsi="Times New Roman" w:eastAsia="宋体" w:cs="Times New Roman"/>
          <w:color w:val="000000"/>
          <w:kern w:val="0"/>
          <w:sz w:val="24"/>
        </w:rPr>
        <w:t>.</w:t>
      </w:r>
    </w:p>
    <w:p w14:paraId="4568F521">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eastAsia"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[8] </w:t>
      </w:r>
      <w:r>
        <w:rPr>
          <w:rFonts w:ascii="Times New Roman" w:hAnsi="Times New Roman" w:eastAsia="宋体" w:cs="Times New Roman"/>
          <w:color w:val="000000"/>
          <w:kern w:val="0"/>
          <w:sz w:val="24"/>
        </w:rPr>
        <w:t xml:space="preserve">Zhu N, Wang JN, Luo DL, </w:t>
      </w:r>
      <w:r>
        <w:rPr>
          <w:rFonts w:hint="eastAsia" w:ascii="Times New Roman" w:hAnsi="Times New Roman" w:eastAsia="宋体" w:cs="Times New Roman"/>
          <w:color w:val="000000"/>
          <w:kern w:val="0"/>
          <w:sz w:val="24"/>
        </w:rPr>
        <w:t>Wang XF, Shen C,</w:t>
      </w:r>
      <w:r>
        <w:rPr>
          <w:rFonts w:ascii="Times New Roman" w:hAnsi="Times New Roman" w:eastAsia="宋体" w:cs="Times New Roman"/>
          <w:color w:val="000000"/>
          <w:kern w:val="0"/>
          <w:sz w:val="24"/>
        </w:rPr>
        <w:t xml:space="preserve"> et al.</w:t>
      </w:r>
      <w:r>
        <w:rPr>
          <w:rFonts w:hint="eastAsia" w:ascii="Times New Roman" w:hAnsi="Times New Roman" w:eastAsia="宋体" w:cs="Times New Roman"/>
          <w:color w:val="000000"/>
          <w:kern w:val="0"/>
          <w:sz w:val="24"/>
        </w:rPr>
        <w:t xml:space="preserve"> 2024</w:t>
      </w:r>
      <w:r>
        <w:rPr>
          <w:rFonts w:ascii="Times New Roman" w:hAnsi="Times New Roman" w:eastAsia="宋体" w:cs="Times New Roman"/>
          <w:color w:val="000000"/>
          <w:kern w:val="0"/>
          <w:sz w:val="24"/>
        </w:rPr>
        <w:t xml:space="preserve">. Using eddy covariance observations to determine the carbon sequestration characteristics of subalpine forests in the Qinghai-Tibet Plateau. </w:t>
      </w:r>
      <w:r>
        <w:rPr>
          <w:rFonts w:hint="default" w:ascii="Times New Roman Italic" w:hAnsi="Times New Roman Italic" w:eastAsia="宋体" w:cs="Times New Roman Italic"/>
          <w:i/>
          <w:iCs/>
          <w:color w:val="000000"/>
          <w:kern w:val="0"/>
          <w:sz w:val="24"/>
        </w:rPr>
        <w:t xml:space="preserve">Biogeosciences </w:t>
      </w:r>
      <w:r>
        <w:rPr>
          <w:rFonts w:ascii="Times New Roman" w:hAnsi="Times New Roman" w:eastAsia="宋体" w:cs="Times New Roman"/>
          <w:color w:val="000000"/>
          <w:kern w:val="0"/>
          <w:sz w:val="24"/>
        </w:rPr>
        <w:t>21:3509-3522</w:t>
      </w:r>
      <w:r>
        <w:rPr>
          <w:rFonts w:hint="eastAsia" w:ascii="Times New Roman" w:hAnsi="Times New Roman" w:eastAsia="宋体" w:cs="Times New Roman"/>
          <w:color w:val="000000"/>
          <w:kern w:val="0"/>
          <w:sz w:val="24"/>
        </w:rPr>
        <w:t>.</w:t>
      </w:r>
    </w:p>
    <w:p w14:paraId="32545F0B">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[9] Zhu XJ, Fan RX, Chen Z, Wang QF, Yu GR. 2022. Eddy covariance-based differences in net ecosystem productivity values and spatial patterns between naturally regenerating forests and planted forests in China. </w:t>
      </w:r>
      <w:r>
        <w:rPr>
          <w:rFonts w:hint="default" w:ascii="Times New Roman Italic" w:hAnsi="Times New Roman Italic" w:eastAsia="宋体" w:cs="Times New Roman Italic"/>
          <w:i/>
          <w:iCs/>
          <w:color w:val="000000"/>
          <w:kern w:val="0"/>
          <w:sz w:val="24"/>
          <w:lang w:val="en-US"/>
        </w:rPr>
        <w:t xml:space="preserve">Scientific Reports </w:t>
      </w:r>
      <w:r>
        <w:rPr>
          <w:rFonts w:hint="default" w:ascii="Times New Roman" w:hAnsi="Times New Roman" w:eastAsia="宋体" w:cs="Times New Roman"/>
          <w:color w:val="000000"/>
          <w:kern w:val="0"/>
          <w:sz w:val="24"/>
          <w:lang w:val="en-US"/>
        </w:rPr>
        <w:t>12:20556.</w:t>
      </w:r>
    </w:p>
    <w:p w14:paraId="3A27FC86">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[10] Familusi I, Gebremedhin M, Gyawali B, Chiluwal A, Brotzge J. 2025. A Deciduous Forest’s CO</w:t>
      </w:r>
      <w:r>
        <w:rPr>
          <w:rFonts w:hint="default" w:ascii="Times New Roman" w:hAnsi="Times New Roman" w:eastAsia="宋体" w:cs="Times New Roman"/>
          <w:color w:val="000000"/>
          <w:kern w:val="0"/>
          <w:sz w:val="24"/>
          <w:vertAlign w:val="subscript"/>
          <w:lang w:val="en-US"/>
        </w:rPr>
        <w:t>2</w:t>
      </w:r>
      <w:r>
        <w:rPr>
          <w:rFonts w:hint="default" w:ascii="Times New Roman" w:hAnsi="Times New Roman" w:eastAsia="宋体" w:cs="Times New Roman"/>
          <w:color w:val="000000"/>
          <w:kern w:val="0"/>
          <w:sz w:val="24"/>
          <w:lang w:val="en-US"/>
        </w:rPr>
        <w:t xml:space="preserve"> Exchange Within the Mixed-Humid Climate of Kentucky, USA. </w:t>
      </w:r>
      <w:r>
        <w:rPr>
          <w:rFonts w:hint="default" w:ascii="Times New Roman Italic" w:hAnsi="Times New Roman Italic" w:eastAsia="宋体" w:cs="Times New Roman Italic"/>
          <w:i/>
          <w:iCs/>
          <w:color w:val="000000"/>
          <w:kern w:val="0"/>
          <w:sz w:val="24"/>
          <w:lang w:val="en-US"/>
        </w:rPr>
        <w:t xml:space="preserve">Forests </w:t>
      </w:r>
      <w:r>
        <w:rPr>
          <w:rFonts w:hint="default" w:ascii="Times New Roman" w:hAnsi="Times New Roman" w:eastAsia="宋体" w:cs="Times New Roman"/>
          <w:color w:val="000000"/>
          <w:kern w:val="0"/>
          <w:sz w:val="24"/>
          <w:lang w:val="en-US"/>
        </w:rPr>
        <w:t>16:562.</w:t>
      </w:r>
    </w:p>
    <w:p w14:paraId="75BB6F2B">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[11] Pulliainen J, Aurela M, Aalto T, Böttcher K, Cohen J, et al. 2024. Increase in gross primary production of boreal forests balanced out by increase in ecosystem respiration. </w:t>
      </w:r>
      <w:r>
        <w:rPr>
          <w:rFonts w:hint="default" w:ascii="Times New Roman Italic" w:hAnsi="Times New Roman Italic" w:eastAsia="宋体" w:cs="Times New Roman Italic"/>
          <w:i/>
          <w:iCs/>
          <w:color w:val="000000"/>
          <w:kern w:val="0"/>
          <w:sz w:val="24"/>
          <w:lang w:val="en-US"/>
        </w:rPr>
        <w:t>Remote Sensing of Environment</w:t>
      </w:r>
      <w:r>
        <w:rPr>
          <w:rFonts w:hint="default" w:ascii="Times New Roman" w:hAnsi="Times New Roman" w:eastAsia="宋体" w:cs="Times New Roman"/>
          <w:color w:val="000000"/>
          <w:kern w:val="0"/>
          <w:sz w:val="24"/>
          <w:lang w:val="en-US"/>
        </w:rPr>
        <w:t xml:space="preserve"> 313:114376.</w:t>
      </w:r>
    </w:p>
    <w:p w14:paraId="17BBB7AA">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[12] Pilli R, Alkama R, Cescatti A, Kurz WA, Grassi G. 2022. The European forest carbon budget under future climate conditions and current management practices. </w:t>
      </w:r>
      <w:r>
        <w:rPr>
          <w:rFonts w:hint="default" w:ascii="Times New Roman Italic" w:hAnsi="Times New Roman Italic" w:eastAsia="宋体" w:cs="Times New Roman Italic"/>
          <w:i/>
          <w:iCs/>
          <w:color w:val="000000"/>
          <w:kern w:val="0"/>
          <w:sz w:val="24"/>
          <w:lang w:val="en-US"/>
        </w:rPr>
        <w:t xml:space="preserve">Biogeosciences </w:t>
      </w:r>
      <w:r>
        <w:rPr>
          <w:rFonts w:hint="default" w:ascii="Times New Roman" w:hAnsi="Times New Roman" w:eastAsia="宋体" w:cs="Times New Roman"/>
          <w:color w:val="000000"/>
          <w:kern w:val="0"/>
          <w:sz w:val="24"/>
          <w:lang w:val="en-US"/>
        </w:rPr>
        <w:t>19:3263-3284.</w:t>
      </w:r>
    </w:p>
    <w:p w14:paraId="7320347C">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[13] Yan Y, Wang X, Wohlfahrt G, Huang N. 2025. Seasonal and interannual variations of soil heterotrophic respiration and autotrophic respiration in subtropical forests of southeast China: independent process-based models. </w:t>
      </w:r>
      <w:r>
        <w:rPr>
          <w:rFonts w:hint="default" w:ascii="Times New Roman Italic" w:hAnsi="Times New Roman Italic" w:eastAsia="宋体" w:cs="Times New Roman Italic"/>
          <w:i/>
          <w:iCs/>
          <w:color w:val="000000"/>
          <w:kern w:val="0"/>
          <w:sz w:val="24"/>
          <w:lang w:val="en-US"/>
        </w:rPr>
        <w:t>Geoscience Letters</w:t>
      </w:r>
      <w:r>
        <w:rPr>
          <w:rFonts w:hint="default" w:ascii="Times New Roman" w:hAnsi="Times New Roman" w:eastAsia="宋体" w:cs="Times New Roman"/>
          <w:color w:val="000000"/>
          <w:kern w:val="0"/>
          <w:sz w:val="24"/>
          <w:lang w:val="en-US"/>
        </w:rPr>
        <w:t xml:space="preserve"> 12:27.</w:t>
      </w:r>
    </w:p>
    <w:p w14:paraId="78227EF3">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[14] Evans LR, Pierson D, Lajtha K. 2020. Dissolved organic carbon production and flux under long-term litter manipulations in a Pacific Northwest old-growth forest. </w:t>
      </w:r>
      <w:r>
        <w:rPr>
          <w:rFonts w:hint="default" w:ascii="Times New Roman Italic" w:hAnsi="Times New Roman Italic" w:eastAsia="宋体" w:cs="Times New Roman Italic"/>
          <w:i/>
          <w:iCs/>
          <w:color w:val="000000"/>
          <w:kern w:val="0"/>
          <w:sz w:val="24"/>
          <w:lang w:val="en-US"/>
        </w:rPr>
        <w:t xml:space="preserve">Biogeochemistry </w:t>
      </w:r>
      <w:r>
        <w:rPr>
          <w:rFonts w:hint="default" w:ascii="Times New Roman" w:hAnsi="Times New Roman" w:eastAsia="宋体" w:cs="Times New Roman"/>
          <w:color w:val="000000"/>
          <w:kern w:val="0"/>
          <w:sz w:val="24"/>
          <w:lang w:val="en-US"/>
        </w:rPr>
        <w:t>149:75-86.</w:t>
      </w:r>
    </w:p>
    <w:p w14:paraId="5DE032FA">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[15] Tan S, Yue K, Peñuelas J, Svenning JC, Meerbeek KV, et al. 2025. Forest streams may discharge one tenth of the annual total global forest carbon sink through dissolved organic carbon. </w:t>
      </w:r>
      <w:r>
        <w:rPr>
          <w:rFonts w:hint="default" w:ascii="Times New Roman Italic" w:hAnsi="Times New Roman Italic" w:eastAsia="宋体" w:cs="Times New Roman Italic"/>
          <w:i/>
          <w:iCs/>
          <w:color w:val="000000"/>
          <w:kern w:val="0"/>
          <w:sz w:val="24"/>
          <w:lang w:val="en-US"/>
        </w:rPr>
        <w:t>The Innovation Geoscience</w:t>
      </w:r>
      <w:r>
        <w:rPr>
          <w:rFonts w:hint="default" w:ascii="Times New Roman" w:hAnsi="Times New Roman" w:eastAsia="宋体" w:cs="Times New Roman"/>
          <w:color w:val="000000"/>
          <w:kern w:val="0"/>
          <w:sz w:val="24"/>
          <w:lang w:val="en-US"/>
        </w:rPr>
        <w:t xml:space="preserve"> 3:100148.</w:t>
      </w:r>
    </w:p>
    <w:p w14:paraId="5B41B738">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[16] Petersen RC, Holst T, Wu C, Krejci R, Chan JK, et al. 2025. BVOC and speciated monoterpene concentrations and fluxes at a Scandinavian boreal forest. </w:t>
      </w:r>
      <w:r>
        <w:rPr>
          <w:rFonts w:hint="default" w:ascii="Times New Roman Italic" w:hAnsi="Times New Roman Italic" w:eastAsia="宋体" w:cs="Times New Roman Italic"/>
          <w:i/>
          <w:iCs/>
          <w:color w:val="000000"/>
          <w:kern w:val="0"/>
          <w:sz w:val="24"/>
          <w:lang w:val="en-US"/>
        </w:rPr>
        <w:t>Atmospheric Chemistry and Physics</w:t>
      </w:r>
      <w:r>
        <w:rPr>
          <w:rFonts w:hint="default" w:ascii="Times New Roman" w:hAnsi="Times New Roman" w:eastAsia="宋体" w:cs="Times New Roman"/>
          <w:color w:val="000000"/>
          <w:kern w:val="0"/>
          <w:sz w:val="24"/>
          <w:lang w:val="en-US"/>
        </w:rPr>
        <w:t xml:space="preserve"> 25:17205-17236.</w:t>
      </w:r>
    </w:p>
    <w:p w14:paraId="29E3DFD2">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p>
    <w:p w14:paraId="6C79D6D7">
      <w:pPr>
        <w:spacing w:line="240" w:lineRule="auto"/>
      </w:pPr>
    </w:p>
    <w:sectPr>
      <w:pgSz w:w="23811" w:h="16838"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Bold">
    <w:panose1 w:val="02020603050405020304"/>
    <w:charset w:val="00"/>
    <w:family w:val="auto"/>
    <w:pitch w:val="default"/>
    <w:sig w:usb0="00000000" w:usb1="00000000" w:usb2="00000009" w:usb3="00000000" w:csb0="400001FF" w:csb1="FFFF0000"/>
  </w:font>
  <w:font w:name="Times New Roman Italic">
    <w:panose1 w:val="02020603050405020304"/>
    <w:charset w:val="00"/>
    <w:family w:val="auto"/>
    <w:pitch w:val="default"/>
    <w:sig w:usb0="00000000" w:usb1="00000000"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E40C60"/>
    <w:rsid w:val="3F9650C9"/>
    <w:rsid w:val="69E40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961</Words>
  <Characters>5303</Characters>
  <Lines>0</Lines>
  <Paragraphs>0</Paragraphs>
  <TotalTime>0</TotalTime>
  <ScaleCrop>false</ScaleCrop>
  <LinksUpToDate>false</LinksUpToDate>
  <CharactersWithSpaces>6192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2026-08-19T05:34:00Z</dcterms:created>
  <dc:creator>@ 华@</dc:creator>
  <cp:lastModifiedBy>Dong</cp:lastModifiedBy>
  <dcterms:modified xsi:type="dcterms:W3CDTF">2026-08-20T02:39:29Z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FA4D6AD4B3F24193A6C378FB1D17E949_11</vt:lpwstr>
  </property>
  <property fmtid="{D5CDD505-2E9C-101B-9397-08002B2CF9AE}" pid="4" name="KSOTemplateDocerSaveRecord">
    <vt:lpwstr>eyJoZGlkIjoiNTRmYjc2Yzk3YzdiYjdhOTIwMjcxMmZmZDkyYzg1NjEiLCJ1c2VySWQiOiI0MTIxMDk1MTgifQ==</vt:lpwstr>
  </property>
</Properties>
</file>