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9" w:rsidRDefault="00DB7269" w:rsidP="00DB7269">
      <w:pPr>
        <w:pStyle w:val="MDPI52figure"/>
        <w:rPr>
          <w:rFonts w:ascii="Times New Roman" w:eastAsia="宋体" w:hAnsi="Times New Roman"/>
          <w:color w:val="auto"/>
          <w:sz w:val="24"/>
          <w:szCs w:val="24"/>
          <w:lang w:eastAsia="zh-CN"/>
        </w:rPr>
      </w:pPr>
      <w:r>
        <w:rPr>
          <w:rFonts w:ascii="Times New Roman" w:eastAsia="宋体" w:hAnsi="Times New Roman"/>
          <w:noProof/>
          <w:color w:val="auto"/>
          <w:sz w:val="24"/>
          <w:szCs w:val="24"/>
          <w:lang w:eastAsia="zh-CN" w:bidi="ar-SA"/>
        </w:rPr>
        <w:drawing>
          <wp:inline distT="0" distB="0" distL="114300" distR="114300" wp14:anchorId="76F36FFD" wp14:editId="741C2FB3">
            <wp:extent cx="5271770" cy="3899535"/>
            <wp:effectExtent l="0" t="0" r="1270" b="1905"/>
            <wp:docPr id="1" name="图片 1" descr="AG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GL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69" w:rsidRDefault="00DB7269" w:rsidP="00DB7269">
      <w:pPr>
        <w:widowControl/>
        <w:spacing w:beforeLines="50" w:before="156" w:afterLines="50" w:after="156" w:line="360" w:lineRule="auto"/>
        <w:rPr>
          <w:rFonts w:ascii="Times New Roman" w:eastAsia="等线" w:hAnsi="Times New Roman" w:cs="Times New Roman"/>
          <w:sz w:val="24"/>
        </w:rPr>
      </w:pPr>
      <w:proofErr w:type="gramStart"/>
      <w:r>
        <w:rPr>
          <w:rFonts w:ascii="Times New Roman" w:eastAsia="华文楷体" w:hAnsi="Times New Roman" w:cs="Times New Roman" w:hint="eastAsia"/>
          <w:b/>
          <w:bCs/>
          <w:sz w:val="24"/>
        </w:rPr>
        <w:t>Fig.</w:t>
      </w:r>
      <w:proofErr w:type="gramEnd"/>
      <w:r>
        <w:rPr>
          <w:rFonts w:ascii="Times New Roman" w:eastAsia="华文楷体" w:hAnsi="Times New Roman" w:cs="Times New Roman" w:hint="eastAsia"/>
          <w:b/>
          <w:bCs/>
          <w:sz w:val="24"/>
        </w:rPr>
        <w:t xml:space="preserve"> S1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structure and expression pattern of </w:t>
      </w:r>
      <w:r>
        <w:rPr>
          <w:rFonts w:ascii="Times New Roman" w:hAnsi="Times New Roman" w:cs="Times New Roman"/>
          <w:i/>
          <w:iCs/>
          <w:sz w:val="24"/>
        </w:rPr>
        <w:t>LaAGL11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宋体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Schematic representation of the genomic structure of </w:t>
      </w:r>
      <w:r>
        <w:rPr>
          <w:rFonts w:ascii="Times New Roman" w:hAnsi="Times New Roman" w:cs="Times New Roman"/>
          <w:i/>
          <w:iCs/>
          <w:sz w:val="24"/>
        </w:rPr>
        <w:t>LaAGL11</w:t>
      </w:r>
      <w:r>
        <w:rPr>
          <w:rFonts w:ascii="Times New Roman" w:hAnsi="Times New Roman" w:cs="Times New Roman"/>
          <w:sz w:val="24"/>
        </w:rPr>
        <w:t>. White indicates exon; grey indicates intron; grey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pre-mRNA; black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mRNA. </w:t>
      </w:r>
      <w:r>
        <w:rPr>
          <w:rFonts w:ascii="Times New Roman" w:eastAsia="宋体" w:hAnsi="Times New Roman" w:cs="Times New Roman"/>
          <w:sz w:val="24"/>
        </w:rPr>
        <w:t>(</w:t>
      </w:r>
      <w:proofErr w:type="gramStart"/>
      <w:r>
        <w:rPr>
          <w:rFonts w:ascii="Times New Roman" w:eastAsia="宋体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proofErr w:type="gramEnd"/>
      <w:r>
        <w:rPr>
          <w:rFonts w:ascii="Times New Roman" w:eastAsia="宋体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Expression patterns of </w:t>
      </w:r>
      <w:r>
        <w:rPr>
          <w:rFonts w:ascii="Times New Roman" w:hAnsi="Times New Roman" w:cs="Times New Roman"/>
          <w:i/>
          <w:iCs/>
          <w:sz w:val="24"/>
        </w:rPr>
        <w:t>LaAGL11</w:t>
      </w:r>
      <w:r>
        <w:rPr>
          <w:rFonts w:ascii="Times New Roman" w:hAnsi="Times New Roman" w:cs="Times New Roman"/>
          <w:sz w:val="24"/>
        </w:rPr>
        <w:t xml:space="preserve"> pre-mRNA and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 during tree aging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detected by </w:t>
      </w:r>
      <w:r>
        <w:rPr>
          <w:rFonts w:ascii="Times New Roman" w:eastAsia="宋体" w:hAnsi="Times New Roman" w:cs="Times New Roman"/>
          <w:sz w:val="24"/>
        </w:rPr>
        <w:t xml:space="preserve">three different </w:t>
      </w:r>
      <w:r>
        <w:rPr>
          <w:rFonts w:ascii="Times New Roman" w:hAnsi="Times New Roman" w:cs="Times New Roman"/>
          <w:sz w:val="24"/>
        </w:rPr>
        <w:t>primer</w:t>
      </w:r>
      <w:r>
        <w:rPr>
          <w:rFonts w:ascii="Times New Roman" w:eastAsia="宋体" w:hAnsi="Times New Roman" w:cs="Times New Roman"/>
          <w:sz w:val="24"/>
        </w:rPr>
        <w:t xml:space="preserve"> pairs</w:t>
      </w:r>
      <w:r>
        <w:rPr>
          <w:rFonts w:ascii="Times New Roman" w:hAnsi="Times New Roman" w:cs="Times New Roman"/>
          <w:sz w:val="24"/>
        </w:rPr>
        <w:t xml:space="preserve">. The lateral branches of 1-, 3-, and 5-year-old active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Larix</w:t>
      </w:r>
      <w:proofErr w:type="spellEnd"/>
      <w:r>
        <w:rPr>
          <w:rFonts w:ascii="Times New Roman" w:hAnsi="Times New Roman" w:cs="Times New Roman"/>
          <w:i/>
          <w:iCs/>
          <w:sz w:val="24"/>
          <w:lang w:bidi="a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kaempferi</w:t>
      </w:r>
      <w:proofErr w:type="spellEnd"/>
      <w:r>
        <w:rPr>
          <w:rFonts w:ascii="Times New Roman" w:hAnsi="Times New Roman" w:cs="Times New Roman"/>
          <w:sz w:val="24"/>
        </w:rPr>
        <w:t xml:space="preserve"> trees (n ≥6, sampled on 4 July 2019) were used to detect the expression patterns, which were assayed by </w:t>
      </w:r>
      <w:proofErr w:type="spellStart"/>
      <w:r>
        <w:rPr>
          <w:rFonts w:ascii="Times New Roman" w:hAnsi="Times New Roman" w:cs="Times New Roman"/>
          <w:sz w:val="24"/>
        </w:rPr>
        <w:t>qRT</w:t>
      </w:r>
      <w:proofErr w:type="spellEnd"/>
      <w:r>
        <w:rPr>
          <w:rFonts w:ascii="Times New Roman" w:hAnsi="Times New Roman" w:cs="Times New Roman"/>
          <w:sz w:val="24"/>
        </w:rPr>
        <w:t xml:space="preserve">-PCR with </w:t>
      </w:r>
      <w:r>
        <w:rPr>
          <w:rFonts w:ascii="Times New Roman" w:hAnsi="Times New Roman" w:cs="Times New Roman"/>
          <w:i/>
          <w:iCs/>
          <w:sz w:val="24"/>
        </w:rPr>
        <w:t>LaEF1A1</w:t>
      </w:r>
      <w:r>
        <w:rPr>
          <w:rFonts w:ascii="Times New Roman" w:hAnsi="Times New Roman" w:cs="Times New Roman"/>
          <w:sz w:val="24"/>
        </w:rPr>
        <w:t xml:space="preserve"> as the internal control. The capitalized Roman numerals (Ⅰ-Ⅵ) in </w:t>
      </w:r>
      <w:r>
        <w:rPr>
          <w:rFonts w:ascii="Times New Roman" w:hAnsi="Times New Roman" w:cs="Times New Roman" w:hint="eastAsia"/>
          <w:sz w:val="24"/>
        </w:rPr>
        <w:t>Fig.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represent the different primers.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等线" w:hAnsi="Times New Roman" w:cs="Times New Roman"/>
          <w:sz w:val="24"/>
        </w:rPr>
        <w:t xml:space="preserve">The </w:t>
      </w:r>
      <w:r>
        <w:rPr>
          <w:rFonts w:ascii="Times New Roman" w:eastAsia="等线" w:hAnsi="Times New Roman" w:cs="Times New Roman"/>
          <w:i/>
          <w:iCs/>
          <w:sz w:val="24"/>
        </w:rPr>
        <w:t>p</w:t>
      </w:r>
      <w:r>
        <w:rPr>
          <w:rFonts w:ascii="Times New Roman" w:eastAsia="等线" w:hAnsi="Times New Roman" w:cs="Times New Roman"/>
          <w:sz w:val="24"/>
        </w:rPr>
        <w:t>-value was calculated between 3- and 1-year-old trees. One-way ANOVA Duncan’s test was used for statistical analysis.</w:t>
      </w:r>
    </w:p>
    <w:p w:rsidR="00910A63" w:rsidRPr="00DB7269" w:rsidRDefault="00910A63">
      <w:bookmarkStart w:id="0" w:name="_GoBack"/>
      <w:bookmarkEnd w:id="0"/>
    </w:p>
    <w:sectPr w:rsidR="00910A63" w:rsidRPr="00DB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9"/>
    <w:rsid w:val="00910A63"/>
    <w:rsid w:val="00D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DB726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DB72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72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DB726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DB72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7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2023-07-29T10:07:00Z</dcterms:created>
  <dcterms:modified xsi:type="dcterms:W3CDTF">2023-07-29T10:07:00Z</dcterms:modified>
</cp:coreProperties>
</file>