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EE96D" w14:textId="77777777" w:rsidR="009D68C4" w:rsidRDefault="00586F0E">
      <w:pPr>
        <w:spacing w:line="480" w:lineRule="auto"/>
        <w:rPr>
          <w:rFonts w:ascii="Arial Bold" w:hAnsi="Arial Bold" w:cs="Arial Bold" w:hint="eastAsia"/>
          <w:b/>
          <w:bCs/>
          <w:sz w:val="24"/>
          <w:szCs w:val="24"/>
        </w:rPr>
      </w:pPr>
      <w:r>
        <w:rPr>
          <w:rFonts w:ascii="Arial Bold" w:hAnsi="Arial Bold" w:cs="Arial Bold"/>
          <w:b/>
          <w:bCs/>
          <w:sz w:val="24"/>
          <w:szCs w:val="24"/>
        </w:rPr>
        <w:t>Supplementary material S1</w:t>
      </w:r>
    </w:p>
    <w:p w14:paraId="218DE107" w14:textId="77777777" w:rsidR="009D68C4" w:rsidRDefault="009D68C4">
      <w:pPr>
        <w:spacing w:line="480" w:lineRule="auto"/>
        <w:rPr>
          <w:rFonts w:ascii="Arial" w:hAnsi="Arial" w:cs="Arial"/>
          <w:sz w:val="24"/>
          <w:szCs w:val="24"/>
        </w:rPr>
      </w:pPr>
    </w:p>
    <w:p w14:paraId="5AFE88B5" w14:textId="77777777" w:rsidR="009D68C4" w:rsidRDefault="00586F0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extracted DNA concentrations were </w:t>
      </w:r>
      <w:r>
        <w:rPr>
          <w:rFonts w:ascii="Arial" w:hAnsi="Arial" w:cs="Arial" w:hint="eastAsia"/>
          <w:sz w:val="24"/>
          <w:szCs w:val="24"/>
        </w:rPr>
        <w:t>detected</w:t>
      </w:r>
      <w:r>
        <w:rPr>
          <w:rFonts w:ascii="Arial" w:hAnsi="Arial" w:cs="Arial"/>
          <w:sz w:val="24"/>
          <w:szCs w:val="24"/>
        </w:rPr>
        <w:t xml:space="preserve"> with a </w:t>
      </w:r>
      <w:proofErr w:type="spellStart"/>
      <w:r>
        <w:rPr>
          <w:rFonts w:ascii="Arial" w:hAnsi="Arial" w:cs="Arial"/>
          <w:sz w:val="24"/>
          <w:szCs w:val="24"/>
        </w:rPr>
        <w:t>NanoDrop</w:t>
      </w:r>
      <w:proofErr w:type="spellEnd"/>
      <w:r>
        <w:rPr>
          <w:rFonts w:ascii="Arial" w:hAnsi="Arial" w:cs="Arial"/>
          <w:sz w:val="24"/>
          <w:szCs w:val="24"/>
        </w:rPr>
        <w:t xml:space="preserve"> spectrophotometer (Thermo Fisher Scientific, </w:t>
      </w:r>
      <w:proofErr w:type="spellStart"/>
      <w:r>
        <w:rPr>
          <w:rFonts w:ascii="Arial" w:hAnsi="Arial" w:cs="Arial"/>
          <w:sz w:val="24"/>
          <w:szCs w:val="24"/>
        </w:rPr>
        <w:t>Dreieich</w:t>
      </w:r>
      <w:proofErr w:type="spellEnd"/>
      <w:r>
        <w:rPr>
          <w:rFonts w:ascii="Arial" w:hAnsi="Arial" w:cs="Arial"/>
          <w:sz w:val="24"/>
          <w:szCs w:val="24"/>
        </w:rPr>
        <w:t xml:space="preserve">, Germany). The primers </w:t>
      </w:r>
      <w:r>
        <w:rPr>
          <w:rFonts w:ascii="Arial" w:hAnsi="Arial" w:cs="Arial" w:hint="eastAsia"/>
          <w:sz w:val="24"/>
          <w:szCs w:val="24"/>
        </w:rPr>
        <w:t>utilized</w:t>
      </w:r>
      <w:r>
        <w:rPr>
          <w:rFonts w:ascii="Arial" w:hAnsi="Arial" w:cs="Arial"/>
          <w:sz w:val="24"/>
          <w:szCs w:val="24"/>
        </w:rPr>
        <w:t xml:space="preserve"> for bacterial 16S (V4-V5) and fungal ITS rRNA gene amplifications were 338F: ACTCCTACGGGAGGCAGCAG and 806R: GGACTACHVGGGTWTCTAAT, and ITS3F: GCATCGATGAAGAACGCAGC and ITS4R: TCCTCCGCTTATTGATATGC, respectively. Bacterial and fungal amplicon libraries were prepared according to Quast </w:t>
      </w:r>
      <w:r>
        <w:rPr>
          <w:rFonts w:ascii="Arial" w:hAnsi="Arial" w:cs="Arial"/>
          <w:i/>
          <w:iCs/>
          <w:sz w:val="24"/>
          <w:szCs w:val="24"/>
        </w:rPr>
        <w:t>et al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vertAlign w:val="superscript"/>
        </w:rPr>
        <w:t>[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>1]</w:t>
      </w:r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Kõljalg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et al.</w:t>
      </w:r>
      <w:r>
        <w:rPr>
          <w:rFonts w:ascii="Arial" w:hAnsi="Arial" w:cs="Arial"/>
          <w:sz w:val="24"/>
          <w:szCs w:val="24"/>
          <w:vertAlign w:val="superscript"/>
        </w:rPr>
        <w:t>[2]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1CF6650" w14:textId="77777777" w:rsidR="009D68C4" w:rsidRDefault="009D68C4">
      <w:pPr>
        <w:spacing w:line="480" w:lineRule="auto"/>
        <w:rPr>
          <w:rFonts w:ascii="Arial" w:hAnsi="Arial" w:cs="Arial"/>
          <w:sz w:val="24"/>
          <w:szCs w:val="24"/>
        </w:rPr>
      </w:pPr>
    </w:p>
    <w:p w14:paraId="3C94EDBE" w14:textId="77777777" w:rsidR="009D68C4" w:rsidRDefault="00586F0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Quantitative Polymerase Chain Reaction (qPCR) was used to measure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phoD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phoX</w:t>
      </w:r>
      <w:proofErr w:type="spellEnd"/>
      <w:r>
        <w:rPr>
          <w:rFonts w:ascii="Arial" w:hAnsi="Arial" w:cs="Arial"/>
          <w:sz w:val="24"/>
          <w:szCs w:val="24"/>
        </w:rPr>
        <w:t xml:space="preserve"> gene abundances, and amplicon sequencing was also conducted for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phoD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phoX</w:t>
      </w:r>
      <w:proofErr w:type="spellEnd"/>
      <w:r>
        <w:rPr>
          <w:rFonts w:ascii="Arial" w:hAnsi="Arial" w:cs="Arial"/>
          <w:sz w:val="24"/>
          <w:szCs w:val="24"/>
        </w:rPr>
        <w:t xml:space="preserve">. For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phoD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phoX</w:t>
      </w:r>
      <w:proofErr w:type="spellEnd"/>
      <w:r>
        <w:rPr>
          <w:rFonts w:ascii="Arial" w:hAnsi="Arial" w:cs="Arial"/>
          <w:sz w:val="24"/>
          <w:szCs w:val="24"/>
        </w:rPr>
        <w:t xml:space="preserve"> gene abundances, the primer sets </w:t>
      </w:r>
      <w:r>
        <w:rPr>
          <w:rFonts w:ascii="Arial" w:hAnsi="Arial" w:cs="Arial"/>
          <w:i/>
          <w:iCs/>
          <w:sz w:val="24"/>
          <w:szCs w:val="24"/>
        </w:rPr>
        <w:t>phoD</w:t>
      </w:r>
      <w:r>
        <w:rPr>
          <w:rFonts w:ascii="Arial" w:hAnsi="Arial" w:cs="Arial"/>
          <w:sz w:val="24"/>
          <w:szCs w:val="24"/>
        </w:rPr>
        <w:t xml:space="preserve">-F733 (5′-TGGGAYGATCAYGARGT-3′) and </w:t>
      </w:r>
      <w:r>
        <w:rPr>
          <w:rFonts w:ascii="Arial" w:hAnsi="Arial" w:cs="Arial"/>
          <w:i/>
          <w:iCs/>
          <w:sz w:val="24"/>
          <w:szCs w:val="24"/>
        </w:rPr>
        <w:t>phoD</w:t>
      </w:r>
      <w:r>
        <w:rPr>
          <w:rFonts w:ascii="Arial" w:hAnsi="Arial" w:cs="Arial"/>
          <w:sz w:val="24"/>
          <w:szCs w:val="24"/>
        </w:rPr>
        <w:t xml:space="preserve">-R1083 (5′-CTGSGCSAKSACRTTCCA-3′) were used to amplify the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phoD</w:t>
      </w:r>
      <w:proofErr w:type="spellEnd"/>
      <w:r>
        <w:rPr>
          <w:rFonts w:ascii="Arial" w:hAnsi="Arial" w:cs="Arial"/>
          <w:sz w:val="24"/>
          <w:szCs w:val="24"/>
        </w:rPr>
        <w:t xml:space="preserve"> gene, while </w:t>
      </w:r>
      <w:r>
        <w:rPr>
          <w:rFonts w:ascii="Arial" w:hAnsi="Arial" w:cs="Arial"/>
          <w:i/>
          <w:iCs/>
          <w:sz w:val="24"/>
          <w:szCs w:val="24"/>
        </w:rPr>
        <w:t>phoX</w:t>
      </w:r>
      <w:r>
        <w:rPr>
          <w:rFonts w:ascii="Arial" w:hAnsi="Arial" w:cs="Arial"/>
          <w:sz w:val="24"/>
          <w:szCs w:val="24"/>
        </w:rPr>
        <w:t xml:space="preserve">-F455 (5′-CAGTTCGGBTWCAACAACGA-3′) and </w:t>
      </w:r>
      <w:r>
        <w:rPr>
          <w:rFonts w:ascii="Arial" w:hAnsi="Arial" w:cs="Arial"/>
          <w:i/>
          <w:iCs/>
          <w:sz w:val="24"/>
          <w:szCs w:val="24"/>
        </w:rPr>
        <w:t>phoX</w:t>
      </w:r>
      <w:r>
        <w:rPr>
          <w:rFonts w:ascii="Arial" w:hAnsi="Arial" w:cs="Arial"/>
          <w:sz w:val="24"/>
          <w:szCs w:val="24"/>
        </w:rPr>
        <w:t xml:space="preserve">-R1076 (5′-CGGCCCAGSGCRGTGYGYTT-3′) were used to amplify the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phoX</w:t>
      </w:r>
      <w:proofErr w:type="spellEnd"/>
      <w:r>
        <w:rPr>
          <w:rFonts w:ascii="Arial" w:hAnsi="Arial" w:cs="Arial"/>
          <w:sz w:val="24"/>
          <w:szCs w:val="24"/>
        </w:rPr>
        <w:t xml:space="preserve"> gene, as described by </w:t>
      </w:r>
      <w:proofErr w:type="spellStart"/>
      <w:r>
        <w:rPr>
          <w:rFonts w:ascii="Arial" w:hAnsi="Arial" w:cs="Arial"/>
          <w:sz w:val="24"/>
          <w:szCs w:val="24"/>
        </w:rPr>
        <w:t>Ragot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et al.</w:t>
      </w:r>
      <w:r>
        <w:rPr>
          <w:rFonts w:ascii="Arial" w:hAnsi="Arial" w:cs="Arial"/>
          <w:sz w:val="24"/>
          <w:szCs w:val="24"/>
          <w:vertAlign w:val="superscript"/>
        </w:rPr>
        <w:t>[3]</w:t>
      </w:r>
      <w:r>
        <w:rPr>
          <w:rFonts w:ascii="Arial" w:hAnsi="Arial" w:cs="Arial"/>
          <w:sz w:val="24"/>
          <w:szCs w:val="24"/>
        </w:rPr>
        <w:t xml:space="preserve"> and Chen </w:t>
      </w:r>
      <w:r>
        <w:rPr>
          <w:rFonts w:ascii="Arial" w:hAnsi="Arial" w:cs="Arial"/>
          <w:i/>
          <w:iCs/>
          <w:sz w:val="24"/>
          <w:szCs w:val="24"/>
        </w:rPr>
        <w:t>et al.</w:t>
      </w:r>
      <w:r>
        <w:rPr>
          <w:rFonts w:ascii="Arial" w:hAnsi="Arial" w:cs="Arial"/>
          <w:sz w:val="24"/>
          <w:szCs w:val="24"/>
          <w:vertAlign w:val="superscript"/>
        </w:rPr>
        <w:t>[4]</w:t>
      </w:r>
      <w:r>
        <w:rPr>
          <w:rFonts w:ascii="Arial" w:hAnsi="Arial" w:cs="Arial"/>
          <w:sz w:val="24"/>
          <w:szCs w:val="24"/>
        </w:rPr>
        <w:t xml:space="preserve">. The qPCR reaction mixture (10 </w:t>
      </w:r>
      <w:proofErr w:type="spellStart"/>
      <w:r>
        <w:rPr>
          <w:rFonts w:ascii="Arial" w:hAnsi="Arial" w:cs="Arial"/>
          <w:sz w:val="24"/>
          <w:szCs w:val="24"/>
        </w:rPr>
        <w:t>μl</w:t>
      </w:r>
      <w:proofErr w:type="spellEnd"/>
      <w:r>
        <w:rPr>
          <w:rFonts w:ascii="Arial" w:hAnsi="Arial" w:cs="Arial"/>
          <w:sz w:val="24"/>
          <w:szCs w:val="24"/>
        </w:rPr>
        <w:t xml:space="preserve">) was identical for both the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phoD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phoX</w:t>
      </w:r>
      <w:proofErr w:type="spellEnd"/>
      <w:r>
        <w:rPr>
          <w:rFonts w:ascii="Arial" w:hAnsi="Arial" w:cs="Arial"/>
          <w:sz w:val="24"/>
          <w:szCs w:val="24"/>
        </w:rPr>
        <w:t xml:space="preserve"> genes, and contained 5 </w:t>
      </w:r>
      <w:proofErr w:type="spellStart"/>
      <w:r>
        <w:rPr>
          <w:rFonts w:ascii="Arial" w:hAnsi="Arial" w:cs="Arial"/>
          <w:sz w:val="24"/>
          <w:szCs w:val="24"/>
        </w:rPr>
        <w:t>μl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SsoFastTM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EVaGreen</w:t>
      </w:r>
      <w:proofErr w:type="spellEnd"/>
      <w:r>
        <w:rPr>
          <w:rFonts w:ascii="Arial" w:hAnsi="Arial" w:cs="Arial"/>
          <w:sz w:val="24"/>
          <w:szCs w:val="24"/>
        </w:rPr>
        <w:t xml:space="preserve">® </w:t>
      </w:r>
      <w:proofErr w:type="spellStart"/>
      <w:r>
        <w:rPr>
          <w:rFonts w:ascii="Arial" w:hAnsi="Arial" w:cs="Arial"/>
          <w:sz w:val="24"/>
          <w:szCs w:val="24"/>
        </w:rPr>
        <w:t>Supermix</w:t>
      </w:r>
      <w:proofErr w:type="spellEnd"/>
      <w:r>
        <w:rPr>
          <w:rFonts w:ascii="Arial" w:hAnsi="Arial" w:cs="Arial"/>
          <w:sz w:val="24"/>
          <w:szCs w:val="24"/>
        </w:rPr>
        <w:t xml:space="preserve"> (Bio-Rad Laboratories Inc., CA, USA), 0.5 </w:t>
      </w:r>
      <w:proofErr w:type="spellStart"/>
      <w:r>
        <w:rPr>
          <w:rFonts w:ascii="Arial" w:hAnsi="Arial" w:cs="Arial"/>
          <w:sz w:val="24"/>
          <w:szCs w:val="24"/>
        </w:rPr>
        <w:t>μl</w:t>
      </w:r>
      <w:proofErr w:type="spellEnd"/>
      <w:r>
        <w:rPr>
          <w:rFonts w:ascii="Arial" w:hAnsi="Arial" w:cs="Arial"/>
          <w:sz w:val="24"/>
          <w:szCs w:val="24"/>
        </w:rPr>
        <w:t xml:space="preserve"> of each primer (10 </w:t>
      </w:r>
      <w:proofErr w:type="spellStart"/>
      <w:r>
        <w:rPr>
          <w:rFonts w:ascii="Arial" w:hAnsi="Arial" w:cs="Arial"/>
          <w:sz w:val="24"/>
          <w:szCs w:val="24"/>
        </w:rPr>
        <w:t>μM</w:t>
      </w:r>
      <w:proofErr w:type="spellEnd"/>
      <w:r>
        <w:rPr>
          <w:rFonts w:ascii="Arial" w:hAnsi="Arial" w:cs="Arial"/>
          <w:sz w:val="24"/>
          <w:szCs w:val="24"/>
        </w:rPr>
        <w:t xml:space="preserve">), 1 </w:t>
      </w:r>
      <w:proofErr w:type="spellStart"/>
      <w:r>
        <w:rPr>
          <w:rFonts w:ascii="Arial" w:hAnsi="Arial" w:cs="Arial"/>
          <w:sz w:val="24"/>
          <w:szCs w:val="24"/>
        </w:rPr>
        <w:t>μl</w:t>
      </w:r>
      <w:proofErr w:type="spellEnd"/>
      <w:r>
        <w:rPr>
          <w:rFonts w:ascii="Arial" w:hAnsi="Arial" w:cs="Arial"/>
          <w:sz w:val="24"/>
          <w:szCs w:val="24"/>
        </w:rPr>
        <w:t xml:space="preserve"> of DNA template (10 </w:t>
      </w:r>
      <w:proofErr w:type="spellStart"/>
      <w:r>
        <w:rPr>
          <w:rFonts w:ascii="Arial" w:hAnsi="Arial" w:cs="Arial"/>
          <w:sz w:val="24"/>
          <w:szCs w:val="24"/>
        </w:rPr>
        <w:t>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μl</w:t>
      </w:r>
      <w:proofErr w:type="spellEnd"/>
      <w:r>
        <w:rPr>
          <w:rFonts w:ascii="Arial" w:hAnsi="Arial" w:cs="Arial"/>
          <w:sz w:val="24"/>
          <w:szCs w:val="24"/>
          <w:vertAlign w:val="superscript"/>
        </w:rPr>
        <w:t>–1</w:t>
      </w:r>
      <w:r>
        <w:rPr>
          <w:rFonts w:ascii="Arial" w:hAnsi="Arial" w:cs="Arial"/>
          <w:sz w:val="24"/>
          <w:szCs w:val="24"/>
        </w:rPr>
        <w:t xml:space="preserve">) and 3.5 </w:t>
      </w:r>
      <w:proofErr w:type="spellStart"/>
      <w:r>
        <w:rPr>
          <w:rFonts w:ascii="Arial" w:hAnsi="Arial" w:cs="Arial"/>
          <w:sz w:val="24"/>
          <w:szCs w:val="24"/>
        </w:rPr>
        <w:t>μL</w:t>
      </w:r>
      <w:proofErr w:type="spellEnd"/>
      <w:r>
        <w:rPr>
          <w:rFonts w:ascii="Arial" w:hAnsi="Arial" w:cs="Arial"/>
          <w:sz w:val="24"/>
          <w:szCs w:val="24"/>
        </w:rPr>
        <w:t xml:space="preserve"> ddH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O. </w:t>
      </w:r>
      <w:r>
        <w:rPr>
          <w:rFonts w:ascii="Arial" w:hAnsi="Arial" w:cs="Arial"/>
          <w:sz w:val="24"/>
          <w:szCs w:val="24"/>
        </w:rPr>
        <w:lastRenderedPageBreak/>
        <w:t xml:space="preserve">The thermocycler was programmed with an initial denaturation step at 98 </w:t>
      </w:r>
      <w:r>
        <w:rPr>
          <w:rFonts w:ascii="Times New Roman" w:eastAsia="宋体" w:hAnsi="Times New Roman" w:cs="Times New Roman"/>
          <w:sz w:val="24"/>
          <w:szCs w:val="24"/>
        </w:rPr>
        <w:t>℃</w:t>
      </w:r>
      <w:r>
        <w:rPr>
          <w:rFonts w:ascii="Arial" w:hAnsi="Arial" w:cs="Arial"/>
          <w:sz w:val="24"/>
          <w:szCs w:val="24"/>
        </w:rPr>
        <w:t xml:space="preserve"> for 2 min, followed by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cycles of 98 </w:t>
      </w:r>
      <w:r>
        <w:rPr>
          <w:rFonts w:ascii="Times New Roman" w:eastAsia="宋体" w:hAnsi="Times New Roman" w:cs="Times New Roman"/>
          <w:sz w:val="24"/>
          <w:szCs w:val="24"/>
        </w:rPr>
        <w:t>℃</w:t>
      </w:r>
      <w:r>
        <w:rPr>
          <w:rFonts w:ascii="Arial" w:hAnsi="Arial" w:cs="Arial"/>
          <w:sz w:val="24"/>
          <w:szCs w:val="24"/>
        </w:rPr>
        <w:t xml:space="preserve"> for 10 s, 59 </w:t>
      </w:r>
      <w:r>
        <w:rPr>
          <w:rFonts w:ascii="Times New Roman" w:eastAsia="宋体" w:hAnsi="Times New Roman" w:cs="Times New Roman"/>
          <w:sz w:val="24"/>
          <w:szCs w:val="24"/>
        </w:rPr>
        <w:t>℃</w:t>
      </w:r>
      <w:r>
        <w:rPr>
          <w:rFonts w:ascii="Arial" w:hAnsi="Arial" w:cs="Arial"/>
          <w:sz w:val="24"/>
          <w:szCs w:val="24"/>
        </w:rPr>
        <w:t xml:space="preserve"> for 1 min and 72 </w:t>
      </w:r>
      <w:r>
        <w:rPr>
          <w:rFonts w:ascii="Times New Roman" w:eastAsia="宋体" w:hAnsi="Times New Roman" w:cs="Times New Roman"/>
          <w:sz w:val="24"/>
          <w:szCs w:val="24"/>
        </w:rPr>
        <w:t>℃</w:t>
      </w:r>
      <w:r>
        <w:rPr>
          <w:rFonts w:ascii="Arial" w:hAnsi="Arial" w:cs="Arial"/>
          <w:sz w:val="24"/>
          <w:szCs w:val="24"/>
        </w:rPr>
        <w:t xml:space="preserve"> for 1 min. </w:t>
      </w:r>
      <w:r>
        <w:rPr>
          <w:rFonts w:ascii="Arial" w:hAnsi="Arial" w:cs="Arial" w:hint="eastAsia"/>
          <w:sz w:val="24"/>
          <w:szCs w:val="24"/>
        </w:rPr>
        <w:t>The qPCR standard curves had R</w:t>
      </w:r>
      <w:r>
        <w:rPr>
          <w:rFonts w:ascii="Arial" w:hAnsi="Arial" w:cs="Arial" w:hint="eastAsia"/>
          <w:sz w:val="24"/>
          <w:szCs w:val="24"/>
          <w:vertAlign w:val="superscript"/>
        </w:rPr>
        <w:t>2</w:t>
      </w:r>
      <w:r>
        <w:rPr>
          <w:rFonts w:ascii="Arial" w:hAnsi="Arial" w:cs="Arial" w:hint="eastAsia"/>
          <w:sz w:val="24"/>
          <w:szCs w:val="24"/>
        </w:rPr>
        <w:t xml:space="preserve"> values larger than 0.99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 w:hint="eastAsia"/>
          <w:sz w:val="24"/>
          <w:szCs w:val="24"/>
        </w:rPr>
        <w:t xml:space="preserve">, and the amplification efficiency exceeded 90%. </w:t>
      </w:r>
      <w:r>
        <w:rPr>
          <w:rFonts w:ascii="Arial" w:hAnsi="Arial" w:cs="Arial"/>
          <w:sz w:val="24"/>
          <w:szCs w:val="24"/>
        </w:rPr>
        <w:t xml:space="preserve">PCR reactions were carried out in triplicate. </w:t>
      </w:r>
      <w:r>
        <w:rPr>
          <w:rFonts w:ascii="Arial" w:hAnsi="Arial" w:cs="Arial" w:hint="eastAsia"/>
          <w:sz w:val="24"/>
          <w:szCs w:val="24"/>
        </w:rPr>
        <w:t>The products from PCR were sequenced using the Illumina Nova 6000 PE250 platform (Illumina Inc., CA, USA)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by Guangdong </w:t>
      </w:r>
      <w:proofErr w:type="spellStart"/>
      <w:r>
        <w:rPr>
          <w:rFonts w:ascii="Arial" w:hAnsi="Arial" w:cs="Arial" w:hint="eastAsia"/>
          <w:sz w:val="24"/>
          <w:szCs w:val="24"/>
        </w:rPr>
        <w:t>Magigene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 Biotechnology (Guangzhou, China).</w:t>
      </w:r>
    </w:p>
    <w:p w14:paraId="38717468" w14:textId="77777777" w:rsidR="009D68C4" w:rsidRDefault="009D68C4">
      <w:pPr>
        <w:spacing w:line="480" w:lineRule="auto"/>
        <w:rPr>
          <w:rFonts w:ascii="Arial" w:hAnsi="Arial" w:cs="Arial"/>
          <w:sz w:val="24"/>
          <w:szCs w:val="24"/>
        </w:rPr>
      </w:pPr>
    </w:p>
    <w:p w14:paraId="738B8036" w14:textId="77777777" w:rsidR="009D68C4" w:rsidRDefault="00586F0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Raw </w:t>
      </w:r>
      <w:r>
        <w:rPr>
          <w:rFonts w:ascii="Arial" w:hAnsi="Arial" w:cs="Arial"/>
          <w:sz w:val="24"/>
          <w:szCs w:val="24"/>
        </w:rPr>
        <w:t>FASTQ</w:t>
      </w:r>
      <w:r>
        <w:rPr>
          <w:rFonts w:ascii="Arial" w:hAnsi="Arial" w:cs="Arial" w:hint="eastAsia"/>
          <w:sz w:val="24"/>
          <w:szCs w:val="24"/>
        </w:rPr>
        <w:t xml:space="preserve"> files were quality-filtered by </w:t>
      </w:r>
      <w:proofErr w:type="spellStart"/>
      <w:r>
        <w:rPr>
          <w:rFonts w:ascii="Arial" w:hAnsi="Arial" w:cs="Arial" w:hint="eastAsia"/>
          <w:sz w:val="24"/>
          <w:szCs w:val="24"/>
        </w:rPr>
        <w:t>Trimmomatic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 and merged by </w:t>
      </w:r>
      <w:proofErr w:type="gramStart"/>
      <w:r>
        <w:rPr>
          <w:rFonts w:ascii="Arial" w:hAnsi="Arial" w:cs="Arial" w:hint="eastAsia"/>
          <w:sz w:val="24"/>
          <w:szCs w:val="24"/>
        </w:rPr>
        <w:t>FLASH</w:t>
      </w:r>
      <w:r>
        <w:rPr>
          <w:rFonts w:ascii="Arial" w:hAnsi="Arial" w:cs="Arial"/>
          <w:sz w:val="24"/>
          <w:szCs w:val="24"/>
          <w:vertAlign w:val="superscript"/>
        </w:rPr>
        <w:t>[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>5]</w:t>
      </w:r>
      <w:r>
        <w:rPr>
          <w:rFonts w:ascii="Arial" w:hAnsi="Arial" w:cs="Arial" w:hint="eastAsia"/>
          <w:sz w:val="24"/>
          <w:szCs w:val="24"/>
        </w:rPr>
        <w:t xml:space="preserve"> with the default parameters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 w:hint="eastAsia"/>
          <w:sz w:val="24"/>
          <w:szCs w:val="24"/>
        </w:rPr>
        <w:t xml:space="preserve">The optimized sequences were organized into operational taxonomic units </w:t>
      </w:r>
      <w:r>
        <w:rPr>
          <w:rFonts w:ascii="Arial" w:hAnsi="Arial" w:cs="Arial"/>
          <w:sz w:val="24"/>
          <w:szCs w:val="24"/>
        </w:rPr>
        <w:t xml:space="preserve">(OTUs) </w:t>
      </w:r>
      <w:r>
        <w:rPr>
          <w:rFonts w:ascii="Arial" w:hAnsi="Arial" w:cs="Arial" w:hint="eastAsia"/>
          <w:sz w:val="24"/>
          <w:szCs w:val="24"/>
        </w:rPr>
        <w:t>using UPARSE 7.1 with a 97% sequence similarity threshold</w:t>
      </w:r>
      <w:r>
        <w:rPr>
          <w:rFonts w:ascii="Arial" w:hAnsi="Arial" w:cs="Arial"/>
          <w:sz w:val="24"/>
          <w:szCs w:val="24"/>
        </w:rPr>
        <w:t xml:space="preserve">. The Silva (v132) database, UNITE (v8.0) database,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phoD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phoX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FunGene</w:t>
      </w:r>
      <w:proofErr w:type="spellEnd"/>
      <w:r>
        <w:rPr>
          <w:rFonts w:ascii="Arial" w:hAnsi="Arial" w:cs="Arial"/>
          <w:sz w:val="24"/>
          <w:szCs w:val="24"/>
        </w:rPr>
        <w:t xml:space="preserve"> databases (v1.0, provided by Guangdong </w:t>
      </w:r>
      <w:proofErr w:type="spellStart"/>
      <w:r>
        <w:rPr>
          <w:rFonts w:ascii="Arial" w:hAnsi="Arial" w:cs="Arial"/>
          <w:sz w:val="24"/>
          <w:szCs w:val="24"/>
        </w:rPr>
        <w:t>Magigene</w:t>
      </w:r>
      <w:proofErr w:type="spellEnd"/>
      <w:r>
        <w:rPr>
          <w:rFonts w:ascii="Arial" w:hAnsi="Arial" w:cs="Arial"/>
          <w:sz w:val="24"/>
          <w:szCs w:val="24"/>
        </w:rPr>
        <w:t xml:space="preserve"> Biotechnology) were used to classify bacterial taxa, fungal taxa, and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phosphate-solubilizing bacterial taxa identified from amplicon sequencing.</w:t>
      </w:r>
    </w:p>
    <w:p w14:paraId="49C28DEE" w14:textId="4A211E52" w:rsidR="009D68C4" w:rsidRDefault="009D68C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D68C4">
      <w:pgSz w:w="11906" w:h="16838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F00F8"/>
    <w:multiLevelType w:val="singleLevel"/>
    <w:tmpl w:val="BFFF00F8"/>
    <w:lvl w:ilvl="0">
      <w:start w:val="5"/>
      <w:numFmt w:val="decimal"/>
      <w:suff w:val="space"/>
      <w:lvlText w:val="%1."/>
      <w:lvlJc w:val="left"/>
    </w:lvl>
  </w:abstractNum>
  <w:abstractNum w:abstractNumId="1">
    <w:nsid w:val="FBEF26DB"/>
    <w:multiLevelType w:val="singleLevel"/>
    <w:tmpl w:val="FBEF26DB"/>
    <w:lvl w:ilvl="0">
      <w:start w:val="1"/>
      <w:numFmt w:val="decimal"/>
      <w:suff w:val="space"/>
      <w:lvlText w:val="%1."/>
      <w:lvlJc w:val="left"/>
    </w:lvl>
  </w:abstractNum>
  <w:abstractNum w:abstractNumId="2">
    <w:nsid w:val="FFDFF0F0"/>
    <w:multiLevelType w:val="singleLevel"/>
    <w:tmpl w:val="FFDFF0F0"/>
    <w:lvl w:ilvl="0">
      <w:start w:val="4"/>
      <w:numFmt w:val="decimal"/>
      <w:suff w:val="space"/>
      <w:lvlText w:val="%1."/>
      <w:lvlJc w:val="left"/>
    </w:lvl>
  </w:abstractNum>
  <w:abstractNum w:abstractNumId="3">
    <w:nsid w:val="7FED3252"/>
    <w:multiLevelType w:val="singleLevel"/>
    <w:tmpl w:val="7FED3252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xtDQ3MjI3NTcwMjBT0lEKTi0uzszPAykwrAUA83YCyCwAAAA="/>
  </w:docVars>
  <w:rsids>
    <w:rsidRoot w:val="7FFD607B"/>
    <w:rsid w:val="7FFD607B"/>
    <w:rsid w:val="BF9DD652"/>
    <w:rsid w:val="D9BAF2EC"/>
    <w:rsid w:val="DBDEDDD5"/>
    <w:rsid w:val="DD5FEAA3"/>
    <w:rsid w:val="DE68567E"/>
    <w:rsid w:val="EF7AF046"/>
    <w:rsid w:val="F69ACF0B"/>
    <w:rsid w:val="F9CDD636"/>
    <w:rsid w:val="FBBC6056"/>
    <w:rsid w:val="FCF78A48"/>
    <w:rsid w:val="00180779"/>
    <w:rsid w:val="001B1671"/>
    <w:rsid w:val="001F78DB"/>
    <w:rsid w:val="0025446A"/>
    <w:rsid w:val="00293E51"/>
    <w:rsid w:val="00323C99"/>
    <w:rsid w:val="003F577B"/>
    <w:rsid w:val="004E164A"/>
    <w:rsid w:val="004F7483"/>
    <w:rsid w:val="00521C75"/>
    <w:rsid w:val="00586F0E"/>
    <w:rsid w:val="006539A4"/>
    <w:rsid w:val="006B7744"/>
    <w:rsid w:val="008E48A1"/>
    <w:rsid w:val="009557AD"/>
    <w:rsid w:val="009D68C4"/>
    <w:rsid w:val="00A20D13"/>
    <w:rsid w:val="00A73E31"/>
    <w:rsid w:val="00A74B0A"/>
    <w:rsid w:val="00C45791"/>
    <w:rsid w:val="00C574B0"/>
    <w:rsid w:val="00E22EEE"/>
    <w:rsid w:val="00F830AA"/>
    <w:rsid w:val="2BE60985"/>
    <w:rsid w:val="3747207E"/>
    <w:rsid w:val="7B66ECB5"/>
    <w:rsid w:val="7BF75A43"/>
    <w:rsid w:val="7F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F7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qFormat/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paragraph" w:styleId="a4">
    <w:name w:val="Balloon Text"/>
    <w:basedOn w:val="a"/>
    <w:link w:val="Char"/>
    <w:rsid w:val="00586F0E"/>
    <w:rPr>
      <w:sz w:val="18"/>
      <w:szCs w:val="18"/>
    </w:rPr>
  </w:style>
  <w:style w:type="character" w:customStyle="1" w:styleId="Char">
    <w:name w:val="批注框文本 Char"/>
    <w:basedOn w:val="a0"/>
    <w:link w:val="a4"/>
    <w:rsid w:val="00586F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qFormat/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paragraph" w:styleId="a4">
    <w:name w:val="Balloon Text"/>
    <w:basedOn w:val="a"/>
    <w:link w:val="Char"/>
    <w:rsid w:val="00586F0E"/>
    <w:rPr>
      <w:sz w:val="18"/>
      <w:szCs w:val="18"/>
    </w:rPr>
  </w:style>
  <w:style w:type="character" w:customStyle="1" w:styleId="Char">
    <w:name w:val="批注框文本 Char"/>
    <w:basedOn w:val="a0"/>
    <w:link w:val="a4"/>
    <w:rsid w:val="00586F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何玥</dc:creator>
  <cp:lastModifiedBy>China</cp:lastModifiedBy>
  <cp:revision>24</cp:revision>
  <dcterms:created xsi:type="dcterms:W3CDTF">2023-04-06T17:37:00Z</dcterms:created>
  <dcterms:modified xsi:type="dcterms:W3CDTF">2023-07-26T00:22:00Z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BD0D710189A5A46657C033648FB880ED_43</vt:lpwstr>
  </property>
</Properties>
</file>