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FFE9F">
      <w:pPr>
        <w:spacing w:line="360" w:lineRule="auto"/>
        <w:rPr>
          <w:rFonts w:hint="default" w:ascii="Times New Roman" w:hAnsi="Times New Roman" w:eastAsia="宋体" w:cs="Times New Roman"/>
          <w:b/>
          <w:lang w:val="en-US" w:eastAsia="zh-CN"/>
        </w:rPr>
      </w:pPr>
      <w:r>
        <w:rPr>
          <w:rFonts w:ascii="Times New Roman" w:hAnsi="Times New Roman" w:cs="Times New Roman"/>
          <w:b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 xml:space="preserve">File </w:t>
      </w:r>
      <w:r>
        <w:rPr>
          <w:rFonts w:ascii="Times New Roman" w:hAnsi="Times New Roman" w:cs="Times New Roman"/>
          <w:b/>
        </w:rPr>
        <w:t>3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/>
        </w:rPr>
        <w:t xml:space="preserve">Supplementary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results to this study.</w:t>
      </w:r>
    </w:p>
    <w:p w14:paraId="54E2C74E">
      <w:pPr>
        <w:spacing w:line="36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01F247D0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Results</w:t>
      </w:r>
    </w:p>
    <w:p w14:paraId="7DB3721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Access to and Reimbursement of </w:t>
      </w:r>
      <w:r>
        <w:rPr>
          <w:rFonts w:ascii="Times New Roman" w:hAnsi="Times New Roman" w:cs="Times New Roman"/>
          <w:b/>
          <w:i/>
        </w:rPr>
        <w:t>BRCA</w:t>
      </w:r>
      <w:r>
        <w:rPr>
          <w:rFonts w:ascii="Times New Roman" w:hAnsi="Times New Roman" w:cs="Times New Roman"/>
          <w:b/>
        </w:rPr>
        <w:t xml:space="preserve"> Testing</w:t>
      </w:r>
    </w:p>
    <w:p w14:paraId="31F872F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Among the participants, 113 physicians (54.9%) reported that both germline and somatic BRCA testing from tumor tissue were available at their institutions. Fifty physicians (24.3%) stated that only germline BRCA testing was available, and three physicians (1.5%) indicated that only somatic BRCA testing could be performed. In contrast, 43 physicians (20.9%) reported that germline BRCA testing was not available at their institutions. However, the vast majority (96.1%) indicated that BRCA testing was accessible somewhere within their city, even if not directly available at their facility.</w:t>
      </w:r>
    </w:p>
    <w:p w14:paraId="2358BB6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Regarding reimbursement, 46 physicians (32.4%) indicated that BRCA testing was paid by patients as an out-of-pocket cost or covered by private insurance, partially covered by the social security institution (Sosyal Guvenlik Kurumu, SGK) with additional payment, or provided through clinical trials. In comparison, 77.6% of physicians reported that BRCA testing for cancer patients was fully covered by the SGK. For healthy individuals, 97 physicians (47.1%) noted that BRCA testing costs were either self-paid or partially covered by SGK with additional payment, while the remaining respondents reported full coverage by SGK</w:t>
      </w:r>
    </w:p>
    <w:p w14:paraId="28C08DC9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Fifty physicians (24.3%) stated that BRCA test results were available within one month, 85 physicians (41.3%) reported a turnaround time of two months, 47 physicians (22.8%) indicated three months and 24 physicians (11.7%) stated that results took longer than three months to be delivered.</w:t>
      </w:r>
    </w:p>
    <w:p w14:paraId="26BD462B">
      <w:pPr>
        <w:spacing w:line="360" w:lineRule="auto"/>
        <w:rPr>
          <w:rFonts w:ascii="Times New Roman" w:hAnsi="Times New Roman" w:cs="Times New Roman"/>
          <w:b/>
        </w:rPr>
      </w:pPr>
    </w:p>
    <w:p w14:paraId="3A89ED1F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lang w:eastAsia="tr-TR"/>
        </w:rPr>
      </w:pPr>
      <w:r>
        <w:rPr>
          <w:rFonts w:ascii="Times New Roman" w:hAnsi="Times New Roman" w:eastAsia="Times New Roman" w:cs="Times New Roman"/>
          <w:b/>
          <w:bCs/>
          <w:lang w:eastAsia="tr-TR"/>
        </w:rPr>
        <w:t>The Physicians’ Experiences of Variant of Unknown Significance (VUS)</w:t>
      </w:r>
    </w:p>
    <w:p w14:paraId="583F65E8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In response to the question, </w:t>
      </w:r>
      <w:r>
        <w:rPr>
          <w:rFonts w:ascii="Times New Roman" w:hAnsi="Times New Roman" w:eastAsia="Times New Roman" w:cs="Times New Roman"/>
          <w:bCs/>
          <w:lang w:eastAsia="tr-TR"/>
        </w:rPr>
        <w:t>“How would you describe your knowledge level regarding VUS in BRCA1/2 testing?”</w:t>
      </w:r>
      <w:r>
        <w:rPr>
          <w:rFonts w:ascii="Times New Roman" w:hAnsi="Times New Roman" w:eastAsia="Times New Roman" w:cs="Times New Roman"/>
          <w:lang w:eastAsia="tr-TR"/>
        </w:rPr>
        <w:t>:</w:t>
      </w:r>
    </w:p>
    <w:p w14:paraId="66A2865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22.2% of non-genetic physicians</w:t>
      </w:r>
      <w:r>
        <w:rPr>
          <w:rFonts w:ascii="Times New Roman" w:hAnsi="Times New Roman" w:eastAsia="Times New Roman" w:cs="Times New Roman"/>
          <w:lang w:eastAsia="tr-TR"/>
        </w:rPr>
        <w:t xml:space="preserve"> stated that their knowledge was sufficient, compared to </w:t>
      </w:r>
      <w:r>
        <w:rPr>
          <w:rFonts w:ascii="Times New Roman" w:hAnsi="Times New Roman" w:eastAsia="Times New Roman" w:cs="Times New Roman"/>
          <w:bCs/>
          <w:lang w:eastAsia="tr-TR"/>
        </w:rPr>
        <w:t>81.3% of geneticists</w:t>
      </w:r>
      <w:r>
        <w:rPr>
          <w:rFonts w:ascii="Times New Roman" w:hAnsi="Times New Roman" w:eastAsia="Times New Roman" w:cs="Times New Roman"/>
          <w:lang w:eastAsia="tr-TR"/>
        </w:rPr>
        <w:t xml:space="preserve"> who reported sufficient knowledge.</w:t>
      </w:r>
    </w:p>
    <w:p w14:paraId="0F08BCB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46.9% of physicians</w:t>
      </w:r>
      <w:r>
        <w:rPr>
          <w:rFonts w:ascii="Times New Roman" w:hAnsi="Times New Roman" w:eastAsia="Times New Roman" w:cs="Times New Roman"/>
          <w:lang w:eastAsia="tr-TR"/>
        </w:rPr>
        <w:t xml:space="preserve"> consulted a geneticist for guidance on VUS.</w:t>
      </w:r>
    </w:p>
    <w:p w14:paraId="54644E1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40.2% of physicians</w:t>
      </w:r>
      <w:r>
        <w:rPr>
          <w:rFonts w:ascii="Times New Roman" w:hAnsi="Times New Roman" w:eastAsia="Times New Roman" w:cs="Times New Roman"/>
          <w:lang w:eastAsia="tr-TR"/>
        </w:rPr>
        <w:t xml:space="preserve"> either disregarded VUS, expressed no opinion, or followed the recommendations provided in the report.</w:t>
      </w:r>
    </w:p>
    <w:p w14:paraId="763C06E2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bCs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When presented with options on how to approach VUS, the majority agreed that individualized follow-up was key. Specifically, </w:t>
      </w:r>
      <w:r>
        <w:rPr>
          <w:rFonts w:ascii="Times New Roman" w:hAnsi="Times New Roman" w:eastAsia="Times New Roman" w:cs="Times New Roman"/>
          <w:bCs/>
          <w:lang w:eastAsia="tr-TR"/>
        </w:rPr>
        <w:t>81% of non-genetic physicians</w:t>
      </w:r>
      <w:r>
        <w:rPr>
          <w:rFonts w:ascii="Times New Roman" w:hAnsi="Times New Roman" w:eastAsia="Times New Roman" w:cs="Times New Roman"/>
          <w:lang w:eastAsia="tr-TR"/>
        </w:rPr>
        <w:t xml:space="preserve"> and </w:t>
      </w:r>
      <w:r>
        <w:rPr>
          <w:rFonts w:ascii="Times New Roman" w:hAnsi="Times New Roman" w:eastAsia="Times New Roman" w:cs="Times New Roman"/>
          <w:bCs/>
          <w:lang w:eastAsia="tr-TR"/>
        </w:rPr>
        <w:t>87.5% of geneticists</w:t>
      </w:r>
      <w:r>
        <w:rPr>
          <w:rFonts w:ascii="Times New Roman" w:hAnsi="Times New Roman" w:eastAsia="Times New Roman" w:cs="Times New Roman"/>
          <w:lang w:eastAsia="tr-TR"/>
        </w:rPr>
        <w:t xml:space="preserve"> stated that </w:t>
      </w:r>
      <w:r>
        <w:rPr>
          <w:rFonts w:ascii="Times New Roman" w:hAnsi="Times New Roman" w:eastAsia="Times New Roman" w:cs="Times New Roman"/>
          <w:bCs/>
          <w:lang w:eastAsia="tr-TR"/>
        </w:rPr>
        <w:t>“The follow-up of patients with VUS should be individualized based on clinical findings, family history, and other relevant factors.”</w:t>
      </w:r>
    </w:p>
    <w:p w14:paraId="6BF0914C">
      <w:pPr>
        <w:spacing w:before="100" w:beforeAutospacing="1" w:after="100" w:afterAutospacing="1" w:line="360" w:lineRule="auto"/>
        <w:outlineLvl w:val="2"/>
        <w:rPr>
          <w:rFonts w:ascii="Times New Roman" w:hAnsi="Times New Roman" w:eastAsia="Times New Roman" w:cs="Times New Roman"/>
          <w:b/>
          <w:bCs/>
          <w:lang w:eastAsia="tr-TR"/>
        </w:rPr>
      </w:pPr>
      <w:r>
        <w:rPr>
          <w:rFonts w:ascii="Times New Roman" w:hAnsi="Times New Roman" w:eastAsia="Times New Roman" w:cs="Times New Roman"/>
          <w:b/>
          <w:bCs/>
          <w:lang w:eastAsia="tr-TR"/>
        </w:rPr>
        <w:t>Preimplantation Genetic Testing (PGT)</w:t>
      </w:r>
    </w:p>
    <w:p w14:paraId="11BE8604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Regarding knowledge levels about PGT:</w:t>
      </w:r>
    </w:p>
    <w:p w14:paraId="5E8F022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31.1% of non-genetic physicians</w:t>
      </w:r>
      <w:r>
        <w:rPr>
          <w:rFonts w:ascii="Times New Roman" w:hAnsi="Times New Roman" w:eastAsia="Times New Roman" w:cs="Times New Roman"/>
          <w:lang w:eastAsia="tr-TR"/>
        </w:rPr>
        <w:t xml:space="preserve"> stated, “I am sufficiently knowledgeable,” compared to </w:t>
      </w:r>
      <w:r>
        <w:rPr>
          <w:rFonts w:ascii="Times New Roman" w:hAnsi="Times New Roman" w:eastAsia="Times New Roman" w:cs="Times New Roman"/>
          <w:bCs/>
          <w:lang w:eastAsia="tr-TR"/>
        </w:rPr>
        <w:t>84.4% of geneticists</w:t>
      </w:r>
      <w:r>
        <w:rPr>
          <w:rFonts w:ascii="Times New Roman" w:hAnsi="Times New Roman" w:eastAsia="Times New Roman" w:cs="Times New Roman"/>
          <w:lang w:eastAsia="tr-TR"/>
        </w:rPr>
        <w:t>.</w:t>
      </w:r>
    </w:p>
    <w:p w14:paraId="2ECA4C6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83.5% of physicians</w:t>
      </w:r>
      <w:r>
        <w:rPr>
          <w:rFonts w:ascii="Times New Roman" w:hAnsi="Times New Roman" w:eastAsia="Times New Roman" w:cs="Times New Roman"/>
          <w:lang w:eastAsia="tr-TR"/>
        </w:rPr>
        <w:t xml:space="preserve"> believed having children through PGT was medically appropriate.</w:t>
      </w:r>
    </w:p>
    <w:p w14:paraId="5117396C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Physicians who did not find PGT medically appropriate cited the following reasons:</w:t>
      </w:r>
    </w:p>
    <w:p w14:paraId="716FA67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Risks associated with in vitro fertilization (IVF).</w:t>
      </w:r>
    </w:p>
    <w:p w14:paraId="03CE5871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Belief that life should not be determined by genetics.</w:t>
      </w:r>
    </w:p>
    <w:p w14:paraId="75F31B3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Preference for preventive measures to address potential issues.</w:t>
      </w:r>
    </w:p>
    <w:p w14:paraId="353D5492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Additionally, </w:t>
      </w:r>
      <w:r>
        <w:rPr>
          <w:rFonts w:ascii="Times New Roman" w:hAnsi="Times New Roman" w:eastAsia="Times New Roman" w:cs="Times New Roman"/>
          <w:bCs/>
          <w:lang w:eastAsia="tr-TR"/>
        </w:rPr>
        <w:t>80.1% of physicians</w:t>
      </w:r>
      <w:r>
        <w:rPr>
          <w:rFonts w:ascii="Times New Roman" w:hAnsi="Times New Roman" w:eastAsia="Times New Roman" w:cs="Times New Roman"/>
          <w:lang w:eastAsia="tr-TR"/>
        </w:rPr>
        <w:t xml:space="preserve"> viewed PGT as ethically and sociologically appropriate. </w:t>
      </w:r>
      <w:r>
        <w:rPr>
          <w:rFonts w:ascii="Times New Roman" w:hAnsi="Times New Roman" w:eastAsia="Times New Roman" w:cs="Times New Roman"/>
          <w:bCs/>
          <w:lang w:eastAsia="tr-TR"/>
        </w:rPr>
        <w:t>74.3% of physicians</w:t>
      </w:r>
      <w:r>
        <w:rPr>
          <w:rFonts w:ascii="Times New Roman" w:hAnsi="Times New Roman" w:eastAsia="Times New Roman" w:cs="Times New Roman"/>
          <w:lang w:eastAsia="tr-TR"/>
        </w:rPr>
        <w:t xml:space="preserve"> stated they would recommend PGT to individuals.</w:t>
      </w:r>
    </w:p>
    <w:p w14:paraId="1A743908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</w:p>
    <w:p w14:paraId="4725637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Assessing Physicians' Knowledge Levels</w:t>
      </w:r>
    </w:p>
    <w:p w14:paraId="01BD1595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>In response to the question regarding cancer types for which screening is recommended in cases of BRCA positivity (answer options: breast, ovarian, prostate, pancreatic, melanoma, and others):</w:t>
      </w:r>
    </w:p>
    <w:p w14:paraId="3CAE90F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7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screening for one cancer type, primarily breast cancer.</w:t>
      </w:r>
    </w:p>
    <w:p w14:paraId="6A2AE4D1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40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screening for two cancer types.</w:t>
      </w:r>
    </w:p>
    <w:p w14:paraId="2AF6F1F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44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screening for three cancer types.</w:t>
      </w:r>
    </w:p>
    <w:p w14:paraId="263A2651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106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screening for four cancer types (breast, ovarian, prostate, pancreatic).</w:t>
      </w:r>
    </w:p>
    <w:p w14:paraId="2852197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8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screening for five cancer types (including melanoma).</w:t>
      </w:r>
    </w:p>
    <w:p w14:paraId="7543F768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It was observed that </w:t>
      </w:r>
      <w:r>
        <w:rPr>
          <w:rFonts w:ascii="Times New Roman" w:hAnsi="Times New Roman" w:eastAsia="Times New Roman" w:cs="Times New Roman"/>
          <w:bCs/>
          <w:lang w:eastAsia="tr-TR"/>
        </w:rPr>
        <w:t>55.3% of physicians provided the correct answer in accordance with international guidelines</w:t>
      </w:r>
      <w:r>
        <w:rPr>
          <w:rFonts w:ascii="Times New Roman" w:hAnsi="Times New Roman" w:eastAsia="Times New Roman" w:cs="Times New Roman"/>
          <w:lang w:eastAsia="tr-TR"/>
        </w:rPr>
        <w:t>. Awareness levels for specific cancer screenings were as follows: breast cancer (99.5%), ovarian cancer (95.6%), prostate cancer (72.8%), and pancreatic cancer (62.6%).</w:t>
      </w:r>
    </w:p>
    <w:p w14:paraId="0E6CAF02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In response to the question, </w:t>
      </w:r>
      <w:r>
        <w:rPr>
          <w:rFonts w:ascii="Times New Roman" w:hAnsi="Times New Roman" w:eastAsia="Times New Roman" w:cs="Times New Roman"/>
          <w:bCs/>
          <w:lang w:eastAsia="tr-TR"/>
        </w:rPr>
        <w:t>“What screening method do you recommend for breast cancer in a BRCA1-positive woman?”</w:t>
      </w:r>
      <w:r>
        <w:rPr>
          <w:rFonts w:ascii="Times New Roman" w:hAnsi="Times New Roman" w:eastAsia="Times New Roman" w:cs="Times New Roman"/>
          <w:lang w:eastAsia="tr-TR"/>
        </w:rPr>
        <w:t>:</w:t>
      </w:r>
    </w:p>
    <w:p w14:paraId="527A6FC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74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biannual breast MRI for women under 40 and annual breast MRI and mammography for women over 40.</w:t>
      </w:r>
    </w:p>
    <w:p w14:paraId="4DCE3D0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20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biannual breast MRI alone or in combination with mammography/ultrasound.</w:t>
      </w:r>
    </w:p>
    <w:p w14:paraId="4370386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55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annual MRI alone or in combination with mammography.</w:t>
      </w:r>
    </w:p>
    <w:p w14:paraId="08FCE12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50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annual mammography alone or in combination with ultrasound.</w:t>
      </w:r>
    </w:p>
    <w:p w14:paraId="302D7C3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2 physicians</w:t>
      </w:r>
      <w:r>
        <w:rPr>
          <w:rFonts w:ascii="Times New Roman" w:hAnsi="Times New Roman" w:eastAsia="Times New Roman" w:cs="Times New Roman"/>
          <w:lang w:eastAsia="tr-TR"/>
        </w:rPr>
        <w:t xml:space="preserve"> suggested clinical examination.</w:t>
      </w:r>
    </w:p>
    <w:p w14:paraId="3F53B30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 physician</w:t>
      </w:r>
      <w:r>
        <w:rPr>
          <w:rFonts w:ascii="Times New Roman" w:hAnsi="Times New Roman" w:eastAsia="Times New Roman" w:cs="Times New Roman"/>
          <w:lang w:eastAsia="tr-TR"/>
        </w:rPr>
        <w:t xml:space="preserve"> referred the patient for genetic counseling.</w:t>
      </w:r>
    </w:p>
    <w:p w14:paraId="203A234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 physicians</w:t>
      </w:r>
      <w:r>
        <w:rPr>
          <w:rFonts w:ascii="Times New Roman" w:hAnsi="Times New Roman" w:eastAsia="Times New Roman" w:cs="Times New Roman"/>
          <w:lang w:eastAsia="tr-TR"/>
        </w:rPr>
        <w:t xml:space="preserve"> provided insufficient answers.</w:t>
      </w:r>
    </w:p>
    <w:p w14:paraId="77549784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It was noted that </w:t>
      </w:r>
      <w:r>
        <w:rPr>
          <w:rFonts w:ascii="Times New Roman" w:hAnsi="Times New Roman" w:eastAsia="Times New Roman" w:cs="Times New Roman"/>
          <w:bCs/>
          <w:lang w:eastAsia="tr-TR"/>
        </w:rPr>
        <w:t>71.3% of physicians selected the optimal correct answer</w:t>
      </w:r>
      <w:r>
        <w:rPr>
          <w:rFonts w:ascii="Times New Roman" w:hAnsi="Times New Roman" w:eastAsia="Times New Roman" w:cs="Times New Roman"/>
          <w:lang w:eastAsia="tr-TR"/>
        </w:rPr>
        <w:t>.</w:t>
      </w:r>
    </w:p>
    <w:p w14:paraId="72140EC5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For the question, </w:t>
      </w:r>
      <w:r>
        <w:rPr>
          <w:rFonts w:ascii="Times New Roman" w:hAnsi="Times New Roman" w:eastAsia="Times New Roman" w:cs="Times New Roman"/>
          <w:bCs/>
          <w:lang w:eastAsia="tr-TR"/>
        </w:rPr>
        <w:t>“What screening method do you recommend for breast cancer in a BRCA2-positive woman?”</w:t>
      </w:r>
      <w:r>
        <w:rPr>
          <w:rFonts w:ascii="Times New Roman" w:hAnsi="Times New Roman" w:eastAsia="Times New Roman" w:cs="Times New Roman"/>
          <w:lang w:eastAsia="tr-TR"/>
        </w:rPr>
        <w:t>, responses were similar to those for BRCA1 mutations. Biannual MRI screening was consistently recommended for BRCA2 mutation carriers.</w:t>
      </w:r>
    </w:p>
    <w:p w14:paraId="60E2FEEE">
      <w:p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lang w:eastAsia="tr-TR"/>
        </w:rPr>
        <w:t xml:space="preserve">In response to the question, </w:t>
      </w:r>
      <w:r>
        <w:rPr>
          <w:rFonts w:ascii="Times New Roman" w:hAnsi="Times New Roman" w:eastAsia="Times New Roman" w:cs="Times New Roman"/>
          <w:bCs/>
          <w:lang w:eastAsia="tr-TR"/>
        </w:rPr>
        <w:t>“What screening method do you recommend for ovarian cancer in a BRCA-positive woman in addition to gynecological examination?”</w:t>
      </w:r>
      <w:r>
        <w:rPr>
          <w:rFonts w:ascii="Times New Roman" w:hAnsi="Times New Roman" w:eastAsia="Times New Roman" w:cs="Times New Roman"/>
          <w:lang w:eastAsia="tr-TR"/>
        </w:rPr>
        <w:t>:</w:t>
      </w:r>
    </w:p>
    <w:p w14:paraId="6B7947D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141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ultrasound and CA-125.</w:t>
      </w:r>
    </w:p>
    <w:p w14:paraId="18C79895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23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only ultrasound.</w:t>
      </w:r>
    </w:p>
    <w:p w14:paraId="35F85595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4 physicians</w:t>
      </w:r>
      <w:r>
        <w:rPr>
          <w:rFonts w:ascii="Times New Roman" w:hAnsi="Times New Roman" w:eastAsia="Times New Roman" w:cs="Times New Roman"/>
          <w:lang w:eastAsia="tr-TR"/>
        </w:rPr>
        <w:t xml:space="preserve"> suggested screening with only CA-125.</w:t>
      </w:r>
    </w:p>
    <w:p w14:paraId="6CBE6A2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14 physicians</w:t>
      </w:r>
      <w:r>
        <w:rPr>
          <w:rFonts w:ascii="Times New Roman" w:hAnsi="Times New Roman" w:eastAsia="Times New Roman" w:cs="Times New Roman"/>
          <w:lang w:eastAsia="tr-TR"/>
        </w:rPr>
        <w:t xml:space="preserve"> did not recommend additional screening.</w:t>
      </w:r>
    </w:p>
    <w:p w14:paraId="7E350111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16 physicians</w:t>
      </w:r>
      <w:r>
        <w:rPr>
          <w:rFonts w:ascii="Times New Roman" w:hAnsi="Times New Roman" w:eastAsia="Times New Roman" w:cs="Times New Roman"/>
          <w:lang w:eastAsia="tr-TR"/>
        </w:rPr>
        <w:t xml:space="preserve"> recommended imaging methods other than ultrasound.</w:t>
      </w:r>
    </w:p>
    <w:p w14:paraId="10CED01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bCs/>
          <w:lang w:eastAsia="tr-TR"/>
        </w:rPr>
        <w:t>11 physicians</w:t>
      </w:r>
      <w:r>
        <w:rPr>
          <w:rFonts w:ascii="Times New Roman" w:hAnsi="Times New Roman" w:eastAsia="Times New Roman" w:cs="Times New Roman"/>
          <w:lang w:eastAsia="tr-TR"/>
        </w:rPr>
        <w:t xml:space="preserve"> provided insufficient answers.</w:t>
      </w:r>
    </w:p>
    <w:p w14:paraId="6B0E38FF">
      <w:pPr>
        <w:spacing w:line="360" w:lineRule="auto"/>
        <w:rPr>
          <w:rFonts w:ascii="Times New Roman" w:hAnsi="Times New Roman" w:cs="Times New Roman"/>
        </w:rPr>
      </w:pPr>
    </w:p>
    <w:p w14:paraId="34549AE8">
      <w:pPr>
        <w:spacing w:line="360" w:lineRule="auto"/>
        <w:rPr>
          <w:rFonts w:ascii="Times New Roman" w:hAnsi="Times New Roman" w:cs="Times New Roman"/>
        </w:rPr>
      </w:pPr>
    </w:p>
    <w:p w14:paraId="225480EA">
      <w:pPr>
        <w:spacing w:line="360" w:lineRule="auto"/>
        <w:rPr>
          <w:rFonts w:ascii="Times New Roman" w:hAnsi="Times New Roman" w:cs="Times New Roman"/>
        </w:rPr>
      </w:pPr>
    </w:p>
    <w:p w14:paraId="133E26EE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EF2592"/>
    <w:multiLevelType w:val="multilevel"/>
    <w:tmpl w:val="32EF259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8136420"/>
    <w:multiLevelType w:val="multilevel"/>
    <w:tmpl w:val="381364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48D5E80"/>
    <w:multiLevelType w:val="multilevel"/>
    <w:tmpl w:val="548D5E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89268FF"/>
    <w:multiLevelType w:val="multilevel"/>
    <w:tmpl w:val="689268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78A34579"/>
    <w:multiLevelType w:val="multilevel"/>
    <w:tmpl w:val="78A345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7A1F3F98"/>
    <w:multiLevelType w:val="multilevel"/>
    <w:tmpl w:val="7A1F3F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A3"/>
    <w:rsid w:val="00036BA3"/>
    <w:rsid w:val="00BB7A05"/>
    <w:rsid w:val="00BF5EF1"/>
    <w:rsid w:val="00C1215C"/>
    <w:rsid w:val="41FC151E"/>
    <w:rsid w:val="46E9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4665</Characters>
  <Lines>38</Lines>
  <Paragraphs>10</Paragraphs>
  <TotalTime>0</TotalTime>
  <ScaleCrop>false</ScaleCrop>
  <LinksUpToDate>false</LinksUpToDate>
  <CharactersWithSpaces>5374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2026-08-11T13:51:00Z</dcterms:created>
  <dc:creator>İrfan Çiçin</dc:creator>
  <cp:lastModifiedBy>@ 华@</cp:lastModifiedBy>
  <dcterms:modified xsi:type="dcterms:W3CDTF">2026-08-12T01:24:44Z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eyJoZGlkIjoiYTU1NWFjODI5NzUxNzg3NDcyNmZiNDllZmY1Mzg0ZWEiLCJ1c2VySWQiOiI1NDYwODA1MjMifQ==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C62854E0BF0747EF8765EB7237CAB594_12</vt:lpwstr>
  </property>
</Properties>
</file>