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1A09A">
      <w:pPr>
        <w:spacing w:after="240" w:afterLines="100" w:line="480" w:lineRule="auto"/>
        <w:jc w:val="center"/>
        <w:rPr>
          <w:rFonts w:cs="Times New Roman"/>
          <w:b/>
          <w:bCs/>
          <w:sz w:val="32"/>
          <w:szCs w:val="32"/>
        </w:rPr>
      </w:pPr>
      <w:r>
        <w:rPr>
          <w:rFonts w:cs="Times New Roman"/>
          <w:b/>
          <w:bCs/>
          <w:sz w:val="32"/>
          <w:szCs w:val="32"/>
        </w:rPr>
        <w:t xml:space="preserve">Supporting </w:t>
      </w:r>
      <w:r>
        <w:rPr>
          <w:rFonts w:hint="eastAsia" w:cs="Times New Roman"/>
          <w:b/>
          <w:bCs/>
          <w:sz w:val="32"/>
          <w:szCs w:val="32"/>
          <w:lang w:val="en-US" w:eastAsia="zh-CN"/>
        </w:rPr>
        <w:t>I</w:t>
      </w:r>
      <w:r>
        <w:rPr>
          <w:rFonts w:cs="Times New Roman"/>
          <w:b/>
          <w:bCs/>
          <w:sz w:val="32"/>
          <w:szCs w:val="32"/>
        </w:rPr>
        <w:t>nformation</w:t>
      </w:r>
    </w:p>
    <w:p w14:paraId="1C8B2ED5">
      <w:pPr>
        <w:spacing w:after="600"/>
        <w:ind w:firstLine="0" w:firstLineChars="0"/>
        <w:rPr>
          <w:rFonts w:cs="Times New Roman"/>
          <w:b/>
          <w:bCs/>
          <w:sz w:val="32"/>
          <w:szCs w:val="32"/>
        </w:rPr>
      </w:pPr>
      <w:r>
        <w:rPr>
          <w:rFonts w:cs="Times New Roman"/>
          <w:b/>
          <w:bCs/>
          <w:sz w:val="32"/>
          <w:szCs w:val="32"/>
        </w:rPr>
        <w:t>Size and aging-driven interactions between fluensulfone and PVC microplastics: the key role of the fluorine-sensitive interactions</w:t>
      </w:r>
    </w:p>
    <w:p w14:paraId="0A823CF0">
      <w:pPr>
        <w:spacing w:before="600" w:after="960" w:afterLines="400" w:line="480" w:lineRule="auto"/>
        <w:ind w:firstLine="0" w:firstLineChars="0"/>
        <w:jc w:val="center"/>
      </w:pPr>
      <w:r>
        <w:t>Aoze Li</w:t>
      </w:r>
      <w:r>
        <w:rPr>
          <w:rFonts w:hint="eastAsia"/>
          <w:vertAlign w:val="superscript"/>
        </w:rPr>
        <w:t>1</w:t>
      </w:r>
      <w:r>
        <w:rPr>
          <w:rFonts w:hint="eastAsia"/>
        </w:rPr>
        <w:t>, Yiming Hou</w:t>
      </w:r>
      <w:r>
        <w:rPr>
          <w:rFonts w:hint="eastAsia"/>
          <w:vertAlign w:val="superscript"/>
        </w:rPr>
        <w:t>2</w:t>
      </w:r>
      <w:r>
        <w:rPr>
          <w:rFonts w:hint="eastAsia"/>
        </w:rPr>
        <w:t>, Siwei Gao</w:t>
      </w:r>
      <w:r>
        <w:rPr>
          <w:rFonts w:hint="eastAsia"/>
          <w:vertAlign w:val="superscript"/>
        </w:rPr>
        <w:t>2</w:t>
      </w:r>
      <w:r>
        <w:rPr>
          <w:rFonts w:hint="eastAsia"/>
        </w:rPr>
        <w:t>,</w:t>
      </w:r>
      <w:r>
        <w:rPr>
          <w:rFonts w:hint="eastAsia"/>
          <w:lang w:val="en-US" w:eastAsia="zh-CN"/>
        </w:rPr>
        <w:t xml:space="preserve"> </w:t>
      </w:r>
      <w:r>
        <w:rPr>
          <w:rFonts w:hint="eastAsia"/>
        </w:rPr>
        <w:t>Xiaoyun Li</w:t>
      </w:r>
      <w:r>
        <w:rPr>
          <w:rFonts w:hint="eastAsia"/>
          <w:vertAlign w:val="superscript"/>
        </w:rPr>
        <w:t>1,2</w:t>
      </w:r>
      <w:r>
        <w:rPr>
          <w:vertAlign w:val="superscript"/>
        </w:rPr>
        <w:t>,</w:t>
      </w:r>
      <w:r>
        <w:rPr>
          <w:rFonts w:hint="eastAsia"/>
          <w:vertAlign w:val="superscript"/>
          <w:lang w:val="en-US" w:eastAsia="zh-CN"/>
        </w:rPr>
        <w:t xml:space="preserve"> 3, </w:t>
      </w:r>
      <w:r>
        <w:rPr>
          <w:rFonts w:hint="eastAsia"/>
        </w:rPr>
        <w:t xml:space="preserve">*, </w:t>
      </w:r>
      <w:r>
        <w:t>Shang Gao</w:t>
      </w:r>
      <w:r>
        <w:rPr>
          <w:rFonts w:hint="eastAsia"/>
          <w:vertAlign w:val="superscript"/>
        </w:rPr>
        <w:t>1</w:t>
      </w:r>
      <w:r>
        <w:t>, Ben Philpot</w:t>
      </w:r>
      <w:r>
        <w:rPr>
          <w:rFonts w:hint="eastAsia"/>
          <w:vertAlign w:val="superscript"/>
        </w:rPr>
        <w:t>1</w:t>
      </w:r>
      <w:r>
        <w:rPr>
          <w:rFonts w:hint="eastAsia" w:eastAsia="CharisSIL" w:cs="Times New Roman"/>
          <w:color w:val="000000"/>
          <w:kern w:val="0"/>
          <w:lang w:bidi="ar"/>
        </w:rPr>
        <w:t>,</w:t>
      </w:r>
      <w:r>
        <w:t xml:space="preserve"> </w:t>
      </w:r>
      <w:r>
        <w:rPr>
          <w:rFonts w:eastAsia="CharisSIL" w:cs="Times New Roman"/>
          <w:color w:val="000000"/>
          <w:kern w:val="0"/>
          <w:lang w:bidi="ar"/>
        </w:rPr>
        <w:t>Ian Eggleston</w:t>
      </w:r>
      <w:r>
        <w:rPr>
          <w:rFonts w:hint="eastAsia" w:cs="Times New Roman"/>
          <w:color w:val="000000"/>
          <w:kern w:val="0"/>
          <w:vertAlign w:val="superscript"/>
          <w:lang w:bidi="ar"/>
        </w:rPr>
        <w:t>1</w:t>
      </w:r>
      <w:r>
        <w:rPr>
          <w:rFonts w:eastAsia="CharisSIL" w:cs="Times New Roman"/>
          <w:color w:val="000000"/>
          <w:kern w:val="0"/>
          <w:lang w:bidi="ar"/>
        </w:rPr>
        <w:t>,</w:t>
      </w:r>
      <w:r>
        <w:rPr>
          <w:rFonts w:hint="eastAsia" w:eastAsia="CharisSIL" w:cs="Times New Roman"/>
          <w:color w:val="000000"/>
          <w:kern w:val="0"/>
          <w:lang w:bidi="ar"/>
        </w:rPr>
        <w:t xml:space="preserve"> </w:t>
      </w:r>
      <w:r>
        <w:rPr>
          <w:rFonts w:hint="eastAsia"/>
        </w:rPr>
        <w:t>Baoshan Xing</w:t>
      </w:r>
      <w:r>
        <w:rPr>
          <w:vertAlign w:val="superscript"/>
        </w:rPr>
        <w:t>1,</w:t>
      </w:r>
      <w:r>
        <w:t>*</w:t>
      </w:r>
    </w:p>
    <w:p w14:paraId="6B91C5EC">
      <w:pPr>
        <w:spacing w:line="480" w:lineRule="auto"/>
        <w:ind w:firstLine="0" w:firstLineChars="0"/>
        <w:jc w:val="left"/>
        <w:rPr>
          <w:rFonts w:cs="Times New Roman"/>
          <w:i/>
          <w:iCs/>
        </w:rPr>
      </w:pPr>
      <w:r>
        <w:rPr>
          <w:rFonts w:hint="eastAsia" w:cs="Times New Roman"/>
          <w:i/>
          <w:iCs/>
          <w:vertAlign w:val="superscript"/>
        </w:rPr>
        <w:t>1</w:t>
      </w:r>
      <w:r>
        <w:rPr>
          <w:rFonts w:cs="Times New Roman"/>
          <w:i/>
          <w:iCs/>
        </w:rPr>
        <w:t xml:space="preserve"> Stockbridge School of Agriculture, University of Massachusetts, Amherst, MA 01003, USA</w:t>
      </w:r>
    </w:p>
    <w:p w14:paraId="0D2275B2">
      <w:pPr>
        <w:spacing w:line="480" w:lineRule="auto"/>
        <w:ind w:firstLine="0" w:firstLineChars="0"/>
        <w:jc w:val="left"/>
        <w:rPr>
          <w:rFonts w:cs="Times New Roman"/>
          <w:i/>
          <w:iCs/>
        </w:rPr>
      </w:pPr>
      <w:r>
        <w:rPr>
          <w:rFonts w:hint="eastAsia" w:cs="Times New Roman"/>
          <w:i/>
          <w:iCs/>
          <w:vertAlign w:val="superscript"/>
        </w:rPr>
        <w:t>2</w:t>
      </w:r>
      <w:r>
        <w:rPr>
          <w:rFonts w:cs="Times New Roman"/>
          <w:i/>
          <w:iCs/>
        </w:rPr>
        <w:t xml:space="preserve"> Department of Environmental Science, School of Geography and Tourism, Shaanxi Normal University, Xi</w:t>
      </w:r>
      <w:r>
        <w:rPr>
          <w:rFonts w:hint="eastAsia" w:cs="Times New Roman"/>
          <w:i/>
          <w:iCs/>
          <w:lang w:val="en-US" w:eastAsia="zh-CN"/>
        </w:rPr>
        <w:t>'</w:t>
      </w:r>
      <w:r>
        <w:rPr>
          <w:rFonts w:cs="Times New Roman"/>
          <w:i/>
          <w:iCs/>
        </w:rPr>
        <w:t>an 710119, China</w:t>
      </w:r>
    </w:p>
    <w:p w14:paraId="2AAD5033">
      <w:pPr>
        <w:keepNext w:val="0"/>
        <w:keepLines w:val="0"/>
        <w:pageBreakBefore w:val="0"/>
        <w:kinsoku/>
        <w:wordWrap/>
        <w:overflowPunct/>
        <w:topLinePunct w:val="0"/>
        <w:bidi w:val="0"/>
        <w:adjustRightInd w:val="0"/>
        <w:snapToGrid w:val="0"/>
        <w:spacing w:line="480" w:lineRule="auto"/>
        <w:ind w:left="0" w:leftChars="0" w:firstLine="0" w:firstLineChars="0"/>
        <w:textAlignment w:val="auto"/>
        <w:rPr>
          <w:rFonts w:cs="Times New Roman"/>
          <w:i/>
          <w:iCs/>
        </w:rPr>
      </w:pPr>
      <w:r>
        <w:rPr>
          <w:rFonts w:hint="eastAsia" w:ascii="Times New Roman" w:hAnsi="Times New Roman" w:cs="Times New Roman"/>
          <w:i/>
          <w:iCs/>
          <w:color w:val="auto"/>
          <w:sz w:val="24"/>
          <w:szCs w:val="24"/>
          <w:vertAlign w:val="superscript"/>
          <w:lang w:val="en-US" w:eastAsia="zh-CN"/>
        </w:rPr>
        <w:t>3</w:t>
      </w:r>
      <w:r>
        <w:rPr>
          <w:rFonts w:hint="default" w:ascii="Times New Roman" w:hAnsi="Times New Roman" w:cs="Times New Roman"/>
          <w:i/>
          <w:iCs/>
          <w:color w:val="auto"/>
          <w:sz w:val="24"/>
          <w:szCs w:val="24"/>
          <w:vertAlign w:val="superscript"/>
          <w:lang w:val="en-US" w:eastAsia="zh-CN"/>
        </w:rPr>
        <w:t xml:space="preserve"> </w:t>
      </w:r>
      <w:r>
        <w:rPr>
          <w:rFonts w:hint="default" w:ascii="Times New Roman" w:hAnsi="Times New Roman" w:cs="Times New Roman"/>
          <w:i/>
          <w:iCs/>
          <w:color w:val="auto"/>
          <w:sz w:val="24"/>
          <w:vertAlign w:val="baseline"/>
        </w:rPr>
        <w:t>Yulin Research Institute</w:t>
      </w:r>
      <w:r>
        <w:rPr>
          <w:rFonts w:hint="eastAsia" w:ascii="Times New Roman" w:hAnsi="Times New Roman" w:cs="Times New Roman"/>
          <w:i/>
          <w:iCs/>
          <w:color w:val="auto"/>
          <w:sz w:val="24"/>
          <w:vertAlign w:val="baseline"/>
          <w:lang w:val="en-US" w:eastAsia="zh-CN"/>
        </w:rPr>
        <w:t xml:space="preserve">, </w:t>
      </w:r>
      <w:r>
        <w:rPr>
          <w:rFonts w:hint="default" w:ascii="Times New Roman" w:hAnsi="Times New Roman" w:cs="Times New Roman"/>
          <w:i/>
          <w:iCs/>
          <w:color w:val="auto"/>
          <w:sz w:val="24"/>
          <w:szCs w:val="24"/>
          <w:lang w:val="en-US" w:eastAsia="zh-CN"/>
        </w:rPr>
        <w:t xml:space="preserve">School of Geography and Tourism, Shaanxi Normal University, Xi'an </w:t>
      </w:r>
      <w:r>
        <w:rPr>
          <w:rFonts w:hint="eastAsia" w:ascii="Times New Roman" w:hAnsi="Times New Roman" w:cs="Times New Roman"/>
          <w:i/>
          <w:iCs/>
          <w:color w:val="auto"/>
          <w:sz w:val="24"/>
          <w:szCs w:val="24"/>
          <w:lang w:val="en-US" w:eastAsia="zh-CN"/>
        </w:rPr>
        <w:t xml:space="preserve">710119, </w:t>
      </w:r>
      <w:r>
        <w:rPr>
          <w:rFonts w:hint="default" w:ascii="Times New Roman" w:hAnsi="Times New Roman" w:cs="Times New Roman"/>
          <w:i/>
          <w:iCs/>
          <w:color w:val="auto"/>
          <w:sz w:val="24"/>
          <w:szCs w:val="24"/>
          <w:lang w:val="en-US" w:eastAsia="zh-CN"/>
        </w:rPr>
        <w:t>China</w:t>
      </w:r>
    </w:p>
    <w:p w14:paraId="5A65F2DE">
      <w:pPr>
        <w:spacing w:before="2393" w:beforeLines="800" w:line="480" w:lineRule="auto"/>
        <w:ind w:firstLine="0" w:firstLineChars="0"/>
      </w:pPr>
      <w:r>
        <w:rPr>
          <w:vertAlign w:val="superscript"/>
        </w:rPr>
        <w:t xml:space="preserve">* </w:t>
      </w:r>
      <w:r>
        <w:t>Corresponding author</w:t>
      </w:r>
    </w:p>
    <w:p w14:paraId="41197086">
      <w:pPr>
        <w:spacing w:before="240" w:after="576" w:afterLines="240"/>
        <w:ind w:firstLine="0" w:firstLineChars="0"/>
        <w:rPr>
          <w:rFonts w:cs="Times New Roman"/>
        </w:rPr>
      </w:pPr>
      <w:r>
        <w:rPr>
          <w:rFonts w:cs="Times New Roman"/>
        </w:rPr>
        <w:t xml:space="preserve">E-mail: </w:t>
      </w:r>
      <w:r>
        <w:rPr>
          <w:rStyle w:val="25"/>
          <w:rFonts w:cs="Times New Roman"/>
          <w:color w:val="000000" w:themeColor="text1"/>
          <w14:textFill>
            <w14:solidFill>
              <w14:schemeClr w14:val="tx1"/>
            </w14:solidFill>
          </w14:textFill>
        </w:rPr>
        <w:t>bx@umass.edu</w:t>
      </w:r>
      <w:r>
        <w:rPr>
          <w:rFonts w:cs="Times New Roman"/>
        </w:rPr>
        <w:t xml:space="preserve"> (B. Xing), </w:t>
      </w:r>
      <w:r>
        <w:fldChar w:fldCharType="begin"/>
      </w:r>
      <w:r>
        <w:instrText xml:space="preserve"> HYPERLINK "mailto:lxy518@snnu.edu.cn" </w:instrText>
      </w:r>
      <w:r>
        <w:fldChar w:fldCharType="separate"/>
      </w:r>
      <w:r>
        <w:rPr>
          <w:rStyle w:val="25"/>
          <w:rFonts w:cs="Times New Roman"/>
          <w:color w:val="000000" w:themeColor="text1"/>
          <w14:textFill>
            <w14:solidFill>
              <w14:schemeClr w14:val="tx1"/>
            </w14:solidFill>
          </w14:textFill>
        </w:rPr>
        <w:t>lxy518@snnu.edu.cn</w:t>
      </w:r>
      <w:r>
        <w:rPr>
          <w:rStyle w:val="25"/>
          <w:rFonts w:cs="Times New Roman"/>
          <w:color w:val="000000" w:themeColor="text1"/>
          <w14:textFill>
            <w14:solidFill>
              <w14:schemeClr w14:val="tx1"/>
            </w14:solidFill>
          </w14:textFill>
        </w:rPr>
        <w:fldChar w:fldCharType="end"/>
      </w:r>
      <w:r>
        <w:rPr>
          <w:rFonts w:cs="Times New Roman"/>
        </w:rPr>
        <w:t xml:space="preserve"> (X. Li)</w:t>
      </w:r>
    </w:p>
    <w:p w14:paraId="07FE95D5">
      <w:pPr>
        <w:spacing w:before="288" w:beforeLines="120" w:after="288" w:afterLines="120"/>
        <w:ind w:firstLine="0" w:firstLineChars="0"/>
        <w:rPr>
          <w:rFonts w:cs="Times New Roman"/>
          <w:b/>
          <w:bCs/>
          <w:sz w:val="28"/>
          <w:szCs w:val="28"/>
        </w:rPr>
      </w:pPr>
      <w:r>
        <w:rPr>
          <w:rFonts w:cs="Times New Roman"/>
          <w:szCs w:val="24"/>
        </w:rPr>
        <w:t>Number of Pages: 24 (this page is not included)</w:t>
      </w:r>
    </w:p>
    <w:p w14:paraId="4CC6B4FD">
      <w:pPr>
        <w:spacing w:before="24" w:beforeLines="10" w:after="24" w:afterLines="10"/>
        <w:ind w:firstLine="0" w:firstLineChars="0"/>
        <w:rPr>
          <w:rFonts w:cs="Times New Roman"/>
          <w:szCs w:val="24"/>
        </w:rPr>
      </w:pPr>
      <w:r>
        <w:rPr>
          <w:rFonts w:cs="Times New Roman"/>
          <w:szCs w:val="24"/>
        </w:rPr>
        <w:t>Number of texts: 4</w:t>
      </w:r>
    </w:p>
    <w:p w14:paraId="7E1A38FB">
      <w:pPr>
        <w:spacing w:before="24" w:beforeLines="10" w:after="24" w:afterLines="10"/>
        <w:ind w:firstLine="0" w:firstLineChars="0"/>
        <w:rPr>
          <w:rFonts w:cs="Times New Roman"/>
          <w:szCs w:val="24"/>
        </w:rPr>
      </w:pPr>
      <w:r>
        <w:rPr>
          <w:rFonts w:cs="Times New Roman"/>
          <w:szCs w:val="24"/>
        </w:rPr>
        <w:t>Number of tables: 5</w:t>
      </w:r>
    </w:p>
    <w:p w14:paraId="4F08E4AD">
      <w:pPr>
        <w:widowControl/>
        <w:spacing w:before="24" w:beforeLines="10" w:after="24" w:afterLines="10"/>
        <w:ind w:firstLine="0" w:firstLineChars="0"/>
        <w:rPr>
          <w:rFonts w:cs="Times New Roman"/>
          <w:b/>
        </w:rPr>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851" w:footer="992" w:gutter="0"/>
          <w:pgNumType w:start="1"/>
          <w:cols w:space="720" w:num="1"/>
          <w:docGrid w:linePitch="299" w:charSpace="0"/>
        </w:sectPr>
      </w:pPr>
      <w:r>
        <w:rPr>
          <w:rFonts w:cs="Times New Roman"/>
          <w:szCs w:val="24"/>
        </w:rPr>
        <w:t>Number of figures: 10</w:t>
      </w:r>
      <w:r>
        <w:rPr>
          <w:rFonts w:cs="Times New Roman"/>
        </w:rPr>
        <w:br w:type="page"/>
      </w:r>
    </w:p>
    <w:p w14:paraId="2339A57A">
      <w:pPr>
        <w:widowControl/>
        <w:spacing w:after="140"/>
        <w:ind w:firstLine="0" w:firstLineChars="0"/>
      </w:pPr>
      <w:r>
        <w:rPr>
          <w:rFonts w:cs="Times New Roman" w:eastAsiaTheme="minorEastAsia"/>
          <w:b/>
          <w:szCs w:val="24"/>
        </w:rPr>
        <w:t>Table of Contents:</w:t>
      </w:r>
      <w:r>
        <w:rPr>
          <w:rFonts w:cs="Times New Roman" w:eastAsiaTheme="minorEastAsia"/>
          <w:b/>
          <w:szCs w:val="24"/>
        </w:rPr>
        <w:fldChar w:fldCharType="begin"/>
      </w:r>
      <w:r>
        <w:rPr>
          <w:rFonts w:cs="Times New Roman" w:eastAsiaTheme="minorEastAsia"/>
          <w:b/>
          <w:szCs w:val="24"/>
        </w:rPr>
        <w:instrText xml:space="preserve"> TOC \o "1-1" \h \z \u </w:instrText>
      </w:r>
      <w:r>
        <w:rPr>
          <w:rFonts w:cs="Times New Roman" w:eastAsiaTheme="minorEastAsia"/>
          <w:b/>
          <w:szCs w:val="24"/>
        </w:rPr>
        <w:fldChar w:fldCharType="separate"/>
      </w:r>
    </w:p>
    <w:p w14:paraId="758E10FC">
      <w:pPr>
        <w:pStyle w:val="15"/>
        <w:tabs>
          <w:tab w:val="right" w:leader="dot" w:pos="9016"/>
        </w:tabs>
        <w:rPr>
          <w:rFonts w:hint="eastAsia" w:asciiTheme="minorHAnsi" w:hAnsiTheme="minorHAnsi" w:eastAsiaTheme="minorEastAsia" w:cstheme="minorBidi"/>
          <w:szCs w:val="24"/>
        </w:rPr>
      </w:pPr>
      <w:r>
        <w:rPr>
          <w:rStyle w:val="25"/>
          <w:rFonts w:cs="Times New Roman"/>
          <w:b/>
          <w:color w:val="000000" w:themeColor="text1"/>
          <w14:textFill>
            <w14:solidFill>
              <w14:schemeClr w14:val="tx1"/>
            </w14:solidFill>
          </w14:textFill>
        </w:rPr>
        <w:t>Text S1</w:t>
      </w:r>
      <w:r>
        <w:rPr>
          <w:rStyle w:val="25"/>
          <w:rFonts w:cs="Times New Roman"/>
          <w:color w:val="000000" w:themeColor="text1"/>
          <w14:textFill>
            <w14:solidFill>
              <w14:schemeClr w14:val="tx1"/>
            </w14:solidFill>
          </w14:textFill>
        </w:rPr>
        <w:t xml:space="preserve"> Justification and environmental relevance of the PVC aging protocol</w:t>
      </w:r>
      <w:r>
        <w:rPr>
          <w:rStyle w:val="25"/>
          <w:rFonts w:cs="Times New Roman"/>
          <w:color w:val="000000" w:themeColor="text1"/>
          <w:kern w:val="2"/>
          <w14:textFill>
            <w14:solidFill>
              <w14:schemeClr w14:val="tx1"/>
            </w14:solidFill>
          </w14:textFill>
        </w:rPr>
        <w:t>.</w:t>
      </w:r>
      <w:r>
        <w:tab/>
      </w:r>
      <w:r>
        <w:t>3</w:t>
      </w:r>
    </w:p>
    <w:p w14:paraId="662E8151">
      <w:pPr>
        <w:pStyle w:val="15"/>
        <w:tabs>
          <w:tab w:val="right" w:leader="dot" w:pos="9016"/>
        </w:tabs>
        <w:rPr>
          <w:rFonts w:hint="eastAsia" w:asciiTheme="minorHAnsi" w:hAnsiTheme="minorHAnsi" w:eastAsiaTheme="minorEastAsia" w:cstheme="minorBidi"/>
          <w:szCs w:val="24"/>
        </w:rPr>
      </w:pPr>
      <w:r>
        <w:rPr>
          <w:rStyle w:val="25"/>
          <w:rFonts w:cs="Times New Roman"/>
          <w:b/>
          <w:color w:val="000000" w:themeColor="text1"/>
          <w14:textFill>
            <w14:solidFill>
              <w14:schemeClr w14:val="tx1"/>
            </w14:solidFill>
          </w14:textFill>
        </w:rPr>
        <w:t xml:space="preserve">Text S2 </w:t>
      </w:r>
      <w:r>
        <w:rPr>
          <w:rStyle w:val="25"/>
          <w:rFonts w:cs="Times New Roman"/>
          <w:color w:val="000000" w:themeColor="text1"/>
          <w14:textFill>
            <w14:solidFill>
              <w14:schemeClr w14:val="tx1"/>
            </w14:solidFill>
          </w14:textFill>
        </w:rPr>
        <w:t>Morphology characteristics, surface elemental composition, surface area, surface charge properties and surface functional groups characterization procedures of adsorbents.</w:t>
      </w:r>
      <w:r>
        <w:tab/>
      </w:r>
      <w:r>
        <w:t>5</w:t>
      </w:r>
    </w:p>
    <w:p w14:paraId="2123DE50">
      <w:pPr>
        <w:pStyle w:val="15"/>
        <w:tabs>
          <w:tab w:val="right" w:leader="dot" w:pos="9016"/>
        </w:tabs>
        <w:rPr>
          <w:rFonts w:hint="eastAsia" w:asciiTheme="minorHAnsi" w:hAnsiTheme="minorHAnsi" w:eastAsiaTheme="minorEastAsia" w:cstheme="minorBidi"/>
          <w:szCs w:val="24"/>
        </w:rPr>
      </w:pPr>
      <w:r>
        <w:rPr>
          <w:rStyle w:val="25"/>
          <w:rFonts w:cs="Times New Roman"/>
          <w:b/>
          <w:color w:val="000000" w:themeColor="text1"/>
          <w14:textFill>
            <w14:solidFill>
              <w14:schemeClr w14:val="tx1"/>
            </w14:solidFill>
          </w14:textFill>
        </w:rPr>
        <w:t>Text S3</w:t>
      </w:r>
      <w:r>
        <w:rPr>
          <w:rStyle w:val="25"/>
          <w:rFonts w:cs="Times New Roman"/>
          <w:color w:val="000000" w:themeColor="text1"/>
          <w14:textFill>
            <w14:solidFill>
              <w14:schemeClr w14:val="tx1"/>
            </w14:solidFill>
          </w14:textFill>
        </w:rPr>
        <w:t xml:space="preserve"> Experimental procedures and HPLC analysis for FL.</w:t>
      </w:r>
      <w:r>
        <w:tab/>
      </w:r>
      <w:r>
        <w:t>7</w:t>
      </w:r>
    </w:p>
    <w:p w14:paraId="78146D63">
      <w:pPr>
        <w:pStyle w:val="15"/>
        <w:tabs>
          <w:tab w:val="right" w:leader="dot" w:pos="9016"/>
        </w:tabs>
        <w:rPr>
          <w:rFonts w:hint="eastAsia" w:asciiTheme="minorHAnsi" w:hAnsiTheme="minorHAnsi" w:eastAsiaTheme="minorEastAsia" w:cstheme="minorBidi"/>
          <w:szCs w:val="24"/>
        </w:rPr>
      </w:pPr>
      <w:r>
        <w:rPr>
          <w:rStyle w:val="25"/>
          <w:rFonts w:cs="Times New Roman"/>
          <w:b/>
          <w:color w:val="000000" w:themeColor="text1"/>
          <w14:textFill>
            <w14:solidFill>
              <w14:schemeClr w14:val="tx1"/>
            </w14:solidFill>
          </w14:textFill>
        </w:rPr>
        <w:t>Text S4</w:t>
      </w:r>
      <w:r>
        <w:rPr>
          <w:rStyle w:val="25"/>
          <w:rFonts w:cs="Times New Roman"/>
          <w:color w:val="000000" w:themeColor="text1"/>
          <w14:textFill>
            <w14:solidFill>
              <w14:schemeClr w14:val="tx1"/>
            </w14:solidFill>
          </w14:textFill>
        </w:rPr>
        <w:t xml:space="preserve"> Analytical procedures</w:t>
      </w:r>
      <w:r>
        <w:rPr>
          <w:rStyle w:val="25"/>
          <w:rFonts w:cs="Times New Roman"/>
          <w:bCs/>
          <w:color w:val="000000" w:themeColor="text1"/>
          <w14:textFill>
            <w14:solidFill>
              <w14:schemeClr w14:val="tx1"/>
            </w14:solidFill>
          </w14:textFill>
        </w:rPr>
        <w:t>.</w:t>
      </w:r>
      <w:r>
        <w:tab/>
      </w:r>
      <w:r>
        <w:t>8</w:t>
      </w:r>
    </w:p>
    <w:p w14:paraId="42B5765C">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Table S1 </w:t>
      </w:r>
      <w:r>
        <w:rPr>
          <w:rStyle w:val="25"/>
          <w:rFonts w:cs="Times New Roman"/>
          <w:color w:val="000000" w:themeColor="text1"/>
          <w14:textFill>
            <w14:solidFill>
              <w14:schemeClr w14:val="tx1"/>
            </w14:solidFill>
          </w14:textFill>
        </w:rPr>
        <w:t>Selected properties of pesticides.</w:t>
      </w:r>
      <w:r>
        <w:tab/>
      </w:r>
      <w:r>
        <w:t>10</w:t>
      </w:r>
    </w:p>
    <w:p w14:paraId="468A89F4">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Table S2 </w:t>
      </w:r>
      <w:r>
        <w:rPr>
          <w:rStyle w:val="25"/>
          <w:rFonts w:cs="Times New Roman"/>
          <w:color w:val="000000" w:themeColor="text1"/>
          <w14:textFill>
            <w14:solidFill>
              <w14:schemeClr w14:val="tx1"/>
            </w14:solidFill>
          </w14:textFill>
        </w:rPr>
        <w:t>Selected properties of pristine and aged PVC.</w:t>
      </w:r>
      <w:r>
        <w:tab/>
      </w:r>
      <w:r>
        <w:t>11</w:t>
      </w:r>
    </w:p>
    <w:p w14:paraId="4BDB2A02">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Table S3 </w:t>
      </w:r>
      <w:r>
        <w:rPr>
          <w:rStyle w:val="25"/>
          <w:rFonts w:cs="Times New Roman"/>
          <w:color w:val="000000" w:themeColor="text1"/>
          <w14:textFill>
            <w14:solidFill>
              <w14:schemeClr w14:val="tx1"/>
            </w14:solidFill>
          </w14:textFill>
        </w:rPr>
        <w:t>Kinetic parameters of the Pseudo-first order, Pseudo-second order, Elovich model and Intra-particle diffusion model for FL sorption on pristine 1 µm and 150 µm, aged 1 µm and 150 µm PVC.</w:t>
      </w:r>
      <w:r>
        <w:tab/>
      </w:r>
      <w:r>
        <w:t>12</w:t>
      </w:r>
    </w:p>
    <w:p w14:paraId="31E77CCC">
      <w:pPr>
        <w:pStyle w:val="15"/>
        <w:tabs>
          <w:tab w:val="right" w:leader="dot" w:pos="9016"/>
        </w:tabs>
        <w:rPr>
          <w:rFonts w:hint="eastAsia" w:asciiTheme="minorHAnsi" w:hAnsiTheme="minorHAnsi" w:eastAsiaTheme="minorEastAsia" w:cstheme="minorBidi"/>
          <w:szCs w:val="24"/>
        </w:rPr>
      </w:pPr>
      <w:r>
        <w:rPr>
          <w:rStyle w:val="25"/>
          <w:b/>
          <w:color w:val="000000" w:themeColor="text1"/>
          <w14:textFill>
            <w14:solidFill>
              <w14:schemeClr w14:val="tx1"/>
            </w14:solidFill>
          </w14:textFill>
        </w:rPr>
        <w:t>Table</w:t>
      </w:r>
      <w:r>
        <w:rPr>
          <w:rStyle w:val="25"/>
          <w:rFonts w:cs="Times New Roman"/>
          <w:b/>
          <w:color w:val="000000" w:themeColor="text1"/>
          <w14:textFill>
            <w14:solidFill>
              <w14:schemeClr w14:val="tx1"/>
            </w14:solidFill>
          </w14:textFill>
        </w:rPr>
        <w:t xml:space="preserve"> S4</w:t>
      </w:r>
      <w:r>
        <w:rPr>
          <w:rStyle w:val="25"/>
          <w:rFonts w:cs="Times New Roman"/>
          <w:color w:val="000000" w:themeColor="text1"/>
          <w14:textFill>
            <w14:solidFill>
              <w14:schemeClr w14:val="tx1"/>
            </w14:solidFill>
          </w14:textFill>
        </w:rPr>
        <w:t xml:space="preserve"> Fitting results of sorption of FL sorption on different PVC MPs by FM, LM and DRM.</w:t>
      </w:r>
      <w:r>
        <w:tab/>
      </w:r>
      <w:r>
        <w:t>13</w:t>
      </w:r>
    </w:p>
    <w:p w14:paraId="18AB716F">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Table S5 </w:t>
      </w:r>
      <w:r>
        <w:rPr>
          <w:rStyle w:val="25"/>
          <w:rFonts w:cs="Times New Roman"/>
          <w:color w:val="000000" w:themeColor="text1"/>
          <w14:textFill>
            <w14:solidFill>
              <w14:schemeClr w14:val="tx1"/>
            </w14:solidFill>
          </w14:textFill>
        </w:rPr>
        <w:t>Release ratio and hysteresis index of FL on various PVC MPs after the third desorption.</w:t>
      </w:r>
      <w:r>
        <w:tab/>
      </w:r>
      <w:r>
        <w:t>14</w:t>
      </w:r>
    </w:p>
    <w:p w14:paraId="042B6234">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S1 </w:t>
      </w:r>
      <w:r>
        <w:rPr>
          <w:rStyle w:val="25"/>
          <w:rFonts w:cs="Times New Roman"/>
          <w:color w:val="000000" w:themeColor="text1"/>
          <w14:textFill>
            <w14:solidFill>
              <w14:schemeClr w14:val="tx1"/>
            </w14:solidFill>
          </w14:textFill>
        </w:rPr>
        <w:t>Species distribution of the FL at different pH in the range of 0~14.0.</w:t>
      </w:r>
      <w:r>
        <w:tab/>
      </w:r>
      <w:r>
        <w:t>15</w:t>
      </w:r>
    </w:p>
    <w:p w14:paraId="0F63252F">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S2 </w:t>
      </w:r>
      <w:r>
        <w:rPr>
          <w:rStyle w:val="25"/>
          <w:rFonts w:cs="Times New Roman"/>
          <w:color w:val="000000" w:themeColor="text1"/>
          <w14:textFill>
            <w14:solidFill>
              <w14:schemeClr w14:val="tx1"/>
            </w14:solidFill>
          </w14:textFill>
        </w:rPr>
        <w:t>Sorption equilibrium time of FL sorption on PVC MPs.</w:t>
      </w:r>
      <w:r>
        <w:tab/>
      </w:r>
      <w:r>
        <w:t>16</w:t>
      </w:r>
    </w:p>
    <w:p w14:paraId="699629B4">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S3 </w:t>
      </w:r>
      <w:r>
        <w:rPr>
          <w:rStyle w:val="25"/>
          <w:rFonts w:cs="Times New Roman"/>
          <w:color w:val="000000" w:themeColor="text1"/>
          <w14:textFill>
            <w14:solidFill>
              <w14:schemeClr w14:val="tx1"/>
            </w14:solidFill>
          </w14:textFill>
        </w:rPr>
        <w:t>Standard curves of FL at the concentrations range of 0.048-96 mg·L</w:t>
      </w:r>
      <w:r>
        <w:rPr>
          <w:rStyle w:val="25"/>
          <w:rFonts w:cs="Times New Roman"/>
          <w:color w:val="000000" w:themeColor="text1"/>
          <w:vertAlign w:val="superscript"/>
          <w14:textFill>
            <w14:solidFill>
              <w14:schemeClr w14:val="tx1"/>
            </w14:solidFill>
          </w14:textFill>
        </w:rPr>
        <w:t>-1</w:t>
      </w:r>
      <w:r>
        <w:rPr>
          <w:rStyle w:val="25"/>
          <w:rFonts w:cs="Times New Roman"/>
          <w:color w:val="000000" w:themeColor="text1"/>
          <w14:textFill>
            <w14:solidFill>
              <w14:schemeClr w14:val="tx1"/>
            </w14:solidFill>
          </w14:textFill>
        </w:rPr>
        <w:t xml:space="preserve"> determined by HPLC.</w:t>
      </w:r>
      <w:r>
        <w:tab/>
      </w:r>
      <w:r>
        <w:t>17</w:t>
      </w:r>
    </w:p>
    <w:p w14:paraId="40CACFFB">
      <w:pPr>
        <w:pStyle w:val="15"/>
        <w:tabs>
          <w:tab w:val="right" w:leader="dot" w:pos="9016"/>
        </w:tabs>
        <w:rPr>
          <w:rFonts w:hint="eastAsia" w:asciiTheme="minorHAnsi" w:hAnsiTheme="minorHAnsi" w:eastAsiaTheme="minorEastAsia" w:cstheme="minorBidi"/>
          <w:szCs w:val="24"/>
        </w:rPr>
      </w:pPr>
      <w:r>
        <w:rPr>
          <w:rStyle w:val="25"/>
          <w:b/>
          <w:bCs/>
          <w:color w:val="000000" w:themeColor="text1"/>
          <w14:textFill>
            <w14:solidFill>
              <w14:schemeClr w14:val="tx1"/>
            </w14:solidFill>
          </w14:textFill>
        </w:rPr>
        <w:t>Fig. S4</w:t>
      </w:r>
      <w:r>
        <w:rPr>
          <w:rStyle w:val="25"/>
          <w:color w:val="000000" w:themeColor="text1"/>
          <w14:textFill>
            <w14:solidFill>
              <w14:schemeClr w14:val="tx1"/>
            </w14:solidFill>
          </w14:textFill>
        </w:rPr>
        <w:t xml:space="preserve"> Site description of the soil.</w:t>
      </w:r>
      <w:r>
        <w:tab/>
      </w:r>
      <w:r>
        <w:t>18</w:t>
      </w:r>
    </w:p>
    <w:p w14:paraId="3F99B81C">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S5 </w:t>
      </w:r>
      <w:r>
        <w:rPr>
          <w:rStyle w:val="25"/>
          <w:rFonts w:cs="Times New Roman"/>
          <w:color w:val="000000" w:themeColor="text1"/>
          <w14:textFill>
            <w14:solidFill>
              <w14:schemeClr w14:val="tx1"/>
            </w14:solidFill>
          </w14:textFill>
        </w:rPr>
        <w:t>BET surface area analysis results.</w:t>
      </w:r>
      <w:r>
        <w:tab/>
      </w:r>
      <w:r>
        <w:t>19</w:t>
      </w:r>
    </w:p>
    <w:p w14:paraId="0738E18B">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S6 </w:t>
      </w:r>
      <w:r>
        <w:rPr>
          <w:rStyle w:val="25"/>
          <w:rFonts w:cs="Times New Roman"/>
          <w:color w:val="000000" w:themeColor="text1"/>
          <w14:textFill>
            <w14:solidFill>
              <w14:schemeClr w14:val="tx1"/>
            </w14:solidFill>
          </w14:textFill>
        </w:rPr>
        <w:t>XPS high-resolution spectra</w:t>
      </w:r>
      <w:r>
        <w:tab/>
      </w:r>
      <w:r>
        <w:t>20</w:t>
      </w:r>
    </w:p>
    <w:p w14:paraId="2C313D08">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S7 </w:t>
      </w:r>
      <w:r>
        <w:rPr>
          <w:rStyle w:val="25"/>
          <w:rFonts w:cs="Times New Roman"/>
          <w:color w:val="000000" w:themeColor="text1"/>
          <w14:textFill>
            <w14:solidFill>
              <w14:schemeClr w14:val="tx1"/>
            </w14:solidFill>
          </w14:textFill>
        </w:rPr>
        <w:t>Langmuir models for FL on PVC MPs, Dubinin-Radushkevich model plots of FL on PVC MPs.</w:t>
      </w:r>
      <w:r>
        <w:tab/>
      </w:r>
      <w:r>
        <w:t>21</w:t>
      </w:r>
    </w:p>
    <w:p w14:paraId="77FF23D6">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S8 </w:t>
      </w:r>
      <w:r>
        <w:rPr>
          <w:rStyle w:val="25"/>
          <w:rFonts w:cs="Times New Roman"/>
          <w:color w:val="000000" w:themeColor="text1"/>
          <w14:textFill>
            <w14:solidFill>
              <w14:schemeClr w14:val="tx1"/>
            </w14:solidFill>
          </w14:textFill>
        </w:rPr>
        <w:t>Sorption inhibition (A, B, C and D) of cosorption FL and SP on pristine/aged 1 and 150 µm.</w:t>
      </w:r>
      <w:r>
        <w:tab/>
      </w:r>
      <w:r>
        <w:t>22</w:t>
      </w:r>
    </w:p>
    <w:p w14:paraId="120EB0F8">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S9 </w:t>
      </w:r>
      <w:r>
        <w:rPr>
          <w:rStyle w:val="25"/>
          <w:rFonts w:cs="Times New Roman"/>
          <w:color w:val="000000" w:themeColor="text1"/>
          <w14:textFill>
            <w14:solidFill>
              <w14:schemeClr w14:val="tx1"/>
            </w14:solidFill>
          </w14:textFill>
        </w:rPr>
        <w:t>Under different MPs sizes, sorption comparison of FL onto soil with 1% and 3% pristine PVC MPs (A and C), and 1% and 3% aged PVC MPs (B and D).</w:t>
      </w:r>
      <w:r>
        <w:tab/>
      </w:r>
      <w:r>
        <w:t>23</w:t>
      </w:r>
    </w:p>
    <w:p w14:paraId="58A7E70B">
      <w:pPr>
        <w:pStyle w:val="15"/>
        <w:tabs>
          <w:tab w:val="right" w:leader="dot" w:pos="9016"/>
        </w:tabs>
        <w:rPr>
          <w:rFonts w:hint="eastAsia" w:asciiTheme="minorHAnsi" w:hAnsiTheme="minorHAnsi" w:eastAsiaTheme="minorEastAsia" w:cstheme="minorBidi"/>
          <w:szCs w:val="24"/>
        </w:rPr>
      </w:pPr>
      <w:r>
        <w:rPr>
          <w:rStyle w:val="25"/>
          <w:rFonts w:cs="Times New Roman"/>
          <w:b/>
          <w:bCs/>
          <w:color w:val="000000" w:themeColor="text1"/>
          <w14:textFill>
            <w14:solidFill>
              <w14:schemeClr w14:val="tx1"/>
            </w14:solidFill>
          </w14:textFill>
        </w:rPr>
        <w:t xml:space="preserve">Fig. S10 </w:t>
      </w:r>
      <w:r>
        <w:rPr>
          <w:rStyle w:val="25"/>
          <w:rFonts w:cs="Times New Roman"/>
          <w:bCs/>
          <w:color w:val="000000" w:themeColor="text1"/>
          <w14:textFill>
            <w14:solidFill>
              <w14:schemeClr w14:val="tx1"/>
            </w14:solidFill>
          </w14:textFill>
        </w:rPr>
        <w:t>I</w:t>
      </w:r>
      <w:r>
        <w:rPr>
          <w:rStyle w:val="25"/>
          <w:rFonts w:cs="Times New Roman"/>
          <w:color w:val="000000" w:themeColor="text1"/>
          <w14:textFill>
            <w14:solidFill>
              <w14:schemeClr w14:val="tx1"/>
            </w14:solidFill>
          </w14:textFill>
        </w:rPr>
        <w:t>n soil and 1% aged 1 and 150 µm PVC, FL Sorption without SP and with 0.6 and 4.8 mg·L</w:t>
      </w:r>
      <w:r>
        <w:rPr>
          <w:rStyle w:val="25"/>
          <w:rFonts w:cs="Times New Roman"/>
          <w:color w:val="000000" w:themeColor="text1"/>
          <w:vertAlign w:val="superscript"/>
          <w14:textFill>
            <w14:solidFill>
              <w14:schemeClr w14:val="tx1"/>
            </w14:solidFill>
          </w14:textFill>
        </w:rPr>
        <w:t>-1</w:t>
      </w:r>
      <w:r>
        <w:rPr>
          <w:rStyle w:val="25"/>
          <w:rFonts w:cs="Times New Roman"/>
          <w:color w:val="000000" w:themeColor="text1"/>
          <w14:textFill>
            <w14:solidFill>
              <w14:schemeClr w14:val="tx1"/>
            </w14:solidFill>
          </w14:textFill>
        </w:rPr>
        <w:t xml:space="preserve"> SP (A and B), FL Sorption without SP and with 0.6 and 4.8 mg·L</w:t>
      </w:r>
      <w:r>
        <w:rPr>
          <w:rStyle w:val="25"/>
          <w:rFonts w:cs="Times New Roman"/>
          <w:color w:val="000000" w:themeColor="text1"/>
          <w:vertAlign w:val="superscript"/>
          <w14:textFill>
            <w14:solidFill>
              <w14:schemeClr w14:val="tx1"/>
            </w14:solidFill>
          </w14:textFill>
        </w:rPr>
        <w:t>-1</w:t>
      </w:r>
      <w:r>
        <w:rPr>
          <w:rStyle w:val="25"/>
          <w:rFonts w:cs="Times New Roman"/>
          <w:color w:val="000000" w:themeColor="text1"/>
          <w14:textFill>
            <w14:solidFill>
              <w14:schemeClr w14:val="tx1"/>
            </w14:solidFill>
          </w14:textFill>
        </w:rPr>
        <w:t xml:space="preserve"> SP in soil inhibition (C and D) and inhibition degree (</w:t>
      </w:r>
      <w:r>
        <w:rPr>
          <w:rStyle w:val="25"/>
          <w:rFonts w:cs="Times New Roman"/>
          <w:i/>
          <w:iCs/>
          <w:color w:val="000000" w:themeColor="text1"/>
          <w14:textFill>
            <w14:solidFill>
              <w14:schemeClr w14:val="tx1"/>
            </w14:solidFill>
          </w14:textFill>
        </w:rPr>
        <w:t xml:space="preserve">P </w:t>
      </w:r>
      <w:r>
        <w:rPr>
          <w:rStyle w:val="25"/>
          <w:rFonts w:cs="Times New Roman"/>
          <w:color w:val="000000" w:themeColor="text1"/>
          <w14:textFill>
            <w14:solidFill>
              <w14:schemeClr w14:val="tx1"/>
            </w14:solidFill>
          </w14:textFill>
        </w:rPr>
        <w:t>test, E and F)</w:t>
      </w:r>
      <w:r>
        <w:tab/>
      </w:r>
      <w:r>
        <w:t>24</w:t>
      </w:r>
    </w:p>
    <w:p w14:paraId="3C577FBE">
      <w:pPr>
        <w:pStyle w:val="15"/>
        <w:tabs>
          <w:tab w:val="right" w:leader="dot" w:pos="9016"/>
        </w:tabs>
        <w:rPr>
          <w:rFonts w:hint="eastAsia" w:asciiTheme="minorHAnsi" w:hAnsiTheme="minorHAnsi" w:eastAsiaTheme="minorEastAsia" w:cstheme="minorBidi"/>
          <w:szCs w:val="24"/>
        </w:rPr>
      </w:pPr>
      <w:r>
        <w:rPr>
          <w:rStyle w:val="25"/>
          <w:rFonts w:cs="Times New Roman"/>
          <w:b/>
          <w:color w:val="000000" w:themeColor="text1"/>
          <w14:textFill>
            <w14:solidFill>
              <w14:schemeClr w14:val="tx1"/>
            </w14:solidFill>
          </w14:textFill>
        </w:rPr>
        <w:t>Reference</w:t>
      </w:r>
      <w:r>
        <w:tab/>
      </w:r>
      <w:r>
        <w:t>25</w:t>
      </w:r>
    </w:p>
    <w:p w14:paraId="03CC6156">
      <w:pPr>
        <w:widowControl/>
        <w:spacing w:after="140"/>
        <w:ind w:firstLine="0" w:firstLineChars="0"/>
        <w:rPr>
          <w:rFonts w:cs="Times New Roman" w:eastAsiaTheme="minorEastAsia"/>
          <w:b/>
          <w:szCs w:val="24"/>
        </w:rPr>
      </w:pPr>
      <w:r>
        <w:rPr>
          <w:rFonts w:cs="Times New Roman" w:eastAsiaTheme="minorEastAsia"/>
          <w:b/>
          <w:szCs w:val="24"/>
        </w:rPr>
        <w:fldChar w:fldCharType="end"/>
      </w:r>
      <w:r>
        <w:rPr>
          <w:rFonts w:cs="Times New Roman"/>
        </w:rPr>
        <w:br w:type="page"/>
      </w:r>
    </w:p>
    <w:p w14:paraId="52BED464">
      <w:pPr>
        <w:pStyle w:val="2"/>
        <w:spacing w:before="120" w:after="120"/>
        <w:rPr>
          <w:rFonts w:cs="Times New Roman"/>
          <w:kern w:val="2"/>
        </w:rPr>
      </w:pPr>
      <w:bookmarkStart w:id="0" w:name="_Toc228301076"/>
      <w:r>
        <w:rPr>
          <w:rFonts w:cs="Times New Roman"/>
          <w:b/>
        </w:rPr>
        <w:t>Text S1</w:t>
      </w:r>
      <w:r>
        <w:rPr>
          <w:rFonts w:hint="eastAsia" w:cs="Times New Roman"/>
          <w:b/>
        </w:rPr>
        <w:t>.</w:t>
      </w:r>
      <w:r>
        <w:rPr>
          <w:rFonts w:cs="Times New Roman"/>
        </w:rPr>
        <w:t xml:space="preserve"> Justification and environmental relevance of the PVC aging protocol</w:t>
      </w:r>
      <w:r>
        <w:rPr>
          <w:rFonts w:cs="Times New Roman"/>
          <w:kern w:val="2"/>
        </w:rPr>
        <w:t>.</w:t>
      </w:r>
      <w:bookmarkEnd w:id="0"/>
      <w:r>
        <w:rPr>
          <w:rFonts w:cs="Times New Roman"/>
          <w:kern w:val="2"/>
        </w:rPr>
        <w:t xml:space="preserve">  </w:t>
      </w:r>
    </w:p>
    <w:p w14:paraId="7DE6EA59">
      <w:pPr>
        <w:widowControl/>
        <w:ind w:firstLine="480"/>
        <w:rPr>
          <w:rFonts w:cs="Times New Roman"/>
        </w:rPr>
      </w:pPr>
      <w:r>
        <w:rPr>
          <w:rFonts w:cs="Times New Roman"/>
        </w:rPr>
        <w:t>To realistically simulate environmentally relevant aging processes of polyvinyl chloride (PVC) microplastics (MPs), a modified advanced oxidation protocol based on potassium persulfate (K₂S₂O₈) activation was employed in this study. In natural soil and surface-water environments, PVC MPs are continuously exposed to oxidative stress arising from photooxidation, microbially mediated redox reactions, and metal-catalyzed production of reactive oxygen species (ROS), including sulfate radicals (•SO₄⁻) and hydroxyl radicals (•OH)</w:t>
      </w:r>
      <w:r>
        <w:rPr>
          <w:rFonts w:cs="Times New Roman"/>
        </w:rPr>
        <w:fldChar w:fldCharType="begin">
          <w:fldData xml:space="preserve">PEVuZE5vdGU+PENpdGU+PEF1dGhvcj5HZXdlcnQ8L0F1dGhvcj48WWVhcj4yMDE1PC9ZZWFyPjxS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"_ENREF_1" \o "Gewert, 2015 #222" </w:instrText>
      </w:r>
      <w:r>
        <w:fldChar w:fldCharType="separate"/>
      </w:r>
      <w:r>
        <w:rPr>
          <w:rStyle w:val="25"/>
          <w:vertAlign w:val="superscript"/>
        </w:rPr>
        <w:t>1</w:t>
      </w:r>
      <w:r>
        <w:rPr>
          <w:rFonts w:hint="default" w:ascii="Times New Roman" w:hAnsi="Times New Roman" w:cs="Times New Roman"/>
          <w:sz w:val="24"/>
          <w:szCs w:val="24"/>
          <w:vertAlign w:val="superscript"/>
          <w:lang w:val="en-US" w:eastAsia="zh-CN"/>
        </w:rPr>
        <w:t>–</w:t>
      </w:r>
      <w:r>
        <w:rPr>
          <w:rStyle w:val="25"/>
          <w:vertAlign w:val="superscript"/>
        </w:rPr>
        <w:t>3</w:t>
      </w:r>
      <w:r>
        <w:rPr>
          <w:rStyle w:val="25"/>
          <w:vertAlign w:val="superscript"/>
        </w:rPr>
        <w:fldChar w:fldCharType="end"/>
      </w:r>
      <w:r>
        <w:rPr>
          <w:rFonts w:cs="Times New Roman"/>
          <w:vertAlign w:val="superscript"/>
        </w:rPr>
        <w:t>]</w:t>
      </w:r>
      <w:r>
        <w:rPr>
          <w:rFonts w:cs="Times New Roman"/>
        </w:rPr>
        <w:fldChar w:fldCharType="end"/>
      </w:r>
      <w:r>
        <w:rPr>
          <w:rFonts w:cs="Times New Roman"/>
        </w:rPr>
        <w:t>. These oxidants play a dominant role in the long-term chemical weathering of polymer surfaces by inducing gradual oxidation, dehydrochlorination, and the formation of oxygen-containing functional groups, while generally leaving the bulk polymer matrix intact</w:t>
      </w:r>
      <w:r>
        <w:rPr>
          <w:rFonts w:cs="Times New Roman"/>
        </w:rPr>
        <w:fldChar w:fldCharType="begin">
          <w:fldData xml:space="preserve">PEVuZE5vdGU+PENpdGU+PEF1dGhvcj5TaW5naDwvQXV0aG9yPjxZZWFyPjIwMDg8L1llYXI+PFJl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"_ENREF_4" \o "Singh, 2008 #227" </w:instrText>
      </w:r>
      <w:r>
        <w:fldChar w:fldCharType="separate"/>
      </w:r>
      <w:r>
        <w:rPr>
          <w:rStyle w:val="25"/>
          <w:vertAlign w:val="superscript"/>
        </w:rPr>
        <w:t>4</w:t>
      </w:r>
      <w:r>
        <w:rPr>
          <w:rStyle w:val="25"/>
          <w:vertAlign w:val="superscript"/>
        </w:rPr>
        <w:fldChar w:fldCharType="end"/>
      </w:r>
      <w:r>
        <w:rPr>
          <w:rFonts w:cs="Times New Roman"/>
          <w:vertAlign w:val="superscript"/>
        </w:rPr>
        <w:t>,</w:t>
      </w:r>
      <w:r>
        <w:fldChar w:fldCharType="begin"/>
      </w:r>
      <w:r>
        <w:instrText xml:space="preserve"> HYPERLINK \l "_ENREF_5" \o "Jambeck, 2015 #12" </w:instrText>
      </w:r>
      <w:r>
        <w:fldChar w:fldCharType="separate"/>
      </w:r>
      <w:r>
        <w:rPr>
          <w:rStyle w:val="25"/>
          <w:vertAlign w:val="superscript"/>
        </w:rPr>
        <w:t>5</w:t>
      </w:r>
      <w:r>
        <w:rPr>
          <w:rStyle w:val="25"/>
          <w:vertAlign w:val="superscript"/>
        </w:rPr>
        <w:fldChar w:fldCharType="end"/>
      </w:r>
      <w:r>
        <w:rPr>
          <w:rFonts w:cs="Times New Roman"/>
          <w:vertAlign w:val="superscript"/>
        </w:rPr>
        <w:t>]</w:t>
      </w:r>
      <w:r>
        <w:rPr>
          <w:rFonts w:cs="Times New Roman"/>
        </w:rPr>
        <w:fldChar w:fldCharType="end"/>
      </w:r>
      <w:r>
        <w:rPr>
          <w:rFonts w:cs="Times New Roman"/>
        </w:rPr>
        <w:t>.</w:t>
      </w:r>
    </w:p>
    <w:p w14:paraId="1EB9595C">
      <w:pPr>
        <w:widowControl/>
        <w:ind w:firstLine="480"/>
        <w:rPr>
          <w:rFonts w:cs="Times New Roman"/>
        </w:rPr>
      </w:pPr>
      <w:r>
        <w:rPr>
          <w:rFonts w:cs="Times New Roman"/>
        </w:rPr>
        <w:t>Persulfate-based aging was selected because thermal activation of K₂S₂O₈ generates •SO₄⁻ radicals, which can further transform into •OH in aqueous systems</w:t>
      </w:r>
      <w:r>
        <w:rPr>
          <w:rFonts w:cs="Times New Roman"/>
        </w:rPr>
        <w:fldChar w:fldCharType="begin">
          <w:fldData xml:space="preserve">PEVuZE5vdGU+PENpdGU+PEF1dGhvcj5MaWFuZzwvQXV0aG9yPjxZZWFyPjIwMDk8L1llYXI+PFJl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"_ENREF_6" \o "Liang, 2009 #225" </w:instrText>
      </w:r>
      <w:r>
        <w:fldChar w:fldCharType="separate"/>
      </w:r>
      <w:r>
        <w:rPr>
          <w:rStyle w:val="25"/>
          <w:vertAlign w:val="superscript"/>
        </w:rPr>
        <w:t>6</w:t>
      </w:r>
      <w:r>
        <w:rPr>
          <w:rStyle w:val="25"/>
          <w:vertAlign w:val="superscript"/>
        </w:rPr>
        <w:fldChar w:fldCharType="end"/>
      </w:r>
      <w:r>
        <w:rPr>
          <w:rFonts w:cs="Times New Roman"/>
          <w:vertAlign w:val="superscript"/>
        </w:rPr>
        <w:t>,</w:t>
      </w:r>
      <w:r>
        <w:fldChar w:fldCharType="begin"/>
      </w:r>
      <w:r>
        <w:instrText xml:space="preserve"> HYPERLINK \l "_ENREF_7" \o "Wang, 2018 #226" </w:instrText>
      </w:r>
      <w:r>
        <w:fldChar w:fldCharType="separate"/>
      </w:r>
      <w:r>
        <w:rPr>
          <w:rStyle w:val="25"/>
          <w:vertAlign w:val="superscript"/>
        </w:rPr>
        <w:t>7</w:t>
      </w:r>
      <w:r>
        <w:rPr>
          <w:rStyle w:val="25"/>
          <w:vertAlign w:val="superscript"/>
        </w:rPr>
        <w:fldChar w:fldCharType="end"/>
      </w:r>
      <w:r>
        <w:rPr>
          <w:rFonts w:cs="Times New Roman"/>
          <w:vertAlign w:val="superscript"/>
        </w:rPr>
        <w:t>]</w:t>
      </w:r>
      <w:r>
        <w:rPr>
          <w:rFonts w:cs="Times New Roman"/>
        </w:rPr>
        <w:fldChar w:fldCharType="end"/>
      </w:r>
      <w:r>
        <w:rPr>
          <w:rFonts w:cs="Times New Roman"/>
        </w:rPr>
        <w:t>. Both radical species are widely recognized as environmentally relevant oxidants and have been shown to effectively mimic the oxidative pathways occurring during natural weathering of plastics</w:t>
      </w:r>
      <w:r>
        <w:rPr>
          <w:rFonts w:cs="Times New Roman"/>
        </w:rPr>
        <w:fldChar w:fldCharType="begin">
          <w:fldData xml:space="preserve">PEVuZE5vdGU+PENpdGU+PEF1dGhvcj5HZXdlcnQ8L0F1dGhvcj48WWVhcj4yMDE1PC9ZZWFyPjxS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==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"_ENREF_1" \o "Gewert, 2015 #222" </w:instrText>
      </w:r>
      <w:r>
        <w:fldChar w:fldCharType="separate"/>
      </w:r>
      <w:r>
        <w:rPr>
          <w:rStyle w:val="25"/>
          <w:vertAlign w:val="superscript"/>
        </w:rPr>
        <w:t>1</w:t>
      </w:r>
      <w:r>
        <w:rPr>
          <w:rStyle w:val="25"/>
          <w:vertAlign w:val="superscript"/>
        </w:rPr>
        <w:fldChar w:fldCharType="end"/>
      </w:r>
      <w:r>
        <w:rPr>
          <w:rFonts w:cs="Times New Roman"/>
          <w:vertAlign w:val="superscript"/>
        </w:rPr>
        <w:t>,</w:t>
      </w:r>
      <w:r>
        <w:fldChar w:fldCharType="begin"/>
      </w:r>
      <w:r>
        <w:instrText xml:space="preserve"> HYPERLINK \l "_ENREF_8" \o "Bhagat, 2022 #164" </w:instrText>
      </w:r>
      <w:r>
        <w:fldChar w:fldCharType="separate"/>
      </w:r>
      <w:r>
        <w:rPr>
          <w:rStyle w:val="25"/>
          <w:vertAlign w:val="superscript"/>
        </w:rPr>
        <w:t>8</w:t>
      </w:r>
      <w:r>
        <w:rPr>
          <w:rStyle w:val="25"/>
          <w:vertAlign w:val="superscript"/>
        </w:rPr>
        <w:fldChar w:fldCharType="end"/>
      </w:r>
      <w:r>
        <w:rPr>
          <w:rFonts w:cs="Times New Roman"/>
          <w:vertAlign w:val="superscript"/>
        </w:rPr>
        <w:t>]</w:t>
      </w:r>
      <w:r>
        <w:rPr>
          <w:rFonts w:cs="Times New Roman"/>
        </w:rPr>
        <w:fldChar w:fldCharType="end"/>
      </w:r>
      <w:r>
        <w:rPr>
          <w:rFonts w:cs="Times New Roman"/>
        </w:rPr>
        <w:t>. Compared with UV-driven photoaging, persulfate oxidation provides a controllable and homogeneous oxidative environment that is independent of light intensity and particle shadowing effects</w:t>
      </w:r>
      <w:r>
        <w:rPr>
          <w:rFonts w:cs="Times New Roman"/>
        </w:rPr>
        <w:fldChar w:fldCharType="begin">
          <w:fldData xml:space="preserve">PEVuZE5vdGU+PENpdGU+PEF1dGhvcj5MaXU8L0F1dGhvcj48WWVhcj4yMDIzPC9ZZWFyPjxSZWNO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"_ENREF_9" \o "Liu, 2023 #54" </w:instrText>
      </w:r>
      <w:r>
        <w:fldChar w:fldCharType="separate"/>
      </w:r>
      <w:r>
        <w:rPr>
          <w:rStyle w:val="25"/>
          <w:vertAlign w:val="superscript"/>
        </w:rPr>
        <w:t>9</w:t>
      </w:r>
      <w:r>
        <w:rPr>
          <w:rStyle w:val="25"/>
          <w:vertAlign w:val="superscript"/>
        </w:rPr>
        <w:fldChar w:fldCharType="end"/>
      </w:r>
      <w:r>
        <w:rPr>
          <w:rFonts w:cs="Times New Roman"/>
          <w:vertAlign w:val="superscript"/>
        </w:rPr>
        <w:t>]</w:t>
      </w:r>
      <w:r>
        <w:rPr>
          <w:rFonts w:cs="Times New Roman"/>
        </w:rPr>
        <w:fldChar w:fldCharType="end"/>
      </w:r>
      <w:r>
        <w:rPr>
          <w:rFonts w:cs="Times New Roman"/>
        </w:rPr>
        <w:t>. In contrast to Fenton-type systems, which rely on high concentrations of Fe²⁺ and acidic conditions that are not universally representative of agricultural soils, persulfate activation allows oxidation to proceed under circumneutral conditions without introducing metal catalysts that could alter subsequent sorption behavior</w:t>
      </w:r>
      <w:r>
        <w:rPr>
          <w:rFonts w:cs="Times New Roman"/>
        </w:rPr>
        <w:fldChar w:fldCharType="begin">
          <w:fldData xml:space="preserve">PEVuZE5vdGU+PENpdGU+PEF1dGhvcj5XYW5nPC9BdXRob3I+PFllYXI+MjAyMTwvWWVhcj48UmVj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"_ENREF_8" \o "Bhagat, 2022 #164" </w:instrText>
      </w:r>
      <w:r>
        <w:fldChar w:fldCharType="separate"/>
      </w:r>
      <w:r>
        <w:rPr>
          <w:rStyle w:val="25"/>
          <w:vertAlign w:val="superscript"/>
        </w:rPr>
        <w:t>8</w:t>
      </w:r>
      <w:r>
        <w:rPr>
          <w:rStyle w:val="25"/>
          <w:vertAlign w:val="superscript"/>
        </w:rPr>
        <w:fldChar w:fldCharType="end"/>
      </w:r>
      <w:r>
        <w:rPr>
          <w:rFonts w:cs="Times New Roman"/>
          <w:vertAlign w:val="superscript"/>
        </w:rPr>
        <w:t>,</w:t>
      </w:r>
      <w:r>
        <w:fldChar w:fldCharType="begin"/>
      </w:r>
      <w:r>
        <w:instrText xml:space="preserve"> HYPERLINK \l "_ENREF_10" \o "Wang, 2021 #129" </w:instrText>
      </w:r>
      <w:r>
        <w:fldChar w:fldCharType="separate"/>
      </w:r>
      <w:r>
        <w:rPr>
          <w:rStyle w:val="25"/>
          <w:vertAlign w:val="superscript"/>
        </w:rPr>
        <w:t>10</w:t>
      </w:r>
      <w:r>
        <w:rPr>
          <w:rStyle w:val="25"/>
          <w:vertAlign w:val="superscript"/>
        </w:rPr>
        <w:fldChar w:fldCharType="end"/>
      </w:r>
      <w:r>
        <w:rPr>
          <w:rFonts w:cs="Times New Roman"/>
          <w:vertAlign w:val="superscript"/>
        </w:rPr>
        <w:t>]</w:t>
      </w:r>
      <w:r>
        <w:rPr>
          <w:rFonts w:cs="Times New Roman"/>
        </w:rPr>
        <w:fldChar w:fldCharType="end"/>
      </w:r>
      <w:r>
        <w:rPr>
          <w:rFonts w:cs="Times New Roman"/>
        </w:rPr>
        <w:t>. Thermal aging alone, while accelerating polymer chain mobility, lacks the chemical reactivity required to reproduce surface oxidation processes observed under environmental conditions</w:t>
      </w:r>
      <w:r>
        <w:rPr>
          <w:rFonts w:cs="Times New Roman"/>
        </w:rPr>
        <w:fldChar w:fldCharType="begin">
          <w:fldData xml:space="preserve">PEVuZE5vdGU+PENpdGU+PEF1dGhvcj5TaW5naDwvQXV0aG9yPjxZZWFyPjIwMDg8L1llYXI+PFJl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"_ENREF_4" \o "Singh, 2008 #227" </w:instrText>
      </w:r>
      <w:r>
        <w:fldChar w:fldCharType="separate"/>
      </w:r>
      <w:r>
        <w:rPr>
          <w:rStyle w:val="25"/>
          <w:vertAlign w:val="superscript"/>
        </w:rPr>
        <w:t>4</w:t>
      </w:r>
      <w:r>
        <w:rPr>
          <w:rStyle w:val="25"/>
          <w:vertAlign w:val="superscript"/>
        </w:rPr>
        <w:fldChar w:fldCharType="end"/>
      </w:r>
      <w:r>
        <w:rPr>
          <w:rFonts w:cs="Times New Roman"/>
          <w:vertAlign w:val="superscript"/>
        </w:rPr>
        <w:t>]</w:t>
      </w:r>
      <w:r>
        <w:rPr>
          <w:rFonts w:cs="Times New Roman"/>
        </w:rPr>
        <w:fldChar w:fldCharType="end"/>
      </w:r>
      <w:r>
        <w:rPr>
          <w:rFonts w:cs="Times New Roman"/>
        </w:rPr>
        <w:t>.</w:t>
      </w:r>
    </w:p>
    <w:p w14:paraId="47A5F02B">
      <w:pPr>
        <w:widowControl/>
        <w:ind w:firstLine="480"/>
        <w:rPr>
          <w:rFonts w:cs="Times New Roman"/>
        </w:rPr>
      </w:pPr>
      <w:r>
        <w:rPr>
          <w:rFonts w:cs="Times New Roman"/>
        </w:rPr>
        <w:t>The incubation temperature (70 °C) and reaction duration (14 days) were selected to accelerate surface oxidation kinetics while avoiding excessive degradation of the PVC backbone. Previous studies have demonstrated that persulfate aging under comparable conditions primarily induces surface-limited oxidation, resulting in the formation of hydroxyl (–OH), carbonyl (–C=O), and carboxyl (–COOH) groups, increased surface roughness, and enhanced micro–mesoporosity, without causing extensive chain scission or collapse of the polymer matrix</w:t>
      </w:r>
      <w:r>
        <w:rPr>
          <w:rFonts w:cs="Times New Roman"/>
        </w:rPr>
        <w:fldChar w:fldCharType="begin">
          <w:fldData xml:space="preserve">PEVuZE5vdGU+PENpdGU+PEF1dGhvcj5CaGFnYXQ8L0F1dGhvcj48WWVhcj4yMDIyPC9ZZWFyPjxS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"_ENREF_3" \o "Binda, 2024 #219" </w:instrText>
      </w:r>
      <w:r>
        <w:fldChar w:fldCharType="separate"/>
      </w:r>
      <w:r>
        <w:rPr>
          <w:rStyle w:val="25"/>
          <w:vertAlign w:val="superscript"/>
        </w:rPr>
        <w:t>3</w:t>
      </w:r>
      <w:r>
        <w:rPr>
          <w:rStyle w:val="25"/>
          <w:vertAlign w:val="superscript"/>
        </w:rPr>
        <w:fldChar w:fldCharType="end"/>
      </w:r>
      <w:r>
        <w:rPr>
          <w:rFonts w:cs="Times New Roman"/>
          <w:vertAlign w:val="superscript"/>
        </w:rPr>
        <w:t>,</w:t>
      </w:r>
      <w:r>
        <w:fldChar w:fldCharType="begin"/>
      </w:r>
      <w:r>
        <w:instrText xml:space="preserve"> HYPERLINK \l "_ENREF_8" \o "Bhagat, 2022 #164" </w:instrText>
      </w:r>
      <w:r>
        <w:fldChar w:fldCharType="separate"/>
      </w:r>
      <w:r>
        <w:rPr>
          <w:rStyle w:val="25"/>
          <w:vertAlign w:val="superscript"/>
        </w:rPr>
        <w:t>8</w:t>
      </w:r>
      <w:r>
        <w:rPr>
          <w:rStyle w:val="25"/>
          <w:vertAlign w:val="superscript"/>
        </w:rPr>
        <w:fldChar w:fldCharType="end"/>
      </w:r>
      <w:r>
        <w:rPr>
          <w:rFonts w:cs="Times New Roman"/>
          <w:vertAlign w:val="superscript"/>
        </w:rPr>
        <w:t>]</w:t>
      </w:r>
      <w:r>
        <w:rPr>
          <w:rFonts w:cs="Times New Roman"/>
        </w:rPr>
        <w:fldChar w:fldCharType="end"/>
      </w:r>
      <w:r>
        <w:rPr>
          <w:rFonts w:cs="Times New Roman"/>
        </w:rPr>
        <w:t>. Consistent with this expectation, FTIR and XPS analyses in the present study confirmed substantial enrichment of oxygen-containing functional groups and increased O/C ratios, while the characteristic PVC backbone signals were preserved, indicating that bulk polymer integrity was largely maintained.</w:t>
      </w:r>
    </w:p>
    <w:p w14:paraId="43FB81FB">
      <w:pPr>
        <w:widowControl/>
        <w:ind w:firstLine="480"/>
        <w:rPr>
          <w:rFonts w:cs="Times New Roman"/>
        </w:rPr>
      </w:pPr>
      <w:r>
        <w:rPr>
          <w:rFonts w:cs="Times New Roman"/>
        </w:rPr>
        <w:t>Overall, this modified advanced oxidation protocol provides a chemically realistic and experimentally controllable approach to reproduce key features of natural PVC aging relevant to soil environments, including surface oxidation, increased polarity, and enhanced heterogeneity of sorption domains</w:t>
      </w:r>
      <w:r>
        <w:rPr>
          <w:rFonts w:cs="Times New Roman"/>
        </w:rPr>
        <w:fldChar w:fldCharType="begin">
          <w:fldData xml:space="preserve">PEVuZE5vdGU+PENpdGU+PEF1dGhvcj5HZXdlcnQ8L0F1dGhvcj48WWVhcj4yMDE1PC9ZZWFyPjxS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</w:fldData>
        </w:fldChar>
      </w:r>
      <w:r>
        <w:rPr>
          <w:rFonts w:cs="Times New Roman"/>
        </w:rPr>
        <w:instrText xml:space="preserve"> ADDIN EN.JS.CITE </w:instrText>
      </w:r>
      <w:r>
        <w:rPr>
          <w:rFonts w:cs="Times New Roman"/>
        </w:rPr>
        <w:fldChar w:fldCharType="separate"/>
      </w:r>
      <w:r>
        <w:rPr>
          <w:rFonts w:cs="Times New Roman"/>
          <w:vertAlign w:val="superscript"/>
        </w:rPr>
        <w:t>[</w:t>
      </w:r>
      <w:r>
        <w:fldChar w:fldCharType="begin"/>
      </w:r>
      <w:r>
        <w:instrText xml:space="preserve"> HYPERLINK \l "_ENREF_1" \o "Gewert, 2015 #222" </w:instrText>
      </w:r>
      <w:r>
        <w:fldChar w:fldCharType="separate"/>
      </w:r>
      <w:r>
        <w:rPr>
          <w:rStyle w:val="25"/>
          <w:vertAlign w:val="superscript"/>
        </w:rPr>
        <w:t>1</w:t>
      </w:r>
      <w:r>
        <w:rPr>
          <w:rStyle w:val="25"/>
          <w:vertAlign w:val="superscript"/>
        </w:rPr>
        <w:fldChar w:fldCharType="end"/>
      </w:r>
      <w:r>
        <w:rPr>
          <w:rFonts w:cs="Times New Roman"/>
          <w:vertAlign w:val="superscript"/>
        </w:rPr>
        <w:t>,</w:t>
      </w:r>
      <w:r>
        <w:fldChar w:fldCharType="begin"/>
      </w:r>
      <w:r>
        <w:instrText xml:space="preserve"> HYPERLINK \l "_ENREF_3" \o "Binda, 2024 #219" </w:instrText>
      </w:r>
      <w:r>
        <w:fldChar w:fldCharType="separate"/>
      </w:r>
      <w:r>
        <w:rPr>
          <w:rStyle w:val="25"/>
          <w:vertAlign w:val="superscript"/>
        </w:rPr>
        <w:t>3</w:t>
      </w:r>
      <w:r>
        <w:rPr>
          <w:rStyle w:val="25"/>
          <w:vertAlign w:val="superscript"/>
        </w:rPr>
        <w:fldChar w:fldCharType="end"/>
      </w:r>
      <w:r>
        <w:rPr>
          <w:rFonts w:cs="Times New Roman"/>
          <w:vertAlign w:val="superscript"/>
        </w:rPr>
        <w:t>]</w:t>
      </w:r>
      <w:r>
        <w:rPr>
          <w:rFonts w:cs="Times New Roman"/>
        </w:rPr>
        <w:fldChar w:fldCharType="end"/>
      </w:r>
      <w:r>
        <w:rPr>
          <w:rFonts w:cs="Times New Roman"/>
        </w:rPr>
        <w:t xml:space="preserve">. These features are critical for evaluating how environmentally aged PVC MPs interact with fluorinated and non-fluorinated pesticides under realistic conditions. </w:t>
      </w:r>
    </w:p>
    <w:p w14:paraId="22B6444A">
      <w:pPr>
        <w:widowControl/>
        <w:spacing w:line="240" w:lineRule="auto"/>
        <w:ind w:firstLine="0" w:firstLineChars="0"/>
        <w:jc w:val="left"/>
        <w:rPr>
          <w:rFonts w:cs="Times New Roman"/>
        </w:rPr>
      </w:pPr>
      <w:r>
        <w:rPr>
          <w:rFonts w:cs="Times New Roman"/>
        </w:rPr>
        <w:br w:type="page"/>
      </w:r>
    </w:p>
    <w:p w14:paraId="45669703">
      <w:pPr>
        <w:pStyle w:val="2"/>
        <w:rPr>
          <w:rFonts w:cs="Times New Roman"/>
          <w:b/>
        </w:rPr>
      </w:pPr>
      <w:bookmarkStart w:id="1" w:name="_Toc228301077"/>
      <w:r>
        <w:rPr>
          <w:rFonts w:cs="Times New Roman"/>
          <w:b/>
        </w:rPr>
        <w:t>Text S2</w:t>
      </w:r>
      <w:r>
        <w:rPr>
          <w:rFonts w:hint="eastAsia" w:cs="Times New Roman"/>
          <w:b/>
        </w:rPr>
        <w:t>.</w:t>
      </w:r>
      <w:r>
        <w:rPr>
          <w:rFonts w:cs="Times New Roman"/>
          <w:b/>
        </w:rPr>
        <w:t xml:space="preserve"> </w:t>
      </w:r>
      <w:r>
        <w:rPr>
          <w:rFonts w:cs="Times New Roman"/>
        </w:rPr>
        <w:t>Morphology characteristics, surface elemental composition, surface area, surface charge properties and surface functional groups characterization procedures of adsorbents.</w:t>
      </w:r>
      <w:bookmarkEnd w:id="1"/>
      <w:r>
        <w:rPr>
          <w:rFonts w:cs="Times New Roman"/>
        </w:rPr>
        <w:t xml:space="preserve"> </w:t>
      </w:r>
    </w:p>
    <w:p w14:paraId="0BBC168D">
      <w:pPr>
        <w:widowControl/>
        <w:spacing w:before="120" w:beforeLines="50" w:after="120" w:afterLines="50"/>
        <w:ind w:firstLine="0" w:firstLineChars="0"/>
        <w:rPr>
          <w:rFonts w:eastAsia="宋体" w:cs="Times New Roman"/>
          <w:b/>
          <w:kern w:val="2"/>
          <w:szCs w:val="23"/>
        </w:rPr>
      </w:pPr>
      <w:bookmarkStart w:id="2" w:name="_Hlk166878821"/>
      <w:r>
        <w:rPr>
          <w:rFonts w:eastAsia="宋体" w:cs="Times New Roman"/>
          <w:b/>
          <w:kern w:val="2"/>
          <w:szCs w:val="23"/>
        </w:rPr>
        <w:t>Morphology characteristics:</w:t>
      </w:r>
    </w:p>
    <w:p w14:paraId="49B9C523">
      <w:pPr>
        <w:widowControl/>
        <w:ind w:firstLine="480"/>
        <w:rPr>
          <w:rFonts w:cs="Times New Roman"/>
        </w:rPr>
      </w:pPr>
      <w:r>
        <w:rPr>
          <w:rFonts w:cs="Times New Roman"/>
        </w:rPr>
        <w:t xml:space="preserve">The morphological characteristics of the adsorbents were determined using a scanning electron microscope (SEM; FEI Magellan 400 XHR-SEM, USA). The particles were mounted on carbon adhesive and coated with a thin layer of gold and palladium for 2 minutes at 10 mA to prevent charging during electron microscopy. All measurements were conducted with an operating voltage of 1.0 kV. </w:t>
      </w:r>
    </w:p>
    <w:bookmarkEnd w:id="2"/>
    <w:p w14:paraId="76CCA61B">
      <w:pPr>
        <w:ind w:firstLine="0" w:firstLineChars="0"/>
        <w:rPr>
          <w:rFonts w:eastAsia="宋体" w:cs="Times New Roman"/>
          <w:b/>
          <w:kern w:val="2"/>
          <w:szCs w:val="23"/>
        </w:rPr>
      </w:pPr>
      <w:bookmarkStart w:id="3" w:name="_Toc217387857"/>
      <w:r>
        <w:rPr>
          <w:rFonts w:eastAsia="宋体" w:cs="Times New Roman"/>
          <w:b/>
          <w:kern w:val="2"/>
          <w:szCs w:val="23"/>
        </w:rPr>
        <w:t>Surface elemental composition:</w:t>
      </w:r>
      <w:bookmarkEnd w:id="3"/>
    </w:p>
    <w:p w14:paraId="240D4435">
      <w:pPr>
        <w:widowControl/>
        <w:ind w:firstLine="480"/>
        <w:rPr>
          <w:rFonts w:cs="Times New Roman"/>
        </w:rPr>
      </w:pPr>
      <w:r>
        <w:rPr>
          <w:rFonts w:cs="Times New Roman"/>
        </w:rPr>
        <w:t xml:space="preserve">The surface elemental composition of the adsorbents was determined using X-ray photoelectron spectroscopy (XPS, AXIS-ULTRA, Japan) with a scanning range of 0 to 1200 eV. The instrument employed the C 1s peak of carbon for electron binding energy calibration. Initially, a full spectrum scan was performed on the adsorbents, followed by individual scans for the required elements, including carbon, oxygen, and chlorine. Advantage software was utilized for peak processing and detailed spectrogram analysis of each element. </w:t>
      </w:r>
    </w:p>
    <w:p w14:paraId="2BFE7C66">
      <w:pPr>
        <w:widowControl/>
        <w:spacing w:before="120" w:beforeLines="50" w:after="120" w:afterLines="50"/>
        <w:ind w:firstLine="0" w:firstLineChars="0"/>
        <w:rPr>
          <w:rFonts w:eastAsia="宋体" w:cs="Times New Roman"/>
          <w:b/>
          <w:kern w:val="2"/>
          <w:szCs w:val="23"/>
        </w:rPr>
      </w:pPr>
      <w:r>
        <w:rPr>
          <w:rFonts w:eastAsia="宋体" w:cs="Times New Roman"/>
          <w:b/>
          <w:kern w:val="2"/>
          <w:szCs w:val="23"/>
        </w:rPr>
        <w:t>Surface area:</w:t>
      </w:r>
    </w:p>
    <w:p w14:paraId="5CF7120B">
      <w:pPr>
        <w:widowControl/>
        <w:ind w:firstLine="480"/>
        <w:rPr>
          <w:rFonts w:eastAsia="宋体" w:cs="Times New Roman"/>
          <w:b/>
          <w:kern w:val="2"/>
          <w:szCs w:val="23"/>
        </w:rPr>
      </w:pPr>
      <w:r>
        <w:rPr>
          <w:rFonts w:eastAsia="宋体" w:cs="Times New Roman"/>
          <w:bCs/>
          <w:kern w:val="2"/>
          <w:szCs w:val="23"/>
        </w:rPr>
        <w:t>In this study, a specific surface area and pore size distribution analyzer (ASAP2460, Micromeritics, USA) was employed to measure the N</w:t>
      </w:r>
      <w:r>
        <w:rPr>
          <w:rFonts w:eastAsia="宋体" w:cs="Times New Roman"/>
          <w:bCs/>
          <w:kern w:val="2"/>
          <w:szCs w:val="23"/>
          <w:vertAlign w:val="subscript"/>
        </w:rPr>
        <w:t>2</w:t>
      </w:r>
      <w:r>
        <w:rPr>
          <w:rFonts w:eastAsia="宋体" w:cs="Times New Roman"/>
          <w:bCs/>
          <w:kern w:val="2"/>
          <w:szCs w:val="23"/>
        </w:rPr>
        <w:t xml:space="preserve"> adsorption-desorption isotherms at 77 K, and to test and analyze the specific surface area of the sorbents. Prior to measurement, the sorbents were degassed at 200 ℃ for 2 hours. The specific surface area was calculated using the Brunauer-Emmett-Teller (BET) method. </w:t>
      </w:r>
    </w:p>
    <w:p w14:paraId="0D7C2AA8">
      <w:pPr>
        <w:widowControl/>
        <w:spacing w:before="120" w:beforeLines="50" w:after="120" w:afterLines="50"/>
        <w:ind w:firstLine="0" w:firstLineChars="0"/>
        <w:rPr>
          <w:rFonts w:eastAsia="宋体" w:cs="Times New Roman"/>
          <w:b/>
          <w:kern w:val="2"/>
          <w:szCs w:val="23"/>
        </w:rPr>
      </w:pPr>
      <w:r>
        <w:rPr>
          <w:rFonts w:eastAsia="宋体" w:cs="Times New Roman"/>
          <w:b/>
          <w:kern w:val="2"/>
          <w:szCs w:val="23"/>
        </w:rPr>
        <w:t>Surface charge properties:</w:t>
      </w:r>
    </w:p>
    <w:p w14:paraId="6F7D2FC4">
      <w:pPr>
        <w:widowControl/>
        <w:ind w:firstLine="480"/>
        <w:rPr>
          <w:rFonts w:eastAsia="宋体" w:cs="Times New Roman"/>
          <w:b/>
          <w:kern w:val="2"/>
          <w:szCs w:val="23"/>
        </w:rPr>
      </w:pPr>
      <w:r>
        <w:rPr>
          <w:rFonts w:eastAsia="宋体" w:cs="Times New Roman"/>
          <w:bCs/>
          <w:kern w:val="2"/>
          <w:szCs w:val="23"/>
        </w:rPr>
        <w:t xml:space="preserve">Two milligrams of pristine and aged PVC (1 μm and 150 μm) were weighed into 15 mL centrifuge tubes, respectively, and 10 mL of background solution with a known pH (ranging from 2.0 to 11.0) was added. After thorough mixing with a Vortex-Genie and sonication for 5 minutes using an ultrasonicator, the ξ-potential (mV) was measured using a phase analysis light scattering (PALS) analyzer (DLS, Brookhaven, USA). The measurement was repeated at least five times. </w:t>
      </w:r>
    </w:p>
    <w:p w14:paraId="309E7002">
      <w:pPr>
        <w:widowControl/>
        <w:spacing w:before="120" w:beforeLines="50" w:after="120" w:afterLines="50"/>
        <w:ind w:firstLine="0" w:firstLineChars="0"/>
        <w:rPr>
          <w:rFonts w:eastAsia="宋体" w:cs="Times New Roman"/>
          <w:b/>
          <w:kern w:val="2"/>
          <w:szCs w:val="23"/>
        </w:rPr>
      </w:pPr>
      <w:r>
        <w:rPr>
          <w:rFonts w:eastAsia="宋体" w:cs="Times New Roman"/>
          <w:b/>
          <w:kern w:val="2"/>
          <w:szCs w:val="23"/>
        </w:rPr>
        <w:t>Surface functional groups:</w:t>
      </w:r>
    </w:p>
    <w:p w14:paraId="493BD5AB">
      <w:pPr>
        <w:widowControl/>
        <w:ind w:firstLine="480"/>
        <w:rPr>
          <w:rFonts w:eastAsia="宋体" w:cs="Times New Roman"/>
          <w:b/>
          <w:kern w:val="2"/>
          <w:szCs w:val="23"/>
        </w:rPr>
      </w:pPr>
      <w:r>
        <w:rPr>
          <w:rFonts w:eastAsia="宋体" w:cs="Times New Roman"/>
          <w:bCs/>
          <w:kern w:val="2"/>
          <w:szCs w:val="23"/>
        </w:rPr>
        <w:t>The FTIR spectra of the samples were analyzed to identify the surface functional groups of pristine and aged PVC (1 μm and 150 μm) using a Fourier transform infrared spectrometer (FTIR; PerkinElmer Spectrum One FTIR Spectrometer, USA). The sorbents (control, adsorption equilibrium with SP and FL) were dried using freeze dryers (Freeze Dryers, LABCONCO, USA) to ensure complete dryness and to prevent interference from water peaks in the sample spectrum. The measurement range was 4000 to 400 cm</w:t>
      </w:r>
      <w:r>
        <w:rPr>
          <w:rFonts w:hint="default" w:ascii="Times New Roman" w:hAnsi="Times New Roman" w:cs="Times New Roman"/>
          <w:sz w:val="24"/>
          <w:szCs w:val="24"/>
          <w:vertAlign w:val="superscript"/>
          <w:lang w:val="en-US" w:eastAsia="zh-CN"/>
        </w:rPr>
        <w:t>−</w:t>
      </w:r>
      <w:r>
        <w:rPr>
          <w:rFonts w:eastAsia="宋体" w:cs="Times New Roman"/>
          <w:bCs/>
          <w:kern w:val="2"/>
          <w:szCs w:val="23"/>
          <w:vertAlign w:val="superscript"/>
        </w:rPr>
        <w:t>1</w:t>
      </w:r>
      <w:r>
        <w:rPr>
          <w:rFonts w:eastAsia="宋体" w:cs="Times New Roman"/>
          <w:bCs/>
          <w:kern w:val="2"/>
          <w:szCs w:val="23"/>
        </w:rPr>
        <w:t>. Each sample was scanned 20 times, and the spectrograms were processed using OMNIC and Origin software.</w:t>
      </w:r>
    </w:p>
    <w:p w14:paraId="1780CBE7">
      <w:pPr>
        <w:ind w:firstLine="482"/>
        <w:rPr>
          <w:rFonts w:eastAsia="宋体" w:cs="Times New Roman"/>
          <w:b/>
          <w:kern w:val="2"/>
          <w:szCs w:val="23"/>
        </w:rPr>
      </w:pPr>
      <w:r>
        <w:rPr>
          <w:rFonts w:eastAsia="宋体" w:cs="Times New Roman"/>
          <w:b/>
          <w:kern w:val="2"/>
          <w:szCs w:val="23"/>
        </w:rPr>
        <w:br w:type="page"/>
      </w:r>
    </w:p>
    <w:p w14:paraId="431B1B09">
      <w:pPr>
        <w:pStyle w:val="2"/>
        <w:rPr>
          <w:rFonts w:cs="Times New Roman"/>
        </w:rPr>
      </w:pPr>
      <w:bookmarkStart w:id="4" w:name="_Toc228301078"/>
      <w:bookmarkStart w:id="5" w:name="OLE_LINK28"/>
      <w:bookmarkStart w:id="6" w:name="OLE_LINK27"/>
      <w:r>
        <w:rPr>
          <w:rStyle w:val="27"/>
          <w:rFonts w:cs="Times New Roman"/>
          <w:b/>
        </w:rPr>
        <w:t>Text S3</w:t>
      </w:r>
      <w:r>
        <w:rPr>
          <w:rStyle w:val="27"/>
          <w:rFonts w:hint="eastAsia" w:cs="Times New Roman"/>
          <w:b/>
        </w:rPr>
        <w:t>.</w:t>
      </w:r>
      <w:r>
        <w:rPr>
          <w:rStyle w:val="27"/>
          <w:rFonts w:cs="Times New Roman"/>
        </w:rPr>
        <w:t xml:space="preserve"> </w:t>
      </w:r>
      <w:bookmarkStart w:id="7" w:name="_Hlk189878026"/>
      <w:r>
        <w:rPr>
          <w:rStyle w:val="27"/>
          <w:rFonts w:cs="Times New Roman"/>
        </w:rPr>
        <w:t>Experimental procedures and HPLC analysis for FL</w:t>
      </w:r>
      <w:r>
        <w:rPr>
          <w:rFonts w:cs="Times New Roman"/>
        </w:rPr>
        <w:t>.</w:t>
      </w:r>
      <w:bookmarkEnd w:id="4"/>
      <w:r>
        <w:rPr>
          <w:rFonts w:cs="Times New Roman"/>
        </w:rPr>
        <w:t xml:space="preserve">  </w:t>
      </w:r>
      <w:bookmarkEnd w:id="7"/>
    </w:p>
    <w:p w14:paraId="01E8F201">
      <w:pPr>
        <w:widowControl/>
        <w:ind w:firstLine="480"/>
        <w:rPr>
          <w:rFonts w:cs="Times New Roman"/>
        </w:rPr>
      </w:pPr>
      <w:r>
        <w:rPr>
          <w:rFonts w:cs="Times New Roman"/>
        </w:rPr>
        <w:t xml:space="preserve">Batch sorption experiments were conducted to investigate the sorption behavior of FL on pristine and aged PVC MPs with particle sizes of 1 </w:t>
      </w:r>
      <w:r>
        <w:rPr>
          <w:rFonts w:cs="Times New Roman"/>
        </w:rPr>
        <w:sym w:font="Symbol" w:char="F06D"/>
      </w:r>
      <w:r>
        <w:rPr>
          <w:rFonts w:cs="Times New Roman"/>
        </w:rPr>
        <w:t xml:space="preserve">m and 150 </w:t>
      </w:r>
      <w:r>
        <w:rPr>
          <w:rFonts w:cs="Times New Roman"/>
        </w:rPr>
        <w:sym w:font="Symbol" w:char="F06D"/>
      </w:r>
      <w:r>
        <w:rPr>
          <w:rFonts w:cs="Times New Roman"/>
        </w:rPr>
        <w:t>m. All experiments were performed in 10 mL glass centrifuge tubes at 25 °C with continuous shaking (180 rpm). For kinetic experiments, FL solutions (48 mg·L</w:t>
      </w:r>
      <w:r>
        <w:rPr>
          <w:rFonts w:hint="default" w:ascii="Times New Roman" w:hAnsi="Times New Roman" w:cs="Times New Roman"/>
          <w:sz w:val="24"/>
          <w:szCs w:val="24"/>
          <w:vertAlign w:val="superscript"/>
          <w:lang w:val="en-US" w:eastAsia="zh-CN"/>
        </w:rPr>
        <w:t>−</w:t>
      </w:r>
      <w:r>
        <w:rPr>
          <w:rFonts w:cs="Times New Roman"/>
          <w:vertAlign w:val="superscript"/>
        </w:rPr>
        <w:t>1</w:t>
      </w:r>
      <w:r>
        <w:rPr>
          <w:rFonts w:cs="Times New Roman"/>
        </w:rPr>
        <w:t xml:space="preserve">, pH 4.8) were sampled at predetermined time intervals (0.3–48 h). Following equilibration, suspensions were centrifuged at 3000 rpm for 20 min, and the supernatant was filtered through 0.22 </w:t>
      </w:r>
      <w:r>
        <w:rPr>
          <w:rFonts w:cs="Times New Roman"/>
        </w:rPr>
        <w:sym w:font="Symbol" w:char="F06D"/>
      </w:r>
      <w:r>
        <w:rPr>
          <w:rFonts w:cs="Times New Roman"/>
        </w:rPr>
        <w:t>m membrane filters prior to analysis. Desorption experiments were initiated by replacing 50% of the supernatant with fresh background solution (ultrapure water, pH 4.8), followed by re-equilibration for 48 h; this procedure was repeated for three cycles to evaluate desorption behavior.</w:t>
      </w:r>
    </w:p>
    <w:p w14:paraId="6098B9A6">
      <w:pPr>
        <w:widowControl/>
        <w:ind w:firstLine="480"/>
        <w:rPr>
          <w:rFonts w:cs="Times New Roman"/>
        </w:rPr>
      </w:pPr>
      <w:r>
        <w:rPr>
          <w:rFonts w:cs="Times New Roman"/>
        </w:rPr>
        <w:t xml:space="preserve">FL concentrations were quantified using high-performance liquid chromatography (HPLC; Shimadzu LC-2010 CHT) equipped with a photodiode array detector and a Phenomenex C18 column (250 × 4.6 mm). The mobile phase consisted of acetonitrile and water (containing 5% phosphoric acid) at a ratio of 40:60 (v/v), with a flow rate of 1.0 mL·min⁻¹, injection volume of 50 </w:t>
      </w:r>
      <w:r>
        <w:rPr>
          <w:rFonts w:cs="Times New Roman"/>
        </w:rPr>
        <w:sym w:font="Symbol" w:char="F06D"/>
      </w:r>
      <w:r>
        <w:rPr>
          <w:rFonts w:cs="Times New Roman"/>
        </w:rPr>
        <w:t xml:space="preserve">L, and detection wavelength of 197 nm. </w:t>
      </w:r>
    </w:p>
    <w:p w14:paraId="5E16F25E">
      <w:pPr>
        <w:widowControl/>
        <w:ind w:firstLine="480"/>
        <w:rPr>
          <w:rFonts w:cs="Times New Roman"/>
        </w:rPr>
      </w:pPr>
      <w:r>
        <w:rPr>
          <w:rFonts w:cs="Times New Roman"/>
        </w:rPr>
        <w:t>For environmental factor experiments, solution chemistry was systematically varied. Ionic strength and ion-specific effects were evaluated by adding NaCl and CaCl₂ at concentrations of 0, 0.001, 0.01, 0.05, and 0.1 mol·L⁻</w:t>
      </w:r>
      <w:r>
        <w:rPr>
          <w:rFonts w:cs="Times New Roman"/>
          <w:vertAlign w:val="superscript"/>
        </w:rPr>
        <w:t>1</w:t>
      </w:r>
      <w:r>
        <w:rPr>
          <w:rFonts w:cs="Times New Roman"/>
        </w:rPr>
        <w:t>, while anion effects were examined using NaCl and NaNO</w:t>
      </w:r>
      <w:r>
        <w:rPr>
          <w:rFonts w:cs="Times New Roman"/>
          <w:vertAlign w:val="subscript"/>
        </w:rPr>
        <w:t>3</w:t>
      </w:r>
      <w:r>
        <w:rPr>
          <w:rFonts w:cs="Times New Roman"/>
        </w:rPr>
        <w:t xml:space="preserve"> under equivalent ionic strength conditions. The pH of the solutions was adjusted to 4, 6, 8, 10, and 12 using dilute HCl or NaOH solutions and maintained throughout the experiments. Dissolved organic matter effects were investigated by adding humic acid at concentrations of 0, 1, 5, 10, and 20 mg·L⁻</w:t>
      </w:r>
      <w:r>
        <w:rPr>
          <w:rFonts w:cs="Times New Roman"/>
          <w:vertAlign w:val="superscript"/>
        </w:rPr>
        <w:t>1</w:t>
      </w:r>
      <w:r>
        <w:rPr>
          <w:rFonts w:cs="Times New Roman"/>
        </w:rPr>
        <w:t xml:space="preserve">. Co-adsorption experiments were conducted by introducing SP at concentrations of 0.6 or 4.8 mg·L⁻¹ into FL-containing systems under otherwise identical experimental conditions. </w:t>
      </w:r>
      <w:bookmarkEnd w:id="5"/>
      <w:bookmarkEnd w:id="6"/>
    </w:p>
    <w:p w14:paraId="315CE18E">
      <w:pPr>
        <w:widowControl/>
        <w:ind w:firstLine="480"/>
        <w:rPr>
          <w:rFonts w:cs="Times New Roman"/>
          <w:szCs w:val="24"/>
        </w:rPr>
      </w:pPr>
      <w:r>
        <w:rPr>
          <w:rFonts w:hint="eastAsia" w:cs="Times New Roman"/>
          <w:szCs w:val="24"/>
        </w:rPr>
        <w:t>T</w:t>
      </w:r>
      <w:r>
        <w:rPr>
          <w:rFonts w:cs="Times New Roman"/>
          <w:szCs w:val="24"/>
        </w:rPr>
        <w:t>he soil used in this study was collected from the UMass Research Farm located in Deerfield, Massachusetts (42°29'02.5"N, 72°34'26.8"W). The soil is classified as a clay loam, with a particle size distribution comprising 33.6% sand, 38.0% silt, and 28.4% clay. It has an organic matter content of 4.38%, a pH of 4.73, and a cation exchange capacity (CEC) of 2.68 meq·100 g⁻¹ soil. These properties reflect a moderately acidic soil with relatively low CEC, characteristic of fine-textured agricultural soils in the region.</w:t>
      </w:r>
    </w:p>
    <w:p w14:paraId="5345E385">
      <w:pPr>
        <w:widowControl/>
        <w:ind w:firstLine="480"/>
        <w:rPr>
          <w:rFonts w:cs="Times New Roman"/>
        </w:rPr>
      </w:pPr>
      <w:r>
        <w:rPr>
          <w:rFonts w:cs="Times New Roman"/>
          <w:szCs w:val="24"/>
        </w:rPr>
        <w:br w:type="page"/>
      </w:r>
    </w:p>
    <w:p w14:paraId="3B36447A">
      <w:pPr>
        <w:pStyle w:val="2"/>
        <w:widowControl/>
        <w:spacing w:before="120" w:after="120"/>
        <w:rPr>
          <w:rFonts w:cs="Times New Roman"/>
        </w:rPr>
      </w:pPr>
      <w:bookmarkStart w:id="8" w:name="_Toc228301079"/>
      <w:r>
        <w:rPr>
          <w:rFonts w:cs="Times New Roman"/>
          <w:b/>
        </w:rPr>
        <w:t>Text S4</w:t>
      </w:r>
      <w:r>
        <w:rPr>
          <w:rFonts w:hint="eastAsia" w:cs="Times New Roman"/>
          <w:b/>
        </w:rPr>
        <w:t>.</w:t>
      </w:r>
      <w:r>
        <w:rPr>
          <w:rFonts w:cs="Times New Roman"/>
        </w:rPr>
        <w:t xml:space="preserve"> Analytical procedures</w:t>
      </w:r>
      <w:r>
        <w:rPr>
          <w:rFonts w:cs="Times New Roman"/>
          <w:bCs/>
        </w:rPr>
        <w:t>.</w:t>
      </w:r>
      <w:bookmarkEnd w:id="8"/>
      <w:r>
        <w:rPr>
          <w:rFonts w:cs="Times New Roman"/>
          <w:bCs/>
        </w:rPr>
        <w:t xml:space="preserve"> </w:t>
      </w:r>
    </w:p>
    <w:p w14:paraId="2BEDCA06">
      <w:pPr>
        <w:ind w:firstLine="480"/>
        <w:rPr>
          <w:rFonts w:cs="Times New Roman"/>
          <w:szCs w:val="24"/>
        </w:rPr>
      </w:pPr>
      <w:r>
        <w:rPr>
          <w:rFonts w:cs="Times New Roman"/>
          <w:szCs w:val="24"/>
        </w:rPr>
        <w:t>Four different models were used to fit the sorption kinetics. They could be expressed as follows:</w:t>
      </w:r>
    </w:p>
    <w:p w14:paraId="5C6C0984">
      <w:pPr>
        <w:ind w:firstLine="0" w:firstLineChars="0"/>
        <w:rPr>
          <w:rFonts w:cs="Times New Roman"/>
          <w:szCs w:val="24"/>
        </w:rPr>
      </w:pPr>
      <w:r>
        <w:rPr>
          <w:rFonts w:cs="Times New Roman"/>
          <w:szCs w:val="24"/>
        </w:rPr>
        <w:t>Pseudo-first-order model:</w:t>
      </w:r>
    </w:p>
    <w:p w14:paraId="37B5F5C7">
      <w:pPr>
        <w:tabs>
          <w:tab w:val="left" w:pos="8820"/>
        </w:tabs>
        <w:ind w:firstLine="480"/>
        <w:rPr>
          <w:rFonts w:cs="Times New Roman"/>
          <w:szCs w:val="24"/>
        </w:rPr>
      </w:pPr>
      <m:oMath>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t</m:t>
            </m:r>
            <m:ctrlPr>
              <w:rPr>
                <w:rFonts w:ascii="Cambria Math" w:hAnsi="Cambria Math" w:cs="Times New Roman"/>
                <w:i/>
                <w:szCs w:val="24"/>
              </w:rPr>
            </m:ctrlPr>
          </m:sub>
        </m:sSub>
        <m:r>
          <m:rPr/>
          <w:rPr>
            <w:rFonts w:ascii="Cambria Math" w:hAnsi="Cambria Math" w:cs="Times New Roman"/>
            <w:szCs w:val="24"/>
          </w:rPr>
          <m:t>=</m:t>
        </m:r>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r>
          <m:rPr/>
          <w:rPr>
            <w:rFonts w:ascii="Cambria Math" w:hAnsi="Cambria Math" w:cs="Times New Roman"/>
            <w:szCs w:val="24"/>
          </w:rPr>
          <m:t>(1−</m:t>
        </m:r>
        <m:sSup>
          <m:sSupPr>
            <m:ctrlPr>
              <w:rPr>
                <w:rFonts w:ascii="Cambria Math" w:hAnsi="Cambria Math" w:cs="Times New Roman"/>
                <w:i/>
                <w:szCs w:val="24"/>
              </w:rPr>
            </m:ctrlPr>
          </m:sSupPr>
          <m:e>
            <m:r>
              <m:rPr/>
              <w:rPr>
                <w:rFonts w:ascii="Cambria Math" w:hAnsi="Cambria Math" w:cs="Times New Roman"/>
                <w:szCs w:val="24"/>
              </w:rPr>
              <m:t>e</m:t>
            </m:r>
            <m:ctrlPr>
              <w:rPr>
                <w:rFonts w:ascii="Cambria Math" w:hAnsi="Cambria Math" w:cs="Times New Roman"/>
                <w:i/>
                <w:szCs w:val="24"/>
              </w:rPr>
            </m:ctrlPr>
          </m:e>
          <m:sup>
            <m:r>
              <m:rPr/>
              <w:rPr>
                <w:rFonts w:ascii="Cambria Math" w:hAnsi="Cambria Math" w:cs="Times New Roman"/>
                <w:szCs w:val="24"/>
              </w:rPr>
              <m:t>−</m:t>
            </m:r>
            <m:sSub>
              <m:sSubPr>
                <m:ctrlPr>
                  <w:rPr>
                    <w:rFonts w:ascii="Cambria Math" w:hAnsi="Cambria Math" w:cs="Times New Roman"/>
                    <w:i/>
                    <w:szCs w:val="24"/>
                  </w:rPr>
                </m:ctrlPr>
              </m:sSubPr>
              <m:e>
                <m:r>
                  <m:rPr/>
                  <w:rPr>
                    <w:rFonts w:ascii="Cambria Math" w:hAnsi="Cambria Math" w:cs="Times New Roman"/>
                    <w:szCs w:val="24"/>
                  </w:rPr>
                  <m:t>k</m:t>
                </m:r>
                <m:ctrlPr>
                  <w:rPr>
                    <w:rFonts w:ascii="Cambria Math" w:hAnsi="Cambria Math" w:cs="Times New Roman"/>
                    <w:i/>
                    <w:szCs w:val="24"/>
                  </w:rPr>
                </m:ctrlPr>
              </m:e>
              <m:sub>
                <m:r>
                  <m:rPr/>
                  <w:rPr>
                    <w:rFonts w:ascii="Cambria Math" w:hAnsi="Cambria Math" w:cs="Times New Roman"/>
                    <w:szCs w:val="24"/>
                  </w:rPr>
                  <m:t>1</m:t>
                </m:r>
                <m:ctrlPr>
                  <w:rPr>
                    <w:rFonts w:ascii="Cambria Math" w:hAnsi="Cambria Math" w:cs="Times New Roman"/>
                    <w:i/>
                    <w:szCs w:val="24"/>
                  </w:rPr>
                </m:ctrlPr>
              </m:sub>
            </m:sSub>
            <m:r>
              <m:rPr/>
              <w:rPr>
                <w:rFonts w:ascii="Cambria Math" w:hAnsi="Cambria Math" w:cs="Times New Roman"/>
                <w:szCs w:val="24"/>
              </w:rPr>
              <m:t>t</m:t>
            </m:r>
            <m:ctrlPr>
              <w:rPr>
                <w:rFonts w:ascii="Cambria Math" w:hAnsi="Cambria Math" w:cs="Times New Roman"/>
                <w:i/>
                <w:szCs w:val="24"/>
              </w:rPr>
            </m:ctrlPr>
          </m:sup>
        </m:sSup>
        <m:r>
          <m:rPr/>
          <w:rPr>
            <w:rFonts w:ascii="Cambria Math" w:hAnsi="Cambria Math" w:cs="Times New Roman"/>
            <w:szCs w:val="24"/>
          </w:rPr>
          <m:t>)</m:t>
        </m:r>
      </m:oMath>
      <w:r>
        <w:rPr>
          <w:rFonts w:cs="Times New Roman"/>
          <w:szCs w:val="24"/>
        </w:rPr>
        <w:tab/>
      </w:r>
      <w:r>
        <w:rPr>
          <w:rFonts w:cs="Times New Roman"/>
          <w:szCs w:val="24"/>
        </w:rPr>
        <w:t>(1)</w:t>
      </w:r>
    </w:p>
    <w:p w14:paraId="5AA2B18D">
      <w:pPr>
        <w:ind w:firstLine="0" w:firstLineChars="0"/>
        <w:rPr>
          <w:rFonts w:cs="Times New Roman"/>
          <w:szCs w:val="24"/>
        </w:rPr>
      </w:pPr>
      <w:r>
        <w:rPr>
          <w:rFonts w:cs="Times New Roman"/>
          <w:szCs w:val="24"/>
        </w:rPr>
        <w:t xml:space="preserve">Pseudo-second-order model: </w:t>
      </w:r>
    </w:p>
    <w:p w14:paraId="2E825B65">
      <w:pPr>
        <w:tabs>
          <w:tab w:val="left" w:pos="8820"/>
        </w:tabs>
        <w:ind w:firstLine="480"/>
        <w:rPr>
          <w:rFonts w:cs="Times New Roman"/>
          <w:szCs w:val="24"/>
        </w:rPr>
      </w:pPr>
      <m:oMath>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t</m:t>
            </m:r>
            <m:ctrlPr>
              <w:rPr>
                <w:rFonts w:ascii="Cambria Math" w:hAnsi="Cambria Math" w:cs="Times New Roman"/>
                <w:i/>
                <w:szCs w:val="24"/>
              </w:rPr>
            </m:ctrlPr>
          </m:sub>
        </m:sSub>
        <m:r>
          <m:rP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ctrlPr>
                  <w:rPr>
                    <w:rFonts w:ascii="Cambria Math" w:hAnsi="Cambria Math" w:cs="Times New Roman"/>
                    <w:i/>
                    <w:szCs w:val="24"/>
                  </w:rPr>
                </m:ctrlPr>
              </m:e>
              <m:sup>
                <m:r>
                  <m:rPr/>
                  <w:rPr>
                    <w:rFonts w:ascii="Cambria Math" w:hAnsi="Cambria Math" w:cs="Times New Roman"/>
                    <w:szCs w:val="24"/>
                  </w:rPr>
                  <m:t>2</m:t>
                </m:r>
                <m:ctrlPr>
                  <w:rPr>
                    <w:rFonts w:ascii="Cambria Math" w:hAnsi="Cambria Math" w:cs="Times New Roman"/>
                    <w:i/>
                    <w:szCs w:val="24"/>
                  </w:rPr>
                </m:ctrlPr>
              </m:sup>
            </m:sSup>
            <m:sSub>
              <m:sSubPr>
                <m:ctrlPr>
                  <w:rPr>
                    <w:rFonts w:ascii="Cambria Math" w:hAnsi="Cambria Math" w:cs="Times New Roman"/>
                    <w:i/>
                    <w:szCs w:val="24"/>
                  </w:rPr>
                </m:ctrlPr>
              </m:sSubPr>
              <m:e>
                <m:r>
                  <m:rPr/>
                  <w:rPr>
                    <w:rFonts w:ascii="Cambria Math" w:hAnsi="Cambria Math" w:cs="Times New Roman"/>
                    <w:szCs w:val="24"/>
                  </w:rPr>
                  <m:t>k</m:t>
                </m:r>
                <m:ctrlPr>
                  <w:rPr>
                    <w:rFonts w:ascii="Cambria Math" w:hAnsi="Cambria Math" w:cs="Times New Roman"/>
                    <w:i/>
                    <w:szCs w:val="24"/>
                  </w:rPr>
                </m:ctrlPr>
              </m:e>
              <m:sub>
                <m:r>
                  <m:rPr/>
                  <w:rPr>
                    <w:rFonts w:ascii="Cambria Math" w:hAnsi="Cambria Math" w:cs="Times New Roman"/>
                    <w:szCs w:val="24"/>
                  </w:rPr>
                  <m:t>2</m:t>
                </m:r>
                <m:ctrlPr>
                  <w:rPr>
                    <w:rFonts w:ascii="Cambria Math" w:hAnsi="Cambria Math" w:cs="Times New Roman"/>
                    <w:i/>
                    <w:szCs w:val="24"/>
                  </w:rPr>
                </m:ctrlPr>
              </m:sub>
            </m:sSub>
            <m:r>
              <m:rPr/>
              <w:rPr>
                <w:rFonts w:ascii="Cambria Math" w:hAnsi="Cambria Math" w:cs="Times New Roman"/>
                <w:szCs w:val="24"/>
              </w:rPr>
              <m:t>t</m:t>
            </m:r>
            <m:ctrlPr>
              <w:rPr>
                <w:rFonts w:ascii="Cambria Math" w:hAnsi="Cambria Math" w:cs="Times New Roman"/>
                <w:i/>
                <w:szCs w:val="24"/>
              </w:rPr>
            </m:ctrlPr>
          </m:num>
          <m:den>
            <m:r>
              <m:rPr/>
              <w:rPr>
                <w:rFonts w:ascii="Cambria Math" w:hAnsi="Cambria Math" w:cs="Times New Roman"/>
                <w:szCs w:val="24"/>
              </w:rPr>
              <m:t>1+</m:t>
            </m:r>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sSub>
              <m:sSubPr>
                <m:ctrlPr>
                  <w:rPr>
                    <w:rFonts w:ascii="Cambria Math" w:hAnsi="Cambria Math" w:cs="Times New Roman"/>
                    <w:i/>
                    <w:szCs w:val="24"/>
                  </w:rPr>
                </m:ctrlPr>
              </m:sSubPr>
              <m:e>
                <m:r>
                  <m:rPr/>
                  <w:rPr>
                    <w:rFonts w:ascii="Cambria Math" w:hAnsi="Cambria Math" w:cs="Times New Roman"/>
                    <w:szCs w:val="24"/>
                  </w:rPr>
                  <m:t>k</m:t>
                </m:r>
                <m:ctrlPr>
                  <w:rPr>
                    <w:rFonts w:ascii="Cambria Math" w:hAnsi="Cambria Math" w:cs="Times New Roman"/>
                    <w:i/>
                    <w:szCs w:val="24"/>
                  </w:rPr>
                </m:ctrlPr>
              </m:e>
              <m:sub>
                <m:r>
                  <m:rPr/>
                  <w:rPr>
                    <w:rFonts w:ascii="Cambria Math" w:hAnsi="Cambria Math" w:cs="Times New Roman"/>
                    <w:szCs w:val="24"/>
                  </w:rPr>
                  <m:t>2</m:t>
                </m:r>
                <m:ctrlPr>
                  <w:rPr>
                    <w:rFonts w:ascii="Cambria Math" w:hAnsi="Cambria Math" w:cs="Times New Roman"/>
                    <w:i/>
                    <w:szCs w:val="24"/>
                  </w:rPr>
                </m:ctrlPr>
              </m:sub>
            </m:sSub>
            <m:r>
              <m:rPr/>
              <w:rPr>
                <w:rFonts w:ascii="Cambria Math" w:hAnsi="Cambria Math" w:cs="Times New Roman"/>
                <w:szCs w:val="24"/>
              </w:rPr>
              <m:t>t</m:t>
            </m:r>
            <m:ctrlPr>
              <w:rPr>
                <w:rFonts w:ascii="Cambria Math" w:hAnsi="Cambria Math" w:cs="Times New Roman"/>
                <w:i/>
                <w:szCs w:val="24"/>
              </w:rPr>
            </m:ctrlPr>
          </m:den>
        </m:f>
      </m:oMath>
      <w:r>
        <w:rPr>
          <w:rFonts w:cs="Times New Roman"/>
          <w:szCs w:val="24"/>
        </w:rPr>
        <w:tab/>
      </w:r>
      <w:r>
        <w:rPr>
          <w:rFonts w:cs="Times New Roman"/>
          <w:szCs w:val="24"/>
        </w:rPr>
        <w:t>(2)</w:t>
      </w:r>
    </w:p>
    <w:p w14:paraId="59F8FE1E">
      <w:pPr>
        <w:ind w:firstLine="0" w:firstLineChars="0"/>
        <w:rPr>
          <w:rFonts w:cs="Times New Roman"/>
          <w:szCs w:val="24"/>
        </w:rPr>
      </w:pPr>
      <w:r>
        <w:rPr>
          <w:rFonts w:cs="Times New Roman"/>
          <w:szCs w:val="24"/>
        </w:rPr>
        <w:t xml:space="preserve">Elovich </w:t>
      </w:r>
      <w:r>
        <w:rPr>
          <w:rFonts w:hint="eastAsia" w:cs="Times New Roman"/>
          <w:szCs w:val="24"/>
          <w:lang w:val="en-US" w:eastAsia="zh-CN"/>
        </w:rPr>
        <w:t>m</w:t>
      </w:r>
      <w:r>
        <w:rPr>
          <w:rFonts w:cs="Times New Roman"/>
          <w:szCs w:val="24"/>
        </w:rPr>
        <w:t>odel:</w:t>
      </w:r>
    </w:p>
    <w:p w14:paraId="4039A93A">
      <w:pPr>
        <w:tabs>
          <w:tab w:val="left" w:pos="8820"/>
        </w:tabs>
        <w:ind w:firstLine="480"/>
        <w:rPr>
          <w:rFonts w:cs="Times New Roman"/>
          <w:szCs w:val="24"/>
        </w:rPr>
      </w:pPr>
      <m:oMath>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r>
          <m:rPr/>
          <w:rPr>
            <w:rFonts w:ascii="Cambria Math" w:hAnsi="Cambria Math" w:cs="Times New Roman"/>
            <w:szCs w:val="24"/>
          </w:rPr>
          <m:t>=</m:t>
        </m:r>
        <m:f>
          <m:fPr>
            <m:ctrlPr>
              <w:rPr>
                <w:rFonts w:ascii="Cambria Math" w:hAnsi="Cambria Math" w:cs="Times New Roman"/>
                <w:i/>
                <w:szCs w:val="24"/>
              </w:rPr>
            </m:ctrlPr>
          </m:fPr>
          <m:num>
            <m:r>
              <m:rPr/>
              <w:rPr>
                <w:rFonts w:ascii="Cambria Math" w:hAnsi="Cambria Math" w:cs="Times New Roman"/>
                <w:szCs w:val="24"/>
              </w:rPr>
              <m:t>1</m:t>
            </m:r>
            <m:ctrlPr>
              <w:rPr>
                <w:rFonts w:ascii="Cambria Math" w:hAnsi="Cambria Math" w:cs="Times New Roman"/>
                <w:i/>
                <w:szCs w:val="24"/>
              </w:rPr>
            </m:ctrlPr>
          </m:num>
          <m:den>
            <m:r>
              <m:rPr/>
              <w:rPr>
                <w:rFonts w:ascii="Cambria Math" w:hAnsi="Cambria Math" w:cs="Times New Roman"/>
                <w:szCs w:val="24"/>
              </w:rPr>
              <m:t>β</m:t>
            </m:r>
            <m:ctrlPr>
              <w:rPr>
                <w:rFonts w:ascii="Cambria Math" w:hAnsi="Cambria Math" w:cs="Times New Roman"/>
                <w:i/>
                <w:szCs w:val="24"/>
              </w:rPr>
            </m:ctrlPr>
          </m:den>
        </m:f>
        <m:r>
          <m:rPr>
            <m:sty m:val="p"/>
          </m:rPr>
          <w:rPr>
            <w:rFonts w:ascii="Cambria Math" w:hAnsi="Cambria Math" w:cs="Times New Roman"/>
            <w:szCs w:val="24"/>
          </w:rPr>
          <m:t>ln⁡</m:t>
        </m:r>
        <m:r>
          <m:rPr/>
          <w:rPr>
            <w:rFonts w:ascii="Cambria Math" w:hAnsi="Cambria Math" w:cs="Times New Roman"/>
            <w:szCs w:val="24"/>
          </w:rPr>
          <m:t>(1+αβt)</m:t>
        </m:r>
      </m:oMath>
      <w:r>
        <w:rPr>
          <w:rFonts w:cs="Times New Roman"/>
          <w:szCs w:val="24"/>
        </w:rPr>
        <w:tab/>
      </w:r>
      <w:r>
        <w:rPr>
          <w:rFonts w:cs="Times New Roman"/>
          <w:szCs w:val="24"/>
        </w:rPr>
        <w:t>(3)</w:t>
      </w:r>
    </w:p>
    <w:p w14:paraId="7F1DF839">
      <w:pPr>
        <w:ind w:firstLine="0" w:firstLineChars="0"/>
        <w:rPr>
          <w:rFonts w:cs="Times New Roman"/>
          <w:szCs w:val="24"/>
        </w:rPr>
      </w:pPr>
      <w:r>
        <w:rPr>
          <w:rFonts w:cs="Times New Roman"/>
          <w:szCs w:val="24"/>
        </w:rPr>
        <w:t>Intra-particle diffusion model:</w:t>
      </w:r>
    </w:p>
    <w:p w14:paraId="3BC8A0F6">
      <w:pPr>
        <w:tabs>
          <w:tab w:val="left" w:pos="8820"/>
        </w:tabs>
        <w:ind w:firstLine="480"/>
        <w:rPr>
          <w:rFonts w:cs="Times New Roman"/>
          <w:szCs w:val="24"/>
        </w:rPr>
      </w:pPr>
      <m:oMath>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t</m:t>
            </m:r>
            <m:ctrlPr>
              <w:rPr>
                <w:rFonts w:ascii="Cambria Math" w:hAnsi="Cambria Math" w:cs="Times New Roman"/>
                <w:i/>
                <w:szCs w:val="24"/>
              </w:rPr>
            </m:ctrlPr>
          </m:sub>
        </m:sSub>
        <m:r>
          <m:rPr/>
          <w:rPr>
            <w:rFonts w:ascii="Cambria Math" w:hAnsi="Cambria Math" w:cs="Times New Roman"/>
            <w:szCs w:val="24"/>
          </w:rPr>
          <m:t>=</m:t>
        </m:r>
        <m:sSub>
          <m:sSubPr>
            <m:ctrlPr>
              <w:rPr>
                <w:rFonts w:ascii="Cambria Math" w:hAnsi="Cambria Math" w:cs="Times New Roman"/>
                <w:i/>
                <w:szCs w:val="24"/>
              </w:rPr>
            </m:ctrlPr>
          </m:sSubPr>
          <m:e>
            <m:r>
              <m:rPr/>
              <w:rPr>
                <w:rFonts w:ascii="Cambria Math" w:hAnsi="Cambria Math" w:cs="Times New Roman"/>
                <w:szCs w:val="24"/>
              </w:rPr>
              <m:t>K</m:t>
            </m:r>
            <m:ctrlPr>
              <w:rPr>
                <w:rFonts w:ascii="Cambria Math" w:hAnsi="Cambria Math" w:cs="Times New Roman"/>
                <w:i/>
                <w:szCs w:val="24"/>
              </w:rPr>
            </m:ctrlPr>
          </m:e>
          <m:sub>
            <m:r>
              <m:rPr/>
              <w:rPr>
                <w:rFonts w:ascii="Cambria Math" w:hAnsi="Cambria Math" w:cs="Times New Roman"/>
                <w:szCs w:val="24"/>
              </w:rPr>
              <m:t>id</m:t>
            </m:r>
            <m:ctrlPr>
              <w:rPr>
                <w:rFonts w:ascii="Cambria Math" w:hAnsi="Cambria Math" w:cs="Times New Roman"/>
                <w:i/>
                <w:szCs w:val="24"/>
              </w:rPr>
            </m:ctrlPr>
          </m:sub>
        </m:sSub>
        <m:sSup>
          <m:sSupPr>
            <m:ctrlPr>
              <w:rPr>
                <w:rFonts w:ascii="Cambria Math" w:hAnsi="Cambria Math" w:cs="Times New Roman"/>
                <w:i/>
                <w:szCs w:val="24"/>
              </w:rPr>
            </m:ctrlPr>
          </m:sSupPr>
          <m:e>
            <m:r>
              <m:rPr/>
              <w:rPr>
                <w:rFonts w:ascii="Cambria Math" w:hAnsi="Cambria Math" w:cs="Times New Roman"/>
                <w:szCs w:val="24"/>
              </w:rPr>
              <m:t>t</m:t>
            </m:r>
            <m:ctrlPr>
              <w:rPr>
                <w:rFonts w:ascii="Cambria Math" w:hAnsi="Cambria Math" w:cs="Times New Roman"/>
                <w:i/>
                <w:szCs w:val="24"/>
              </w:rPr>
            </m:ctrlPr>
          </m:e>
          <m:sup>
            <m:r>
              <m:rPr/>
              <w:rPr>
                <w:rFonts w:ascii="Cambria Math" w:hAnsi="Cambria Math" w:cs="Times New Roman"/>
                <w:szCs w:val="24"/>
              </w:rPr>
              <m:t>0.5</m:t>
            </m:r>
            <m:ctrlPr>
              <w:rPr>
                <w:rFonts w:ascii="Cambria Math" w:hAnsi="Cambria Math" w:cs="Times New Roman"/>
                <w:i/>
                <w:szCs w:val="24"/>
              </w:rPr>
            </m:ctrlPr>
          </m:sup>
        </m:sSup>
        <m:r>
          <m:rPr/>
          <w:rPr>
            <w:rFonts w:ascii="Cambria Math" w:hAnsi="Cambria Math" w:cs="Times New Roman"/>
            <w:szCs w:val="24"/>
          </w:rPr>
          <m:t>+C</m:t>
        </m:r>
      </m:oMath>
      <w:r>
        <w:rPr>
          <w:rFonts w:cs="Times New Roman"/>
          <w:szCs w:val="24"/>
        </w:rPr>
        <w:tab/>
      </w:r>
      <w:r>
        <w:rPr>
          <w:rFonts w:cs="Times New Roman"/>
          <w:szCs w:val="24"/>
        </w:rPr>
        <w:t>(4)</w:t>
      </w:r>
    </w:p>
    <w:p w14:paraId="1AD3D9C2">
      <w:pPr>
        <w:ind w:firstLine="0" w:firstLineChars="0"/>
        <w:rPr>
          <w:rFonts w:cs="Times New Roman"/>
          <w:szCs w:val="24"/>
        </w:rPr>
      </w:pPr>
      <w:r>
        <w:rPr>
          <w:rFonts w:cs="Times New Roman"/>
          <w:szCs w:val="24"/>
        </w:rPr>
        <w:t xml:space="preserve">where </w:t>
      </w:r>
      <w:r>
        <w:rPr>
          <w:rFonts w:cs="Times New Roman"/>
          <w:i/>
          <w:iCs/>
          <w:szCs w:val="24"/>
        </w:rPr>
        <w:t>q</w:t>
      </w:r>
      <w:r>
        <w:rPr>
          <w:rFonts w:cs="Times New Roman"/>
          <w:i/>
          <w:iCs/>
          <w:szCs w:val="24"/>
          <w:vertAlign w:val="subscript"/>
        </w:rPr>
        <w:t>e</w:t>
      </w:r>
      <w:r>
        <w:rPr>
          <w:rFonts w:cs="Times New Roman"/>
          <w:szCs w:val="24"/>
        </w:rPr>
        <w:t xml:space="preserve"> (μg·g</w:t>
      </w:r>
      <w:r>
        <w:rPr>
          <w:rFonts w:cs="Times New Roman"/>
        </w:rPr>
        <w:t>⁻</w:t>
      </w:r>
      <w:r>
        <w:rPr>
          <w:rFonts w:cs="Times New Roman"/>
          <w:szCs w:val="24"/>
          <w:vertAlign w:val="superscript"/>
        </w:rPr>
        <w:t>1</w:t>
      </w:r>
      <w:r>
        <w:rPr>
          <w:rFonts w:cs="Times New Roman"/>
          <w:szCs w:val="24"/>
        </w:rPr>
        <w:t xml:space="preserve">), </w:t>
      </w:r>
      <w:r>
        <w:rPr>
          <w:rFonts w:cs="Times New Roman"/>
          <w:i/>
          <w:iCs/>
          <w:szCs w:val="24"/>
        </w:rPr>
        <w:t>q</w:t>
      </w:r>
      <w:r>
        <w:rPr>
          <w:rFonts w:cs="Times New Roman"/>
          <w:i/>
          <w:iCs/>
          <w:szCs w:val="24"/>
          <w:vertAlign w:val="subscript"/>
        </w:rPr>
        <w:t>t</w:t>
      </w:r>
      <w:r>
        <w:rPr>
          <w:rFonts w:cs="Times New Roman"/>
          <w:szCs w:val="24"/>
        </w:rPr>
        <w:t xml:space="preserve"> (μg·g</w:t>
      </w:r>
      <w:r>
        <w:rPr>
          <w:rFonts w:cs="Times New Roman"/>
        </w:rPr>
        <w:t>⁻</w:t>
      </w:r>
      <w:r>
        <w:rPr>
          <w:rFonts w:cs="Times New Roman"/>
          <w:szCs w:val="24"/>
          <w:vertAlign w:val="superscript"/>
        </w:rPr>
        <w:t>1</w:t>
      </w:r>
      <w:r>
        <w:rPr>
          <w:rFonts w:cs="Times New Roman"/>
          <w:szCs w:val="24"/>
        </w:rPr>
        <w:t xml:space="preserve">), and </w:t>
      </w:r>
      <w:r>
        <w:rPr>
          <w:rFonts w:cs="Times New Roman"/>
          <w:i/>
          <w:iCs/>
          <w:szCs w:val="24"/>
        </w:rPr>
        <w:t>q</w:t>
      </w:r>
      <w:r>
        <w:rPr>
          <w:rFonts w:cs="Times New Roman"/>
          <w:i/>
          <w:iCs/>
          <w:szCs w:val="24"/>
          <w:vertAlign w:val="subscript"/>
        </w:rPr>
        <w:t>e</w:t>
      </w:r>
      <w:r>
        <w:rPr>
          <w:rFonts w:cs="Times New Roman"/>
          <w:i/>
          <w:iCs/>
          <w:szCs w:val="24"/>
        </w:rPr>
        <w:t xml:space="preserve">' </w:t>
      </w:r>
      <w:r>
        <w:rPr>
          <w:rFonts w:cs="Times New Roman"/>
          <w:szCs w:val="24"/>
        </w:rPr>
        <w:t>(μg·g</w:t>
      </w:r>
      <w:r>
        <w:rPr>
          <w:rFonts w:cs="Times New Roman"/>
        </w:rPr>
        <w:t>⁻</w:t>
      </w:r>
      <w:r>
        <w:rPr>
          <w:rFonts w:cs="Times New Roman"/>
          <w:szCs w:val="24"/>
          <w:vertAlign w:val="superscript"/>
        </w:rPr>
        <w:t>1</w:t>
      </w:r>
      <w:r>
        <w:rPr>
          <w:rFonts w:cs="Times New Roman"/>
          <w:szCs w:val="24"/>
        </w:rPr>
        <w:t xml:space="preserve">) are the sorption capacity at equilibrium time and at time </w:t>
      </w:r>
      <w:r>
        <w:rPr>
          <w:rFonts w:cs="Times New Roman"/>
          <w:i/>
          <w:iCs/>
          <w:szCs w:val="24"/>
        </w:rPr>
        <w:t>t</w:t>
      </w:r>
      <w:r>
        <w:rPr>
          <w:rFonts w:hint="eastAsia" w:cs="Times New Roman"/>
          <w:szCs w:val="24"/>
          <w:lang w:val="en-US" w:eastAsia="zh-CN"/>
        </w:rPr>
        <w:t xml:space="preserve">, </w:t>
      </w:r>
      <w:r>
        <w:rPr>
          <w:rFonts w:cs="Times New Roman"/>
          <w:szCs w:val="24"/>
        </w:rPr>
        <w:t xml:space="preserve">respectively, </w:t>
      </w:r>
      <w:r>
        <w:rPr>
          <w:rFonts w:cs="Times New Roman"/>
          <w:i/>
          <w:iCs/>
          <w:szCs w:val="24"/>
        </w:rPr>
        <w:t>k</w:t>
      </w:r>
      <w:r>
        <w:rPr>
          <w:rFonts w:cs="Times New Roman"/>
          <w:i/>
          <w:iCs/>
          <w:szCs w:val="24"/>
          <w:vertAlign w:val="subscript"/>
        </w:rPr>
        <w:t>1</w:t>
      </w:r>
      <w:r>
        <w:rPr>
          <w:rFonts w:cs="Times New Roman"/>
          <w:szCs w:val="24"/>
        </w:rPr>
        <w:t xml:space="preserve"> (h</w:t>
      </w:r>
      <w:r>
        <w:rPr>
          <w:rFonts w:cs="Times New Roman"/>
          <w:szCs w:val="24"/>
          <w:vertAlign w:val="superscript"/>
        </w:rPr>
        <w:t>−1</w:t>
      </w:r>
      <w:r>
        <w:rPr>
          <w:rFonts w:cs="Times New Roman"/>
          <w:szCs w:val="24"/>
        </w:rPr>
        <w:t xml:space="preserve">) is the pseudo-first-order rate constant, </w:t>
      </w:r>
      <w:r>
        <w:rPr>
          <w:rFonts w:cs="Times New Roman"/>
          <w:i/>
          <w:iCs/>
          <w:szCs w:val="24"/>
        </w:rPr>
        <w:t>k</w:t>
      </w:r>
      <w:r>
        <w:rPr>
          <w:rFonts w:cs="Times New Roman"/>
          <w:i/>
          <w:iCs/>
          <w:szCs w:val="24"/>
          <w:vertAlign w:val="subscript"/>
        </w:rPr>
        <w:t>2</w:t>
      </w:r>
      <w:r>
        <w:rPr>
          <w:rFonts w:cs="Times New Roman"/>
          <w:szCs w:val="24"/>
        </w:rPr>
        <w:t xml:space="preserve"> (g·μg</w:t>
      </w:r>
      <w:r>
        <w:rPr>
          <w:rFonts w:cs="Times New Roman"/>
        </w:rPr>
        <w:t>⁻</w:t>
      </w:r>
      <w:r>
        <w:rPr>
          <w:rFonts w:cs="Times New Roman"/>
          <w:szCs w:val="24"/>
          <w:vertAlign w:val="superscript"/>
        </w:rPr>
        <w:t>1</w:t>
      </w:r>
      <w:r>
        <w:rPr>
          <w:rFonts w:cs="Times New Roman"/>
          <w:szCs w:val="24"/>
        </w:rPr>
        <w:t xml:space="preserve">·h) is the pseudo-second-order rate constant, </w:t>
      </w:r>
      <w:r>
        <w:rPr>
          <w:rFonts w:cs="Times New Roman"/>
          <w:i/>
          <w:iCs/>
          <w:szCs w:val="24"/>
        </w:rPr>
        <w:t>k</w:t>
      </w:r>
      <w:r>
        <w:rPr>
          <w:rFonts w:cs="Times New Roman"/>
          <w:i w:val="0"/>
          <w:iCs w:val="0"/>
          <w:szCs w:val="24"/>
          <w:vertAlign w:val="subscript"/>
        </w:rPr>
        <w:t>id</w:t>
      </w:r>
      <w:r>
        <w:rPr>
          <w:rFonts w:cs="Times New Roman"/>
          <w:szCs w:val="24"/>
        </w:rPr>
        <w:t xml:space="preserve"> (μg·g</w:t>
      </w:r>
      <w:r>
        <w:rPr>
          <w:rFonts w:cs="Times New Roman"/>
        </w:rPr>
        <w:t>⁻</w:t>
      </w:r>
      <w:r>
        <w:rPr>
          <w:rFonts w:cs="Times New Roman"/>
          <w:szCs w:val="24"/>
          <w:vertAlign w:val="superscript"/>
        </w:rPr>
        <w:t>1</w:t>
      </w:r>
      <w:r>
        <w:rPr>
          <w:rFonts w:cs="Times New Roman"/>
          <w:szCs w:val="24"/>
        </w:rPr>
        <w:t>·h</w:t>
      </w:r>
      <w:r>
        <w:rPr>
          <w:rFonts w:cs="Times New Roman"/>
          <w:szCs w:val="24"/>
          <w:vertAlign w:val="superscript"/>
        </w:rPr>
        <w:t>1/2</w:t>
      </w:r>
      <w:r>
        <w:rPr>
          <w:rFonts w:cs="Times New Roman"/>
          <w:szCs w:val="24"/>
        </w:rPr>
        <w:t xml:space="preserve">) is the intraparticle diffusion rate constant. </w:t>
      </w:r>
      <w:r>
        <w:rPr>
          <w:rFonts w:cs="Times New Roman"/>
          <w:i/>
          <w:iCs/>
          <w:szCs w:val="24"/>
        </w:rPr>
        <w:t>α</w:t>
      </w:r>
      <w:r>
        <w:rPr>
          <w:rFonts w:cs="Times New Roman"/>
          <w:szCs w:val="24"/>
        </w:rPr>
        <w:t xml:space="preserve"> is initial sorption rate in the Elovich model (μg·g</w:t>
      </w:r>
      <w:r>
        <w:rPr>
          <w:rFonts w:cs="Times New Roman"/>
          <w:szCs w:val="24"/>
          <w:vertAlign w:val="superscript"/>
        </w:rPr>
        <w:t>−1</w:t>
      </w:r>
      <w:r>
        <w:rPr>
          <w:rFonts w:cs="Times New Roman"/>
          <w:szCs w:val="24"/>
        </w:rPr>
        <w:t>s</w:t>
      </w:r>
      <w:r>
        <w:rPr>
          <w:rFonts w:cs="Times New Roman"/>
          <w:szCs w:val="24"/>
          <w:vertAlign w:val="superscript"/>
        </w:rPr>
        <w:t>−1</w:t>
      </w:r>
      <w:r>
        <w:rPr>
          <w:rFonts w:cs="Times New Roman"/>
          <w:szCs w:val="24"/>
        </w:rPr>
        <w:t xml:space="preserve">) and </w:t>
      </w:r>
      <w:r>
        <w:rPr>
          <w:rFonts w:cs="Times New Roman"/>
          <w:i/>
          <w:iCs/>
          <w:szCs w:val="24"/>
        </w:rPr>
        <w:t>β</w:t>
      </w:r>
      <w:r>
        <w:rPr>
          <w:rFonts w:cs="Times New Roman"/>
          <w:szCs w:val="24"/>
        </w:rPr>
        <w:t xml:space="preserve"> constant related to the extent of surface coverage and activation energy for chemisorption in the Elovich model (g·mg</w:t>
      </w:r>
      <w:r>
        <w:rPr>
          <w:rFonts w:cs="Times New Roman"/>
          <w:szCs w:val="24"/>
          <w:vertAlign w:val="superscript"/>
        </w:rPr>
        <w:t>−1</w:t>
      </w:r>
      <w:r>
        <w:rPr>
          <w:rFonts w:cs="Times New Roman"/>
          <w:szCs w:val="24"/>
        </w:rPr>
        <w:t xml:space="preserve">). </w:t>
      </w:r>
      <w:r>
        <w:rPr>
          <w:rFonts w:cs="Times New Roman"/>
          <w:i/>
          <w:iCs/>
          <w:szCs w:val="24"/>
        </w:rPr>
        <w:t>C</w:t>
      </w:r>
      <w:r>
        <w:rPr>
          <w:rFonts w:cs="Times New Roman"/>
          <w:szCs w:val="24"/>
        </w:rPr>
        <w:t xml:space="preserve"> is the intercept. </w:t>
      </w:r>
    </w:p>
    <w:p w14:paraId="4C559987">
      <w:pPr>
        <w:ind w:firstLine="480"/>
        <w:rPr>
          <w:rFonts w:cs="Times New Roman"/>
          <w:szCs w:val="24"/>
        </w:rPr>
      </w:pPr>
      <w:r>
        <w:rPr>
          <w:rFonts w:cs="Times New Roman"/>
          <w:szCs w:val="24"/>
        </w:rPr>
        <w:t>Adsorption isotherms were fitted by the Langmuir model (LM), Freundlich model (FM) and Dubinin-Radushkevich (DRM) isotherm model, respectively. They could be expressed as follows:</w:t>
      </w:r>
    </w:p>
    <w:p w14:paraId="0AEFB6C6">
      <w:pPr>
        <w:ind w:firstLine="0" w:firstLineChars="0"/>
        <w:rPr>
          <w:rFonts w:cs="Times New Roman"/>
          <w:szCs w:val="24"/>
        </w:rPr>
      </w:pPr>
      <w:r>
        <w:rPr>
          <w:rFonts w:cs="Times New Roman"/>
          <w:szCs w:val="24"/>
        </w:rPr>
        <w:t xml:space="preserve">LM: </w:t>
      </w:r>
    </w:p>
    <w:p w14:paraId="29437E88">
      <w:pPr>
        <w:tabs>
          <w:tab w:val="left" w:pos="8820"/>
        </w:tabs>
        <w:ind w:firstLine="480"/>
        <w:rPr>
          <w:rFonts w:cs="Times New Roman"/>
          <w:szCs w:val="24"/>
        </w:rPr>
      </w:pPr>
      <m:oMath>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r>
          <m:rP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0</m:t>
                </m:r>
                <m:ctrlPr>
                  <w:rPr>
                    <w:rFonts w:ascii="Cambria Math" w:hAnsi="Cambria Math" w:cs="Times New Roman"/>
                    <w:i/>
                    <w:szCs w:val="24"/>
                  </w:rPr>
                </m:ctrlPr>
              </m:sub>
            </m:sSub>
            <m:sSub>
              <m:sSubPr>
                <m:ctrlPr>
                  <w:rPr>
                    <w:rFonts w:ascii="Cambria Math" w:hAnsi="Cambria Math" w:cs="Times New Roman"/>
                    <w:i/>
                    <w:szCs w:val="24"/>
                  </w:rPr>
                </m:ctrlPr>
              </m:sSubPr>
              <m:e>
                <m:r>
                  <m:rPr/>
                  <w:rPr>
                    <w:rFonts w:ascii="Cambria Math" w:hAnsi="Cambria Math" w:cs="Times New Roman"/>
                    <w:szCs w:val="24"/>
                  </w:rPr>
                  <m:t>C</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ctrlPr>
              <w:rPr>
                <w:rFonts w:ascii="Cambria Math" w:hAnsi="Cambria Math" w:cs="Times New Roman"/>
                <w:i/>
                <w:szCs w:val="24"/>
              </w:rPr>
            </m:ctrlPr>
          </m:num>
          <m:den>
            <m:r>
              <m:rPr/>
              <w:rPr>
                <w:rFonts w:ascii="Cambria Math" w:hAnsi="Cambria Math" w:cs="Times New Roman"/>
                <w:szCs w:val="24"/>
              </w:rPr>
              <m:t>(</m:t>
            </m:r>
            <m:f>
              <m:fPr>
                <m:ctrlPr>
                  <w:rPr>
                    <w:rFonts w:ascii="Cambria Math" w:hAnsi="Cambria Math" w:cs="Times New Roman"/>
                    <w:i/>
                    <w:szCs w:val="24"/>
                  </w:rPr>
                </m:ctrlPr>
              </m:fPr>
              <m:num>
                <m:r>
                  <m:rPr/>
                  <w:rPr>
                    <w:rFonts w:ascii="Cambria Math" w:hAnsi="Cambria Math" w:cs="Times New Roman"/>
                    <w:szCs w:val="24"/>
                  </w:rPr>
                  <m:t>1</m:t>
                </m:r>
                <m:ctrlPr>
                  <w:rPr>
                    <w:rFonts w:ascii="Cambria Math" w:hAnsi="Cambria Math" w:cs="Times New Roman"/>
                    <w:i/>
                    <w:szCs w:val="24"/>
                  </w:rPr>
                </m:ctrlPr>
              </m:num>
              <m:den>
                <m:r>
                  <m:rPr/>
                  <w:rPr>
                    <w:rFonts w:ascii="Cambria Math" w:hAnsi="Cambria Math" w:cs="Times New Roman"/>
                    <w:szCs w:val="24"/>
                  </w:rPr>
                  <m:t>b</m:t>
                </m:r>
                <m:ctrlPr>
                  <w:rPr>
                    <w:rFonts w:ascii="Cambria Math" w:hAnsi="Cambria Math" w:cs="Times New Roman"/>
                    <w:i/>
                    <w:szCs w:val="24"/>
                  </w:rPr>
                </m:ctrlPr>
              </m:den>
            </m:f>
            <m:r>
              <m:rPr/>
              <w:rPr>
                <w:rFonts w:ascii="Cambria Math" w:hAnsi="Cambria Math" w:cs="Times New Roman"/>
                <w:szCs w:val="24"/>
              </w:rPr>
              <m:t>+</m:t>
            </m:r>
            <m:sSub>
              <m:sSubPr>
                <m:ctrlPr>
                  <w:rPr>
                    <w:rFonts w:ascii="Cambria Math" w:hAnsi="Cambria Math" w:cs="Times New Roman"/>
                    <w:i/>
                    <w:szCs w:val="24"/>
                  </w:rPr>
                </m:ctrlPr>
              </m:sSubPr>
              <m:e>
                <m:r>
                  <m:rPr/>
                  <w:rPr>
                    <w:rFonts w:ascii="Cambria Math" w:hAnsi="Cambria Math" w:cs="Times New Roman"/>
                    <w:szCs w:val="24"/>
                  </w:rPr>
                  <m:t>C</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r>
              <m:rPr/>
              <w:rPr>
                <w:rFonts w:ascii="Cambria Math" w:hAnsi="Cambria Math" w:cs="Times New Roman"/>
                <w:szCs w:val="24"/>
              </w:rPr>
              <m:t>)</m:t>
            </m:r>
            <m:ctrlPr>
              <w:rPr>
                <w:rFonts w:ascii="Cambria Math" w:hAnsi="Cambria Math" w:cs="Times New Roman"/>
                <w:i/>
                <w:szCs w:val="24"/>
              </w:rPr>
            </m:ctrlPr>
          </m:den>
        </m:f>
      </m:oMath>
      <w:r>
        <w:rPr>
          <w:rFonts w:cs="Times New Roman"/>
          <w:szCs w:val="24"/>
        </w:rPr>
        <w:tab/>
      </w:r>
      <w:r>
        <w:rPr>
          <w:rFonts w:cs="Times New Roman"/>
          <w:szCs w:val="24"/>
        </w:rPr>
        <w:t>(5)</w:t>
      </w:r>
    </w:p>
    <w:p w14:paraId="1D59EE84">
      <w:pPr>
        <w:tabs>
          <w:tab w:val="left" w:pos="8820"/>
        </w:tabs>
        <w:ind w:firstLine="480"/>
        <w:rPr>
          <w:rFonts w:cs="Times New Roman"/>
          <w:szCs w:val="24"/>
        </w:rPr>
      </w:pPr>
      <m:oMath>
        <m:sSub>
          <m:sSubPr>
            <m:ctrlPr>
              <w:rPr>
                <w:rFonts w:ascii="Cambria Math" w:hAnsi="Cambria Math" w:cs="Times New Roman"/>
                <w:i/>
                <w:szCs w:val="24"/>
              </w:rPr>
            </m:ctrlPr>
          </m:sSubPr>
          <m:e>
            <m:r>
              <m:rPr/>
              <w:rPr>
                <w:rFonts w:ascii="Cambria Math" w:hAnsi="Cambria Math" w:cs="Times New Roman"/>
                <w:szCs w:val="24"/>
              </w:rPr>
              <m:t>R</m:t>
            </m:r>
            <m:ctrlPr>
              <w:rPr>
                <w:rFonts w:ascii="Cambria Math" w:hAnsi="Cambria Math" w:cs="Times New Roman"/>
                <w:i/>
                <w:szCs w:val="24"/>
              </w:rPr>
            </m:ctrlPr>
          </m:e>
          <m:sub>
            <m:r>
              <m:rPr/>
              <w:rPr>
                <w:rFonts w:ascii="Cambria Math" w:hAnsi="Cambria Math" w:cs="Times New Roman"/>
                <w:szCs w:val="24"/>
              </w:rPr>
              <m:t>L</m:t>
            </m:r>
            <m:ctrlPr>
              <w:rPr>
                <w:rFonts w:ascii="Cambria Math" w:hAnsi="Cambria Math" w:cs="Times New Roman"/>
                <w:i/>
                <w:szCs w:val="24"/>
              </w:rPr>
            </m:ctrlPr>
          </m:sub>
        </m:sSub>
        <m:r>
          <m:rPr/>
          <w:rPr>
            <w:rFonts w:ascii="Cambria Math" w:hAnsi="Cambria Math" w:cs="Times New Roman"/>
            <w:szCs w:val="24"/>
          </w:rPr>
          <m:t>=</m:t>
        </m:r>
        <m:f>
          <m:fPr>
            <m:ctrlPr>
              <w:rPr>
                <w:rFonts w:ascii="Cambria Math" w:hAnsi="Cambria Math" w:cs="Times New Roman"/>
                <w:i/>
                <w:szCs w:val="24"/>
              </w:rPr>
            </m:ctrlPr>
          </m:fPr>
          <m:num>
            <m:r>
              <m:rPr/>
              <w:rPr>
                <w:rFonts w:ascii="Cambria Math" w:hAnsi="Cambria Math" w:cs="Times New Roman"/>
                <w:szCs w:val="24"/>
              </w:rPr>
              <m:t>1</m:t>
            </m:r>
            <m:ctrlPr>
              <w:rPr>
                <w:rFonts w:ascii="Cambria Math" w:hAnsi="Cambria Math" w:cs="Times New Roman"/>
                <w:i/>
                <w:szCs w:val="24"/>
              </w:rPr>
            </m:ctrlPr>
          </m:num>
          <m:den>
            <m:r>
              <m:rPr/>
              <w:rPr>
                <w:rFonts w:ascii="Cambria Math" w:hAnsi="Cambria Math" w:cs="Times New Roman"/>
                <w:szCs w:val="24"/>
              </w:rPr>
              <m:t>1+b</m:t>
            </m:r>
            <m:sSub>
              <m:sSubPr>
                <m:ctrlPr>
                  <w:rPr>
                    <w:rFonts w:ascii="Cambria Math" w:hAnsi="Cambria Math" w:cs="Times New Roman"/>
                    <w:i/>
                    <w:szCs w:val="24"/>
                  </w:rPr>
                </m:ctrlPr>
              </m:sSubPr>
              <m:e>
                <m:r>
                  <m:rPr/>
                  <w:rPr>
                    <w:rFonts w:ascii="Cambria Math" w:hAnsi="Cambria Math" w:cs="Times New Roman"/>
                    <w:szCs w:val="24"/>
                  </w:rPr>
                  <m:t>c</m:t>
                </m:r>
                <m:ctrlPr>
                  <w:rPr>
                    <w:rFonts w:ascii="Cambria Math" w:hAnsi="Cambria Math" w:cs="Times New Roman"/>
                    <w:i/>
                    <w:szCs w:val="24"/>
                  </w:rPr>
                </m:ctrlPr>
              </m:e>
              <m:sub>
                <m:r>
                  <m:rPr/>
                  <w:rPr>
                    <w:rFonts w:ascii="Cambria Math" w:hAnsi="Cambria Math" w:cs="Times New Roman"/>
                    <w:szCs w:val="24"/>
                  </w:rPr>
                  <m:t>0</m:t>
                </m:r>
                <m:ctrlPr>
                  <w:rPr>
                    <w:rFonts w:ascii="Cambria Math" w:hAnsi="Cambria Math" w:cs="Times New Roman"/>
                    <w:i/>
                    <w:szCs w:val="24"/>
                  </w:rPr>
                </m:ctrlPr>
              </m:sub>
            </m:sSub>
            <m:ctrlPr>
              <w:rPr>
                <w:rFonts w:ascii="Cambria Math" w:hAnsi="Cambria Math" w:cs="Times New Roman"/>
                <w:i/>
                <w:szCs w:val="24"/>
              </w:rPr>
            </m:ctrlPr>
          </m:den>
        </m:f>
      </m:oMath>
      <w:r>
        <w:rPr>
          <w:rFonts w:cs="Times New Roman"/>
          <w:szCs w:val="24"/>
        </w:rPr>
        <w:tab/>
      </w:r>
      <w:r>
        <w:rPr>
          <w:rFonts w:cs="Times New Roman"/>
          <w:szCs w:val="24"/>
        </w:rPr>
        <w:t>(6)</w:t>
      </w:r>
    </w:p>
    <w:p w14:paraId="1E1FFFE4">
      <w:pPr>
        <w:ind w:firstLine="0" w:firstLineChars="0"/>
        <w:rPr>
          <w:rFonts w:cs="Times New Roman"/>
          <w:szCs w:val="24"/>
        </w:rPr>
      </w:pPr>
      <w:r>
        <w:rPr>
          <w:rFonts w:cs="Times New Roman"/>
          <w:szCs w:val="24"/>
        </w:rPr>
        <w:t xml:space="preserve">FM: </w:t>
      </w:r>
    </w:p>
    <w:p w14:paraId="4CA8A1AC">
      <w:pPr>
        <w:tabs>
          <w:tab w:val="left" w:pos="8820"/>
        </w:tabs>
        <w:ind w:firstLine="480"/>
        <w:rPr>
          <w:rFonts w:cs="Times New Roman"/>
          <w:szCs w:val="24"/>
        </w:rPr>
      </w:pPr>
      <m:oMath>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r>
          <m:rPr/>
          <w:rPr>
            <w:rFonts w:ascii="Cambria Math" w:hAnsi="Cambria Math" w:cs="Times New Roman"/>
            <w:szCs w:val="24"/>
          </w:rPr>
          <m:t>=</m:t>
        </m:r>
        <m:sSub>
          <m:sSubPr>
            <m:ctrlPr>
              <w:rPr>
                <w:rFonts w:ascii="Cambria Math" w:hAnsi="Cambria Math" w:cs="Times New Roman"/>
                <w:i/>
                <w:szCs w:val="24"/>
              </w:rPr>
            </m:ctrlPr>
          </m:sSubPr>
          <m:e>
            <m:r>
              <m:rPr/>
              <w:rPr>
                <w:rFonts w:ascii="Cambria Math" w:hAnsi="Cambria Math" w:cs="Times New Roman"/>
                <w:szCs w:val="24"/>
              </w:rPr>
              <m:t>K</m:t>
            </m:r>
            <m:ctrlPr>
              <w:rPr>
                <w:rFonts w:ascii="Cambria Math" w:hAnsi="Cambria Math" w:cs="Times New Roman"/>
                <w:i/>
                <w:szCs w:val="24"/>
              </w:rPr>
            </m:ctrlPr>
          </m:e>
          <m:sub>
            <m:r>
              <m:rPr/>
              <w:rPr>
                <w:rFonts w:ascii="Cambria Math" w:hAnsi="Cambria Math" w:cs="Times New Roman"/>
                <w:szCs w:val="24"/>
              </w:rPr>
              <m:t>f</m:t>
            </m:r>
            <m:ctrlPr>
              <w:rPr>
                <w:rFonts w:ascii="Cambria Math" w:hAnsi="Cambria Math" w:cs="Times New Roman"/>
                <w:i/>
                <w:szCs w:val="24"/>
              </w:rPr>
            </m:ctrlPr>
          </m:sub>
        </m:sSub>
        <m:sSup>
          <m:sSupPr>
            <m:ctrlPr>
              <w:rPr>
                <w:rFonts w:ascii="Cambria Math" w:hAnsi="Cambria Math" w:cs="Times New Roman"/>
                <w:i/>
                <w:szCs w:val="24"/>
              </w:rPr>
            </m:ctrlPr>
          </m:sSupPr>
          <m:e>
            <m:sSub>
              <m:sSubPr>
                <m:ctrlPr>
                  <w:rPr>
                    <w:rFonts w:ascii="Cambria Math" w:hAnsi="Cambria Math" w:cs="Times New Roman"/>
                    <w:i/>
                    <w:szCs w:val="24"/>
                  </w:rPr>
                </m:ctrlPr>
              </m:sSubPr>
              <m:e>
                <m:r>
                  <m:rPr/>
                  <w:rPr>
                    <w:rFonts w:ascii="Cambria Math" w:hAnsi="Cambria Math" w:cs="Times New Roman"/>
                    <w:szCs w:val="24"/>
                  </w:rPr>
                  <m:t>C</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ctrlPr>
              <w:rPr>
                <w:rFonts w:ascii="Cambria Math" w:hAnsi="Cambria Math" w:cs="Times New Roman"/>
                <w:i/>
                <w:szCs w:val="24"/>
              </w:rPr>
            </m:ctrlPr>
          </m:e>
          <m:sup>
            <m:r>
              <m:rPr/>
              <w:rPr>
                <w:rFonts w:ascii="Cambria Math" w:hAnsi="Cambria Math" w:cs="Times New Roman"/>
                <w:szCs w:val="24"/>
              </w:rPr>
              <m:t>1/n</m:t>
            </m:r>
            <m:ctrlPr>
              <w:rPr>
                <w:rFonts w:ascii="Cambria Math" w:hAnsi="Cambria Math" w:cs="Times New Roman"/>
                <w:i/>
                <w:szCs w:val="24"/>
              </w:rPr>
            </m:ctrlPr>
          </m:sup>
        </m:sSup>
      </m:oMath>
      <w:r>
        <w:rPr>
          <w:rFonts w:cs="Times New Roman"/>
          <w:szCs w:val="24"/>
        </w:rPr>
        <w:tab/>
      </w:r>
      <w:r>
        <w:rPr>
          <w:rFonts w:cs="Times New Roman"/>
          <w:szCs w:val="24"/>
        </w:rPr>
        <w:t>(7)</w:t>
      </w:r>
    </w:p>
    <w:p w14:paraId="7C4F2723">
      <w:pPr>
        <w:ind w:firstLine="0" w:firstLineChars="0"/>
        <w:rPr>
          <w:rFonts w:cs="Times New Roman"/>
          <w:szCs w:val="24"/>
        </w:rPr>
      </w:pPr>
      <w:bookmarkStart w:id="9" w:name="_Hlk166926394"/>
      <w:r>
        <w:rPr>
          <w:rFonts w:cs="Times New Roman"/>
          <w:szCs w:val="24"/>
        </w:rPr>
        <w:t>DRM</w:t>
      </w:r>
      <w:bookmarkEnd w:id="9"/>
      <w:r>
        <w:rPr>
          <w:rFonts w:cs="Times New Roman"/>
          <w:szCs w:val="24"/>
        </w:rPr>
        <w:t xml:space="preserve">: </w:t>
      </w:r>
    </w:p>
    <w:p w14:paraId="039D59E3">
      <w:pPr>
        <w:tabs>
          <w:tab w:val="left" w:pos="8820"/>
        </w:tabs>
        <w:ind w:firstLine="480"/>
        <w:rPr>
          <w:rFonts w:cs="Times New Roman"/>
          <w:szCs w:val="24"/>
        </w:rPr>
      </w:pPr>
      <m:oMath>
        <m:func>
          <m:funcPr>
            <m:ctrlPr>
              <w:rPr>
                <w:rFonts w:ascii="Cambria Math" w:hAnsi="Cambria Math" w:cs="Times New Roman"/>
                <w:i/>
                <w:szCs w:val="24"/>
              </w:rPr>
            </m:ctrlPr>
          </m:funcPr>
          <m:fName>
            <m:r>
              <m:rPr>
                <m:sty m:val="p"/>
              </m:rPr>
              <w:rPr>
                <w:rFonts w:ascii="Cambria Math" w:hAnsi="Cambria Math" w:cs="Times New Roman"/>
                <w:szCs w:val="24"/>
              </w:rPr>
              <m:t>ln</m:t>
            </m:r>
            <m:ctrlPr>
              <w:rPr>
                <w:rFonts w:ascii="Cambria Math" w:hAnsi="Cambria Math" w:cs="Times New Roman"/>
                <w:i/>
                <w:szCs w:val="24"/>
              </w:rPr>
            </m:ctrlPr>
          </m:fName>
          <m:e>
            <m:sSup>
              <m:sSupPr>
                <m:ctrlPr>
                  <w:rPr>
                    <w:rFonts w:ascii="Cambria Math" w:hAnsi="Cambria Math" w:cs="Times New Roman"/>
                    <w:i/>
                    <w:szCs w:val="24"/>
                  </w:rPr>
                </m:ctrlPr>
              </m:sSupPr>
              <m:e>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ctrlPr>
                  <w:rPr>
                    <w:rFonts w:ascii="Cambria Math" w:hAnsi="Cambria Math" w:cs="Times New Roman"/>
                    <w:i/>
                    <w:szCs w:val="24"/>
                  </w:rPr>
                </m:ctrlPr>
              </m:e>
              <m:sup>
                <m:r>
                  <m:rPr/>
                  <w:rPr>
                    <w:rFonts w:ascii="Cambria Math" w:hAnsi="Cambria Math" w:cs="Times New Roman"/>
                    <w:szCs w:val="24"/>
                  </w:rPr>
                  <m:t>'</m:t>
                </m:r>
                <m:ctrlPr>
                  <w:rPr>
                    <w:rFonts w:ascii="Cambria Math" w:hAnsi="Cambria Math" w:cs="Times New Roman"/>
                    <w:i/>
                    <w:szCs w:val="24"/>
                  </w:rPr>
                </m:ctrlPr>
              </m:sup>
            </m:sSup>
            <m:ctrlPr>
              <w:rPr>
                <w:rFonts w:ascii="Cambria Math" w:hAnsi="Cambria Math" w:cs="Times New Roman"/>
                <w:i/>
                <w:szCs w:val="24"/>
              </w:rPr>
            </m:ctrlPr>
          </m:e>
        </m:func>
        <m:r>
          <m:rPr/>
          <w:rPr>
            <w:rFonts w:ascii="Cambria Math" w:hAnsi="Cambria Math" w:cs="Times New Roman"/>
            <w:szCs w:val="24"/>
          </w:rPr>
          <m:t>=</m:t>
        </m:r>
        <m:func>
          <m:funcPr>
            <m:ctrlPr>
              <w:rPr>
                <w:rFonts w:ascii="Cambria Math" w:hAnsi="Cambria Math" w:cs="Times New Roman"/>
                <w:i/>
                <w:szCs w:val="24"/>
              </w:rPr>
            </m:ctrlPr>
          </m:funcPr>
          <m:fName>
            <m:r>
              <m:rPr>
                <m:sty m:val="p"/>
              </m:rPr>
              <w:rPr>
                <w:rFonts w:ascii="Cambria Math" w:hAnsi="Cambria Math" w:cs="Times New Roman"/>
                <w:szCs w:val="24"/>
              </w:rPr>
              <m:t>ln</m:t>
            </m:r>
            <m:ctrlPr>
              <w:rPr>
                <w:rFonts w:ascii="Cambria Math" w:hAnsi="Cambria Math" w:cs="Times New Roman"/>
                <w:i/>
                <w:szCs w:val="24"/>
              </w:rPr>
            </m:ctrlPr>
          </m:fName>
          <m:e>
            <m:sSub>
              <m:sSubPr>
                <m:ctrlPr>
                  <w:rPr>
                    <w:rFonts w:ascii="Cambria Math" w:hAnsi="Cambria Math" w:cs="Times New Roman"/>
                    <w:i/>
                    <w:szCs w:val="24"/>
                  </w:rPr>
                </m:ctrlPr>
              </m:sSubPr>
              <m:e>
                <m:r>
                  <m:rPr/>
                  <w:rPr>
                    <w:rFonts w:ascii="Cambria Math" w:hAnsi="Cambria Math" w:cs="Times New Roman"/>
                    <w:szCs w:val="24"/>
                  </w:rPr>
                  <m:t>q</m:t>
                </m:r>
                <m:ctrlPr>
                  <w:rPr>
                    <w:rFonts w:ascii="Cambria Math" w:hAnsi="Cambria Math" w:cs="Times New Roman"/>
                    <w:i/>
                    <w:szCs w:val="24"/>
                  </w:rPr>
                </m:ctrlPr>
              </m:e>
              <m:sub>
                <m:r>
                  <m:rPr/>
                  <w:rPr>
                    <w:rFonts w:ascii="Cambria Math" w:hAnsi="Cambria Math" w:cs="Times New Roman"/>
                    <w:szCs w:val="24"/>
                  </w:rPr>
                  <m:t>s</m:t>
                </m:r>
                <m:ctrlPr>
                  <w:rPr>
                    <w:rFonts w:ascii="Cambria Math" w:hAnsi="Cambria Math" w:cs="Times New Roman"/>
                    <w:i/>
                    <w:szCs w:val="24"/>
                  </w:rPr>
                </m:ctrlPr>
              </m:sub>
            </m:sSub>
            <m:ctrlPr>
              <w:rPr>
                <w:rFonts w:ascii="Cambria Math" w:hAnsi="Cambria Math" w:cs="Times New Roman"/>
                <w:i/>
                <w:szCs w:val="24"/>
              </w:rPr>
            </m:ctrlPr>
          </m:e>
        </m:func>
        <m:r>
          <m:rPr/>
          <w:rPr>
            <w:rFonts w:ascii="Cambria Math" w:hAnsi="Cambria Math" w:cs="Times New Roman"/>
            <w:szCs w:val="24"/>
          </w:rPr>
          <m:t>−β'</m:t>
        </m:r>
        <m:sSup>
          <m:sSupPr>
            <m:ctrlPr>
              <w:rPr>
                <w:rFonts w:ascii="Cambria Math" w:hAnsi="Cambria Math" w:cs="Times New Roman"/>
                <w:i/>
                <w:szCs w:val="24"/>
              </w:rPr>
            </m:ctrlPr>
          </m:sSupPr>
          <m:e>
            <m:r>
              <m:rPr/>
              <w:rPr>
                <w:rFonts w:ascii="Cambria Math" w:hAnsi="Cambria Math" w:cs="Times New Roman"/>
                <w:szCs w:val="24"/>
              </w:rPr>
              <m:t>ε</m:t>
            </m:r>
            <m:ctrlPr>
              <w:rPr>
                <w:rFonts w:ascii="Cambria Math" w:hAnsi="Cambria Math" w:cs="Times New Roman"/>
                <w:i/>
                <w:szCs w:val="24"/>
              </w:rPr>
            </m:ctrlPr>
          </m:e>
          <m:sup>
            <m:r>
              <m:rPr/>
              <w:rPr>
                <w:rFonts w:ascii="Cambria Math" w:hAnsi="Cambria Math" w:cs="Times New Roman"/>
                <w:szCs w:val="24"/>
              </w:rPr>
              <m:t>2</m:t>
            </m:r>
            <m:ctrlPr>
              <w:rPr>
                <w:rFonts w:ascii="Cambria Math" w:hAnsi="Cambria Math" w:cs="Times New Roman"/>
                <w:i/>
                <w:szCs w:val="24"/>
              </w:rPr>
            </m:ctrlPr>
          </m:sup>
        </m:sSup>
      </m:oMath>
      <w:r>
        <w:rPr>
          <w:rFonts w:cs="Times New Roman"/>
          <w:szCs w:val="24"/>
        </w:rPr>
        <w:tab/>
      </w:r>
      <w:r>
        <w:rPr>
          <w:rFonts w:cs="Times New Roman"/>
          <w:szCs w:val="24"/>
        </w:rPr>
        <w:t>(8)</w:t>
      </w:r>
    </w:p>
    <w:p w14:paraId="468E09CB">
      <w:pPr>
        <w:tabs>
          <w:tab w:val="left" w:pos="8820"/>
        </w:tabs>
        <w:ind w:firstLine="480"/>
        <w:rPr>
          <w:rFonts w:cs="Times New Roman"/>
          <w:szCs w:val="24"/>
        </w:rPr>
      </w:pPr>
      <m:oMath>
        <m:r>
          <m:rPr/>
          <w:rPr>
            <w:rFonts w:ascii="Cambria Math" w:hAnsi="Cambria Math" w:cs="Times New Roman"/>
            <w:szCs w:val="24"/>
          </w:rPr>
          <m:t>ε=RTln (1+</m:t>
        </m:r>
        <m:f>
          <m:fPr>
            <m:ctrlPr>
              <w:rPr>
                <w:rFonts w:ascii="Cambria Math" w:hAnsi="Cambria Math" w:cs="Times New Roman"/>
                <w:i/>
                <w:szCs w:val="24"/>
              </w:rPr>
            </m:ctrlPr>
          </m:fPr>
          <m:num>
            <m:r>
              <m:rPr/>
              <w:rPr>
                <w:rFonts w:ascii="Cambria Math" w:hAnsi="Cambria Math" w:cs="Times New Roman"/>
                <w:szCs w:val="24"/>
              </w:rPr>
              <m:t>1</m:t>
            </m:r>
            <m:ctrlPr>
              <w:rPr>
                <w:rFonts w:ascii="Cambria Math" w:hAnsi="Cambria Math" w:cs="Times New Roman"/>
                <w:i/>
                <w:szCs w:val="24"/>
              </w:rPr>
            </m:ctrlPr>
          </m:num>
          <m:den>
            <m:sSub>
              <m:sSubPr>
                <m:ctrlPr>
                  <w:rPr>
                    <w:rFonts w:ascii="Cambria Math" w:hAnsi="Cambria Math" w:cs="Times New Roman"/>
                    <w:i/>
                    <w:szCs w:val="24"/>
                  </w:rPr>
                </m:ctrlPr>
              </m:sSubPr>
              <m:e>
                <m:r>
                  <m:rPr/>
                  <w:rPr>
                    <w:rFonts w:ascii="Cambria Math" w:hAnsi="Cambria Math" w:cs="Times New Roman"/>
                    <w:szCs w:val="24"/>
                  </w:rPr>
                  <m:t>C</m:t>
                </m:r>
                <m:ctrlPr>
                  <w:rPr>
                    <w:rFonts w:ascii="Cambria Math" w:hAnsi="Cambria Math" w:cs="Times New Roman"/>
                    <w:i/>
                    <w:szCs w:val="24"/>
                  </w:rPr>
                </m:ctrlPr>
              </m:e>
              <m:sub>
                <m:r>
                  <m:rPr/>
                  <w:rPr>
                    <w:rFonts w:ascii="Cambria Math" w:hAnsi="Cambria Math" w:cs="Times New Roman"/>
                    <w:szCs w:val="24"/>
                  </w:rPr>
                  <m:t>e</m:t>
                </m:r>
                <m:ctrlPr>
                  <w:rPr>
                    <w:rFonts w:ascii="Cambria Math" w:hAnsi="Cambria Math" w:cs="Times New Roman"/>
                    <w:i/>
                    <w:szCs w:val="24"/>
                  </w:rPr>
                </m:ctrlPr>
              </m:sub>
            </m:sSub>
            <m:ctrlPr>
              <w:rPr>
                <w:rFonts w:ascii="Cambria Math" w:hAnsi="Cambria Math" w:cs="Times New Roman"/>
                <w:i/>
                <w:szCs w:val="24"/>
              </w:rPr>
            </m:ctrlPr>
          </m:den>
        </m:f>
        <m:r>
          <m:rPr/>
          <w:rPr>
            <w:rFonts w:ascii="Cambria Math" w:hAnsi="Cambria Math" w:cs="Times New Roman"/>
            <w:szCs w:val="24"/>
          </w:rPr>
          <m:t>)</m:t>
        </m:r>
      </m:oMath>
      <w:r>
        <w:rPr>
          <w:rFonts w:cs="Times New Roman"/>
          <w:szCs w:val="24"/>
        </w:rPr>
        <w:tab/>
      </w:r>
      <w:r>
        <w:rPr>
          <w:rFonts w:cs="Times New Roman"/>
          <w:szCs w:val="24"/>
        </w:rPr>
        <w:t>(9)</w:t>
      </w:r>
    </w:p>
    <w:p w14:paraId="521A90A7">
      <w:pPr>
        <w:tabs>
          <w:tab w:val="left" w:pos="8610"/>
        </w:tabs>
        <w:ind w:firstLine="480"/>
        <w:rPr>
          <w:rFonts w:cs="Times New Roman"/>
          <w:szCs w:val="24"/>
        </w:rPr>
      </w:pPr>
      <m:oMath>
        <m:r>
          <m:rPr/>
          <w:rPr>
            <w:rFonts w:ascii="Cambria Math" w:hAnsi="Cambria Math" w:cs="Times New Roman"/>
            <w:szCs w:val="24"/>
          </w:rPr>
          <m:t>E=1/</m:t>
        </m:r>
        <m:rad>
          <m:radPr>
            <m:degHide m:val="1"/>
            <m:ctrlPr>
              <w:rPr>
                <w:rFonts w:ascii="Cambria Math" w:hAnsi="Cambria Math" w:cs="Times New Roman"/>
                <w:i/>
                <w:szCs w:val="24"/>
              </w:rPr>
            </m:ctrlPr>
          </m:radPr>
          <m:deg>
            <m:ctrlPr>
              <w:rPr>
                <w:rFonts w:ascii="Cambria Math" w:hAnsi="Cambria Math" w:cs="Times New Roman"/>
                <w:i/>
                <w:szCs w:val="24"/>
              </w:rPr>
            </m:ctrlPr>
          </m:deg>
          <m:e>
            <m:r>
              <m:rPr/>
              <w:rPr>
                <w:rFonts w:ascii="Cambria Math" w:hAnsi="Cambria Math" w:cs="Times New Roman"/>
                <w:szCs w:val="24"/>
              </w:rPr>
              <m:t>2β'</m:t>
            </m:r>
            <m:ctrlPr>
              <w:rPr>
                <w:rFonts w:ascii="Cambria Math" w:hAnsi="Cambria Math" w:cs="Times New Roman"/>
                <w:i/>
                <w:szCs w:val="24"/>
              </w:rPr>
            </m:ctrlPr>
          </m:e>
        </m:rad>
      </m:oMath>
      <w:r>
        <w:rPr>
          <w:rFonts w:cs="Times New Roman"/>
          <w:szCs w:val="24"/>
        </w:rPr>
        <w:tab/>
      </w:r>
      <w:r>
        <w:rPr>
          <w:rFonts w:cs="Times New Roman"/>
          <w:szCs w:val="24"/>
        </w:rPr>
        <w:t>(10)</w:t>
      </w:r>
    </w:p>
    <w:p w14:paraId="602C43B0">
      <w:pPr>
        <w:ind w:firstLine="0" w:firstLineChars="0"/>
        <w:rPr>
          <w:rFonts w:cs="Times New Roman"/>
          <w:szCs w:val="24"/>
        </w:rPr>
      </w:pPr>
      <w:r>
        <w:rPr>
          <w:rFonts w:cs="Times New Roman"/>
          <w:szCs w:val="24"/>
        </w:rPr>
        <w:t xml:space="preserve">where </w:t>
      </w:r>
      <w:r>
        <w:rPr>
          <w:rFonts w:cs="Times New Roman"/>
          <w:i/>
          <w:iCs/>
          <w:szCs w:val="24"/>
        </w:rPr>
        <w:t>C</w:t>
      </w:r>
      <w:r>
        <w:rPr>
          <w:rFonts w:cs="Times New Roman"/>
          <w:i w:val="0"/>
          <w:iCs w:val="0"/>
          <w:szCs w:val="24"/>
          <w:vertAlign w:val="subscript"/>
        </w:rPr>
        <w:t>e</w:t>
      </w:r>
      <w:r>
        <w:rPr>
          <w:rFonts w:cs="Times New Roman"/>
          <w:szCs w:val="24"/>
        </w:rPr>
        <w:t xml:space="preserve"> (mg·L</w:t>
      </w:r>
      <w:r>
        <w:rPr>
          <w:rFonts w:cs="Times New Roman"/>
        </w:rPr>
        <w:t>⁻</w:t>
      </w:r>
      <w:r>
        <w:rPr>
          <w:rFonts w:cs="Times New Roman"/>
          <w:szCs w:val="24"/>
          <w:vertAlign w:val="superscript"/>
        </w:rPr>
        <w:t>1</w:t>
      </w:r>
      <w:r>
        <w:rPr>
          <w:rFonts w:cs="Times New Roman"/>
          <w:szCs w:val="24"/>
        </w:rPr>
        <w:t xml:space="preserve">) is the equilibrium concentration, </w:t>
      </w:r>
      <w:r>
        <w:rPr>
          <w:rFonts w:cs="Times New Roman"/>
          <w:i/>
          <w:iCs/>
          <w:szCs w:val="24"/>
        </w:rPr>
        <w:t>q</w:t>
      </w:r>
      <w:r>
        <w:rPr>
          <w:rFonts w:cs="Times New Roman"/>
          <w:i/>
          <w:iCs/>
          <w:szCs w:val="24"/>
          <w:vertAlign w:val="subscript"/>
        </w:rPr>
        <w:t>0</w:t>
      </w:r>
      <w:r>
        <w:rPr>
          <w:rFonts w:cs="Times New Roman"/>
          <w:szCs w:val="24"/>
        </w:rPr>
        <w:t xml:space="preserve"> (μg·g</w:t>
      </w:r>
      <w:r>
        <w:rPr>
          <w:rFonts w:cs="Times New Roman"/>
        </w:rPr>
        <w:t>⁻</w:t>
      </w:r>
      <w:r>
        <w:rPr>
          <w:rFonts w:cs="Times New Roman"/>
          <w:szCs w:val="24"/>
          <w:vertAlign w:val="superscript"/>
        </w:rPr>
        <w:t>1</w:t>
      </w:r>
      <w:r>
        <w:rPr>
          <w:rFonts w:cs="Times New Roman"/>
          <w:szCs w:val="24"/>
        </w:rPr>
        <w:t xml:space="preserve">) is the maximum sorption capacity, </w:t>
      </w:r>
      <w:r>
        <w:rPr>
          <w:rFonts w:cs="Times New Roman"/>
          <w:i/>
          <w:iCs/>
          <w:szCs w:val="24"/>
        </w:rPr>
        <w:t>b</w:t>
      </w:r>
      <w:r>
        <w:rPr>
          <w:rFonts w:cs="Times New Roman"/>
          <w:szCs w:val="24"/>
        </w:rPr>
        <w:t xml:space="preserve"> (mL·mg</w:t>
      </w:r>
      <w:r>
        <w:rPr>
          <w:rFonts w:cs="Times New Roman"/>
        </w:rPr>
        <w:t>⁻</w:t>
      </w:r>
      <w:r>
        <w:rPr>
          <w:rFonts w:cs="Times New Roman"/>
          <w:szCs w:val="24"/>
          <w:vertAlign w:val="superscript"/>
        </w:rPr>
        <w:t>1</w:t>
      </w:r>
      <w:r>
        <w:rPr>
          <w:rFonts w:cs="Times New Roman"/>
          <w:szCs w:val="24"/>
        </w:rPr>
        <w:t>) is the Langmuir affinity constant related to the energy of sorption,</w:t>
      </w:r>
      <w:r>
        <w:rPr>
          <w:rFonts w:cs="Times New Roman"/>
        </w:rPr>
        <w:t xml:space="preserve"> </w:t>
      </w:r>
      <w:r>
        <w:rPr>
          <w:rFonts w:cs="Times New Roman"/>
          <w:i/>
          <w:iCs/>
          <w:szCs w:val="24"/>
        </w:rPr>
        <w:t>R</w:t>
      </w:r>
      <w:r>
        <w:rPr>
          <w:rFonts w:cs="Times New Roman"/>
          <w:i w:val="0"/>
          <w:iCs w:val="0"/>
          <w:szCs w:val="24"/>
          <w:vertAlign w:val="subscript"/>
        </w:rPr>
        <w:t>L</w:t>
      </w:r>
      <w:r>
        <w:rPr>
          <w:rFonts w:cs="Times New Roman"/>
          <w:szCs w:val="24"/>
        </w:rPr>
        <w:t xml:space="preserve"> is the Langmuir dimensionless separation factor,</w:t>
      </w:r>
      <w:r>
        <w:rPr>
          <w:rFonts w:cs="Times New Roman"/>
          <w:i/>
          <w:szCs w:val="24"/>
        </w:rPr>
        <w:t xml:space="preserve"> C</w:t>
      </w:r>
      <w:r>
        <w:rPr>
          <w:rFonts w:cs="Times New Roman"/>
          <w:i w:val="0"/>
          <w:iCs/>
          <w:szCs w:val="24"/>
          <w:vertAlign w:val="subscript"/>
        </w:rPr>
        <w:t>0</w:t>
      </w:r>
      <w:r>
        <w:rPr>
          <w:rFonts w:cs="Times New Roman"/>
          <w:szCs w:val="24"/>
        </w:rPr>
        <w:t xml:space="preserve"> (</w:t>
      </w:r>
      <w:r>
        <w:rPr>
          <w:rFonts w:cs="Times New Roman"/>
          <w:bCs/>
          <w:szCs w:val="24"/>
        </w:rPr>
        <w:t>m</w:t>
      </w:r>
      <w:r>
        <w:rPr>
          <w:rFonts w:cs="Times New Roman"/>
          <w:szCs w:val="24"/>
        </w:rPr>
        <w:t>g·L</w:t>
      </w:r>
      <w:r>
        <w:rPr>
          <w:rFonts w:cs="Times New Roman"/>
        </w:rPr>
        <w:t>⁻</w:t>
      </w:r>
      <w:r>
        <w:rPr>
          <w:rFonts w:cs="Times New Roman"/>
          <w:szCs w:val="24"/>
          <w:vertAlign w:val="superscript"/>
        </w:rPr>
        <w:t>1</w:t>
      </w:r>
      <w:r>
        <w:rPr>
          <w:rFonts w:cs="Times New Roman"/>
          <w:szCs w:val="24"/>
        </w:rPr>
        <w:t xml:space="preserve">) is the highest initial concentration of adsorbent, </w:t>
      </w:r>
      <w:r>
        <w:rPr>
          <w:rFonts w:cs="Times New Roman"/>
          <w:i/>
          <w:iCs/>
          <w:szCs w:val="24"/>
        </w:rPr>
        <w:t>K</w:t>
      </w:r>
      <w:r>
        <w:rPr>
          <w:rFonts w:cs="Times New Roman"/>
          <w:i w:val="0"/>
          <w:iCs w:val="0"/>
          <w:szCs w:val="24"/>
          <w:vertAlign w:val="subscript"/>
        </w:rPr>
        <w:t>f</w:t>
      </w:r>
      <w:r>
        <w:rPr>
          <w:rFonts w:cs="Times New Roman"/>
          <w:i/>
          <w:iCs/>
          <w:szCs w:val="24"/>
        </w:rPr>
        <w:t xml:space="preserve"> </w:t>
      </w:r>
      <w:r>
        <w:rPr>
          <w:rFonts w:cs="Times New Roman"/>
          <w:szCs w:val="24"/>
        </w:rPr>
        <w:t>(mg</w:t>
      </w:r>
      <w:r>
        <w:rPr>
          <w:rFonts w:cs="Times New Roman"/>
          <w:szCs w:val="24"/>
          <w:vertAlign w:val="superscript"/>
        </w:rPr>
        <w:t>1−n</w:t>
      </w:r>
      <w:r>
        <w:rPr>
          <w:rFonts w:cs="Times New Roman"/>
          <w:szCs w:val="24"/>
        </w:rPr>
        <w:t>·L</w:t>
      </w:r>
      <w:r>
        <w:rPr>
          <w:rFonts w:cs="Times New Roman"/>
          <w:szCs w:val="24"/>
          <w:vertAlign w:val="superscript"/>
        </w:rPr>
        <w:t>n</w:t>
      </w:r>
      <w:r>
        <w:rPr>
          <w:rFonts w:cs="Times New Roman"/>
          <w:szCs w:val="24"/>
        </w:rPr>
        <w:t>·g</w:t>
      </w:r>
      <w:r>
        <w:rPr>
          <w:rFonts w:cs="Times New Roman"/>
        </w:rPr>
        <w:t>⁻</w:t>
      </w:r>
      <w:r>
        <w:rPr>
          <w:rFonts w:cs="Times New Roman"/>
          <w:szCs w:val="24"/>
          <w:vertAlign w:val="superscript"/>
        </w:rPr>
        <w:t>1</w:t>
      </w:r>
      <w:r>
        <w:rPr>
          <w:rFonts w:cs="Times New Roman"/>
          <w:szCs w:val="24"/>
        </w:rPr>
        <w:t xml:space="preserve">) is referred to the sorption affinity, and </w:t>
      </w:r>
      <w:r>
        <w:rPr>
          <w:rFonts w:cs="Times New Roman"/>
          <w:i/>
          <w:iCs/>
          <w:szCs w:val="24"/>
        </w:rPr>
        <w:t>n</w:t>
      </w:r>
      <w:r>
        <w:rPr>
          <w:rFonts w:cs="Times New Roman"/>
          <w:szCs w:val="24"/>
        </w:rPr>
        <w:t xml:space="preserve"> is an indicator related to the heterogeneity of the adsorbent surface. </w:t>
      </w:r>
      <w:r>
        <w:rPr>
          <w:rFonts w:cs="Times New Roman"/>
          <w:i/>
          <w:iCs/>
          <w:szCs w:val="24"/>
        </w:rPr>
        <w:t>q</w:t>
      </w:r>
      <w:r>
        <w:rPr>
          <w:rFonts w:cs="Times New Roman"/>
          <w:i/>
          <w:iCs/>
          <w:szCs w:val="24"/>
          <w:vertAlign w:val="subscript"/>
        </w:rPr>
        <w:t>s</w:t>
      </w:r>
      <w:r>
        <w:rPr>
          <w:rFonts w:cs="Times New Roman"/>
          <w:szCs w:val="24"/>
        </w:rPr>
        <w:t xml:space="preserve"> is the DRM constant (mol·g</w:t>
      </w:r>
      <w:r>
        <w:rPr>
          <w:rFonts w:cs="Times New Roman"/>
        </w:rPr>
        <w:t>⁻</w:t>
      </w:r>
      <w:r>
        <w:rPr>
          <w:rFonts w:cs="Times New Roman"/>
          <w:szCs w:val="24"/>
          <w:vertAlign w:val="superscript"/>
        </w:rPr>
        <w:t>1</w:t>
      </w:r>
      <w:r>
        <w:rPr>
          <w:rFonts w:cs="Times New Roman"/>
          <w:szCs w:val="24"/>
        </w:rPr>
        <w:t xml:space="preserve">) and </w:t>
      </w:r>
      <m:oMath>
        <m:r>
          <m:rPr/>
          <w:rPr>
            <w:rFonts w:ascii="Cambria Math" w:hAnsi="Cambria Math" w:cs="Times New Roman"/>
            <w:szCs w:val="24"/>
          </w:rPr>
          <m:t>β'</m:t>
        </m:r>
      </m:oMath>
      <w:r>
        <w:rPr>
          <w:rFonts w:cs="Times New Roman"/>
          <w:szCs w:val="24"/>
        </w:rPr>
        <w:t xml:space="preserve"> gives the mean sorption free energy </w:t>
      </w:r>
      <w:r>
        <w:rPr>
          <w:rFonts w:cs="Times New Roman"/>
          <w:i/>
          <w:iCs/>
          <w:szCs w:val="24"/>
        </w:rPr>
        <w:t>E</w:t>
      </w:r>
      <w:r>
        <w:rPr>
          <w:rFonts w:cs="Times New Roman"/>
          <w:szCs w:val="24"/>
        </w:rPr>
        <w:t xml:space="preserve"> (kJ·mol</w:t>
      </w:r>
      <w:r>
        <w:rPr>
          <w:rFonts w:cs="Times New Roman"/>
        </w:rPr>
        <w:t>⁻</w:t>
      </w:r>
      <w:r>
        <w:rPr>
          <w:rFonts w:cs="Times New Roman"/>
          <w:szCs w:val="24"/>
          <w:vertAlign w:val="superscript"/>
        </w:rPr>
        <w:t>1</w:t>
      </w:r>
      <w:r>
        <w:rPr>
          <w:rFonts w:cs="Times New Roman"/>
          <w:szCs w:val="24"/>
        </w:rPr>
        <w:t>) per molecule of sorbate at the moment of its transfer to the solid surface from the bulk solution and can be computed using Equation (10).</w:t>
      </w:r>
    </w:p>
    <w:p w14:paraId="1D2D9BCB">
      <w:pPr>
        <w:ind w:firstLine="480" w:firstLineChars="0"/>
        <w:rPr>
          <w:rFonts w:cs="Times New Roman"/>
          <w:szCs w:val="24"/>
        </w:rPr>
      </w:pPr>
      <w:r>
        <w:rPr>
          <w:rFonts w:cs="Times New Roman"/>
          <w:szCs w:val="24"/>
        </w:rPr>
        <w:t>The distribution coefficient was used to describe pesticide partitioning between the solid and aqueous phases:</w:t>
      </w:r>
    </w:p>
    <w:p w14:paraId="79BE80F3">
      <w:pPr>
        <w:tabs>
          <w:tab w:val="right" w:pos="30240"/>
        </w:tabs>
        <w:ind w:firstLine="720" w:firstLineChars="0"/>
        <w:rPr>
          <w:rFonts w:cs="Times New Roman"/>
          <w:szCs w:val="24"/>
        </w:rPr>
      </w:pPr>
      <m:oMath>
        <m:sSub>
          <m:sSubPr>
            <m:ctrlPr>
              <w:rPr>
                <w:rFonts w:ascii="Cambria Math" w:hAnsi="Cambria Math" w:cs="Times New Roman"/>
                <w:i/>
              </w:rPr>
            </m:ctrlPr>
          </m:sSubPr>
          <m:e>
            <m:r>
              <m:rPr/>
              <w:rPr>
                <w:rFonts w:ascii="Cambria Math" w:hAnsi="Cambria Math" w:cs="Times New Roman"/>
              </w:rPr>
              <m:t>K</m:t>
            </m:r>
            <m:ctrlPr>
              <w:rPr>
                <w:rFonts w:ascii="Cambria Math" w:hAnsi="Cambria Math" w:cs="Times New Roman"/>
                <w:i/>
              </w:rPr>
            </m:ctrlPr>
          </m:e>
          <m:sub>
            <m:r>
              <m:rPr/>
              <w:rPr>
                <w:rFonts w:ascii="Cambria Math" w:hAnsi="Cambria Math" w:cs="Times New Roman"/>
              </w:rPr>
              <m:t>d</m:t>
            </m:r>
            <m:ctrlPr>
              <w:rPr>
                <w:rFonts w:ascii="Cambria Math" w:hAnsi="Cambria Math" w:cs="Times New Roman"/>
                <w:i/>
              </w:rPr>
            </m:ctrlPr>
          </m:sub>
        </m:sSub>
        <m:r>
          <m:rP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m:rPr/>
                  <w:rPr>
                    <w:rFonts w:ascii="Cambria Math" w:hAnsi="Cambria Math" w:cs="Times New Roman"/>
                  </w:rPr>
                  <m:t>q</m:t>
                </m:r>
                <m:ctrlPr>
                  <w:rPr>
                    <w:rFonts w:ascii="Cambria Math" w:hAnsi="Cambria Math" w:cs="Times New Roman"/>
                    <w:i/>
                  </w:rPr>
                </m:ctrlPr>
              </m:e>
              <m:sub>
                <m:r>
                  <m:rPr/>
                  <w:rPr>
                    <w:rFonts w:ascii="Cambria Math" w:hAnsi="Cambria Math" w:cs="Times New Roman"/>
                  </w:rPr>
                  <m:t>e</m:t>
                </m:r>
                <m:ctrlPr>
                  <w:rPr>
                    <w:rFonts w:ascii="Cambria Math" w:hAnsi="Cambria Math" w:cs="Times New Roman"/>
                    <w:i/>
                  </w:rPr>
                </m:ctrlPr>
              </m:sub>
            </m:sSub>
            <m:ctrlPr>
              <w:rPr>
                <w:rFonts w:ascii="Cambria Math" w:hAnsi="Cambria Math" w:cs="Times New Roman"/>
                <w:i/>
              </w:rPr>
            </m:ctrlPr>
          </m:num>
          <m:den>
            <m:sSub>
              <m:sSubPr>
                <m:ctrlPr>
                  <w:rPr>
                    <w:rFonts w:ascii="Cambria Math" w:hAnsi="Cambria Math" w:cs="Times New Roman"/>
                    <w:i/>
                  </w:rPr>
                </m:ctrlPr>
              </m:sSubPr>
              <m:e>
                <m:r>
                  <m:rPr/>
                  <w:rPr>
                    <w:rFonts w:ascii="Cambria Math" w:hAnsi="Cambria Math" w:cs="Times New Roman"/>
                  </w:rPr>
                  <m:t>C</m:t>
                </m:r>
                <m:ctrlPr>
                  <w:rPr>
                    <w:rFonts w:ascii="Cambria Math" w:hAnsi="Cambria Math" w:cs="Times New Roman"/>
                    <w:i/>
                  </w:rPr>
                </m:ctrlPr>
              </m:e>
              <m:sub>
                <m:r>
                  <m:rPr/>
                  <w:rPr>
                    <w:rFonts w:ascii="Cambria Math" w:hAnsi="Cambria Math" w:cs="Times New Roman"/>
                  </w:rPr>
                  <m:t>e</m:t>
                </m:r>
                <m:ctrlPr>
                  <w:rPr>
                    <w:rFonts w:ascii="Cambria Math" w:hAnsi="Cambria Math" w:cs="Times New Roman"/>
                    <w:i/>
                  </w:rPr>
                </m:ctrlPr>
              </m:sub>
            </m:sSub>
            <m:ctrlPr>
              <w:rPr>
                <w:rFonts w:ascii="Cambria Math" w:hAnsi="Cambria Math" w:cs="Times New Roman"/>
                <w:i/>
              </w:rPr>
            </m:ctrlPr>
          </m:den>
        </m:f>
      </m:oMath>
      <w:r>
        <w:rPr>
          <w:rFonts w:cs="Times New Roman"/>
          <w:szCs w:val="24"/>
        </w:rPr>
        <w:tab/>
      </w:r>
      <w:r>
        <w:rPr>
          <w:rFonts w:cs="Times New Roman"/>
          <w:szCs w:val="24"/>
        </w:rPr>
        <w:t>(11)</w:t>
      </w:r>
    </w:p>
    <w:p w14:paraId="1C65F20D">
      <w:pPr>
        <w:ind w:firstLineChars="0"/>
        <w:rPr>
          <w:rFonts w:cs="Times New Roman"/>
          <w:szCs w:val="24"/>
        </w:rPr>
      </w:pPr>
      <w:r>
        <w:rPr>
          <w:rFonts w:cs="Times New Roman"/>
          <w:szCs w:val="24"/>
        </w:rPr>
        <w:t xml:space="preserve">where </w:t>
      </w:r>
      <w:r>
        <w:rPr>
          <w:rFonts w:cs="Times New Roman"/>
          <w:i/>
          <w:iCs/>
          <w:szCs w:val="24"/>
        </w:rPr>
        <w:t>K</w:t>
      </w:r>
      <w:r>
        <w:rPr>
          <w:rFonts w:cs="Times New Roman"/>
          <w:szCs w:val="24"/>
          <w:vertAlign w:val="subscript"/>
        </w:rPr>
        <w:t xml:space="preserve">d </w:t>
      </w:r>
      <w:r>
        <w:rPr>
          <w:rFonts w:cs="Times New Roman"/>
          <w:szCs w:val="24"/>
        </w:rPr>
        <w:t xml:space="preserve">(L·kg⁻¹) is the distribution coefficient, </w:t>
      </w:r>
      <w:r>
        <w:rPr>
          <w:rFonts w:cs="Times New Roman"/>
          <w:i/>
          <w:iCs/>
          <w:szCs w:val="24"/>
        </w:rPr>
        <w:t>q</w:t>
      </w:r>
      <w:r>
        <w:rPr>
          <w:rFonts w:cs="Times New Roman"/>
          <w:i/>
          <w:iCs/>
          <w:szCs w:val="24"/>
          <w:vertAlign w:val="subscript"/>
        </w:rPr>
        <w:t>e</w:t>
      </w:r>
      <w:r>
        <w:rPr>
          <w:rFonts w:cs="Times New Roman"/>
          <w:szCs w:val="24"/>
        </w:rPr>
        <w:t xml:space="preserve"> (μg·g⁻¹) is the equilibrium sorption capacity, and C</w:t>
      </w:r>
      <w:r>
        <w:rPr>
          <w:rFonts w:cs="Times New Roman"/>
          <w:szCs w:val="24"/>
          <w:vertAlign w:val="subscript"/>
        </w:rPr>
        <w:t>e</w:t>
      </w:r>
      <w:r>
        <w:rPr>
          <w:rFonts w:cs="Times New Roman"/>
          <w:szCs w:val="24"/>
        </w:rPr>
        <w:t xml:space="preserve"> (mg·L⁻¹) is the equilibrium aqueous concentration.</w:t>
      </w:r>
    </w:p>
    <w:p w14:paraId="0E03954C">
      <w:pPr>
        <w:ind w:firstLine="480"/>
        <w:rPr>
          <w:rFonts w:cs="Times New Roman"/>
          <w:szCs w:val="24"/>
        </w:rPr>
      </w:pPr>
      <w:r>
        <w:rPr>
          <w:rFonts w:cs="Times New Roman"/>
          <w:szCs w:val="24"/>
        </w:rPr>
        <w:t>The change in sorption capacity (</w:t>
      </w:r>
      <w:r>
        <w:rPr>
          <w:rFonts w:cs="Times New Roman"/>
          <w:i w:val="0"/>
          <w:iCs w:val="0"/>
          <w:szCs w:val="24"/>
        </w:rPr>
        <w:t>Δ</w:t>
      </w:r>
      <w:r>
        <w:rPr>
          <w:rFonts w:cs="Times New Roman"/>
          <w:i/>
          <w:iCs/>
          <w:szCs w:val="24"/>
        </w:rPr>
        <w:t>Q</w:t>
      </w:r>
      <w:r>
        <w:rPr>
          <w:rFonts w:cs="Times New Roman"/>
          <w:i w:val="0"/>
          <w:iCs w:val="0"/>
          <w:szCs w:val="24"/>
          <w:vertAlign w:val="subscript"/>
        </w:rPr>
        <w:t>e</w:t>
      </w:r>
      <w:r>
        <w:rPr>
          <w:rFonts w:cs="Times New Roman"/>
          <w:szCs w:val="24"/>
        </w:rPr>
        <w:t>) was used to quantify sorption variation induced by environmental factors or coexisting contaminants and was defined as:</w:t>
      </w:r>
    </w:p>
    <w:p w14:paraId="3A833D68">
      <w:pPr>
        <w:tabs>
          <w:tab w:val="right" w:pos="30240"/>
        </w:tabs>
        <w:ind w:firstLine="720" w:firstLineChars="0"/>
        <w:rPr>
          <w:rFonts w:cs="Times New Roman"/>
          <w:szCs w:val="24"/>
        </w:rPr>
      </w:pPr>
      <m:oMath>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Q</m:t>
            </m:r>
            <m:ctrlPr>
              <w:rPr>
                <w:rFonts w:ascii="Cambria Math" w:hAnsi="Cambria Math" w:cs="Times New Roman"/>
                <w:i/>
              </w:rPr>
            </m:ctrlPr>
          </m:e>
          <m:sub>
            <m:r>
              <m:rPr>
                <m:sty m:val="p"/>
              </m:rPr>
              <w:rPr>
                <w:rFonts w:hint="default" w:ascii="Cambria Math" w:hAnsi="Cambria Math" w:cs="Times New Roman"/>
              </w:rPr>
              <m:t>e</m:t>
            </m:r>
            <m:ctrlPr>
              <w:rPr>
                <w:rFonts w:ascii="Cambria Math" w:hAnsi="Cambria Math" w:cs="Times New Roman"/>
                <w:i/>
              </w:rPr>
            </m:ctrlPr>
          </m:sub>
        </m:sSub>
        <m:r>
          <m:rPr/>
          <w:rPr>
            <w:rFonts w:ascii="Cambria Math" w:hAnsi="Cambria Math" w:cs="Times New Roman"/>
          </w:rPr>
          <m:t>=</m:t>
        </m:r>
        <m:sSubSup>
          <m:sSubSupPr>
            <m:ctrlPr>
              <w:rPr>
                <w:rFonts w:ascii="Cambria Math" w:hAnsi="Cambria Math" w:cs="Times New Roman"/>
                <w:i/>
              </w:rPr>
            </m:ctrlPr>
          </m:sSubSupPr>
          <m:e>
            <m:r>
              <m:rPr/>
              <w:rPr>
                <w:rFonts w:ascii="Cambria Math" w:hAnsi="Cambria Math" w:cs="Times New Roman"/>
              </w:rPr>
              <m:t>Q</m:t>
            </m:r>
            <m:ctrlPr>
              <w:rPr>
                <w:rFonts w:ascii="Cambria Math" w:hAnsi="Cambria Math" w:cs="Times New Roman"/>
                <w:i/>
              </w:rPr>
            </m:ctrlPr>
          </m:e>
          <m:sub>
            <m:r>
              <m:rPr>
                <m:sty m:val="p"/>
              </m:rPr>
              <w:rPr>
                <w:rFonts w:hint="default" w:ascii="Cambria Math" w:hAnsi="Cambria Math" w:cs="Times New Roman"/>
              </w:rPr>
              <m:t>e</m:t>
            </m:r>
            <m:ctrlPr>
              <w:rPr>
                <w:rFonts w:ascii="Cambria Math" w:hAnsi="Cambria Math" w:cs="Times New Roman"/>
                <w:i/>
              </w:rPr>
            </m:ctrlPr>
          </m:sub>
          <m:sup>
            <m:r>
              <m:rPr>
                <m:sty m:val="p"/>
              </m:rPr>
              <w:rPr>
                <w:rFonts w:hint="default" w:ascii="Cambria Math" w:hAnsi="Cambria Math" w:cs="Times New Roman"/>
              </w:rPr>
              <m:t>treatment</m:t>
            </m:r>
            <m:ctrlPr>
              <w:rPr>
                <w:rFonts w:ascii="Cambria Math" w:hAnsi="Cambria Math" w:cs="Times New Roman"/>
                <w:i/>
              </w:rPr>
            </m:ctrlPr>
          </m:sup>
        </m:sSubSup>
        <m:r>
          <m:rPr/>
          <w:rPr>
            <w:rFonts w:ascii="Cambria Math" w:hAnsi="Cambria Math" w:cs="Times New Roman"/>
          </w:rPr>
          <m:t>−</m:t>
        </m:r>
        <m:sSubSup>
          <m:sSubSupPr>
            <m:ctrlPr>
              <w:rPr>
                <w:rFonts w:ascii="Cambria Math" w:hAnsi="Cambria Math" w:cs="Times New Roman"/>
                <w:i/>
              </w:rPr>
            </m:ctrlPr>
          </m:sSubSupPr>
          <m:e>
            <m:r>
              <m:rPr/>
              <w:rPr>
                <w:rFonts w:ascii="Cambria Math" w:hAnsi="Cambria Math" w:cs="Times New Roman"/>
              </w:rPr>
              <m:t>Q</m:t>
            </m:r>
            <m:ctrlPr>
              <w:rPr>
                <w:rFonts w:ascii="Cambria Math" w:hAnsi="Cambria Math" w:cs="Times New Roman"/>
                <w:i/>
              </w:rPr>
            </m:ctrlPr>
          </m:e>
          <m:sub>
            <m:r>
              <m:rPr>
                <m:sty m:val="p"/>
              </m:rPr>
              <w:rPr>
                <w:rFonts w:hint="default" w:ascii="Cambria Math" w:hAnsi="Cambria Math" w:cs="Times New Roman"/>
              </w:rPr>
              <m:t>e</m:t>
            </m:r>
            <m:ctrlPr>
              <w:rPr>
                <w:rFonts w:ascii="Cambria Math" w:hAnsi="Cambria Math" w:cs="Times New Roman"/>
                <w:i/>
              </w:rPr>
            </m:ctrlPr>
          </m:sub>
          <m:sup>
            <m:r>
              <m:rPr>
                <m:sty m:val="p"/>
              </m:rPr>
              <w:rPr>
                <w:rFonts w:hint="default" w:ascii="Cambria Math" w:hAnsi="Cambria Math" w:cs="Times New Roman"/>
              </w:rPr>
              <m:t>control</m:t>
            </m:r>
            <m:ctrlPr>
              <w:rPr>
                <w:rFonts w:ascii="Cambria Math" w:hAnsi="Cambria Math" w:cs="Times New Roman"/>
                <w:i/>
              </w:rPr>
            </m:ctrlPr>
          </m:sup>
        </m:sSubSup>
      </m:oMath>
      <w:r>
        <w:rPr>
          <w:rFonts w:cs="Times New Roman"/>
          <w:szCs w:val="24"/>
        </w:rPr>
        <w:tab/>
      </w:r>
      <w:r>
        <w:rPr>
          <w:rFonts w:cs="Times New Roman"/>
          <w:szCs w:val="24"/>
        </w:rPr>
        <w:t>(12)</w:t>
      </w:r>
    </w:p>
    <w:p w14:paraId="57D78C7B">
      <w:pPr>
        <w:ind w:firstLine="0" w:firstLineChars="0"/>
      </w:pPr>
      <w:r>
        <w:rPr>
          <w:rFonts w:cs="Times New Roman"/>
          <w:szCs w:val="24"/>
        </w:rPr>
        <w:t xml:space="preserve">where </w:t>
      </w:r>
      <w:r>
        <w:rPr>
          <w:i/>
          <w:iCs/>
        </w:rPr>
        <w:t>Q</w:t>
      </w:r>
      <w:r>
        <w:rPr>
          <w:i w:val="0"/>
          <w:iCs w:val="0"/>
          <w:vertAlign w:val="subscript"/>
        </w:rPr>
        <w:t>e</w:t>
      </w:r>
      <w:r>
        <w:rPr>
          <w:i/>
          <w:iCs/>
          <w:vertAlign w:val="subscript"/>
        </w:rPr>
        <w:t xml:space="preserve"> </w:t>
      </w:r>
      <w:r>
        <w:rPr>
          <w:i w:val="0"/>
          <w:iCs w:val="0"/>
          <w:vertAlign w:val="superscript"/>
        </w:rPr>
        <w:t>treatment</w:t>
      </w:r>
      <w:r>
        <w:rPr>
          <w:i/>
          <w:iCs/>
          <w:vertAlign w:val="subscript"/>
        </w:rPr>
        <w:t xml:space="preserve"> </w:t>
      </w:r>
      <w:r>
        <w:t xml:space="preserve">is the equilibrium sorption capacity in the treatment system (e.g., ionic strength adjustment, pH variation, humic acid addition, or competitive sorption), while </w:t>
      </w:r>
      <w:r>
        <w:rPr>
          <w:i/>
          <w:iCs/>
        </w:rPr>
        <w:t>Q</w:t>
      </w:r>
      <w:r>
        <w:rPr>
          <w:i w:val="0"/>
          <w:iCs w:val="0"/>
          <w:vertAlign w:val="subscript"/>
        </w:rPr>
        <w:t>e</w:t>
      </w:r>
      <w:r>
        <w:rPr>
          <w:i/>
          <w:iCs/>
          <w:vertAlign w:val="subscript"/>
        </w:rPr>
        <w:t xml:space="preserve"> </w:t>
      </w:r>
      <w:r>
        <w:rPr>
          <w:i w:val="0"/>
          <w:iCs w:val="0"/>
          <w:vertAlign w:val="superscript"/>
        </w:rPr>
        <w:t>control</w:t>
      </w:r>
      <w:r>
        <w:t xml:space="preserve"> is the equilibrium sorption capacity in the corresponding control system. </w:t>
      </w:r>
    </w:p>
    <w:p w14:paraId="03353263">
      <w:pPr>
        <w:ind w:firstLine="480" w:firstLineChars="0"/>
        <w:rPr>
          <w:rFonts w:cs="Times New Roman"/>
          <w:szCs w:val="24"/>
        </w:rPr>
      </w:pPr>
      <w:r>
        <w:rPr>
          <w:rFonts w:cs="Times New Roman"/>
          <w:szCs w:val="24"/>
        </w:rPr>
        <w:t>The release ratio (</w:t>
      </w:r>
      <w:r>
        <w:rPr>
          <w:rFonts w:cs="Times New Roman"/>
          <w:i/>
          <w:iCs/>
          <w:szCs w:val="24"/>
        </w:rPr>
        <w:t>R</w:t>
      </w:r>
      <w:r>
        <w:rPr>
          <w:rFonts w:cs="Times New Roman"/>
          <w:i w:val="0"/>
          <w:iCs w:val="0"/>
          <w:szCs w:val="24"/>
          <w:vertAlign w:val="subscript"/>
        </w:rPr>
        <w:t>r</w:t>
      </w:r>
      <w:r>
        <w:rPr>
          <w:rFonts w:cs="Times New Roman"/>
          <w:szCs w:val="24"/>
        </w:rPr>
        <w:t>) was used to describe the extent of desorption and sorption reversibility:</w:t>
      </w:r>
    </w:p>
    <w:p w14:paraId="2ADAC26E">
      <w:pPr>
        <w:tabs>
          <w:tab w:val="right" w:pos="20160"/>
        </w:tabs>
        <w:ind w:firstLine="480"/>
        <w:rPr>
          <w:rFonts w:cs="Times New Roman"/>
        </w:rPr>
      </w:pPr>
      <m:oMath>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R</m:t>
            </m:r>
            <m:ctrlPr>
              <w:rPr>
                <w:rFonts w:ascii="Cambria Math" w:hAnsi="Cambria Math" w:cs="Times New Roman" w:eastAsiaTheme="minorEastAsia"/>
                <w:i/>
                <w:szCs w:val="24"/>
              </w:rPr>
            </m:ctrlPr>
          </m:e>
          <m:sub>
            <m:r>
              <m:rPr>
                <m:sty m:val="p"/>
              </m:rPr>
              <w:rPr>
                <w:rFonts w:hint="default" w:ascii="Cambria Math" w:hAnsi="Cambria Math" w:cs="Times New Roman" w:eastAsiaTheme="minorEastAsia"/>
                <w:szCs w:val="24"/>
              </w:rPr>
              <m:t>r</m:t>
            </m:r>
            <m:ctrlPr>
              <w:rPr>
                <w:rFonts w:ascii="Cambria Math" w:hAnsi="Cambria Math" w:cs="Times New Roman" w:eastAsiaTheme="minorEastAsia"/>
                <w:i/>
                <w:szCs w:val="24"/>
              </w:rPr>
            </m:ctrlPr>
          </m:sub>
        </m:sSub>
        <m:d>
          <m:dPr>
            <m:ctrlPr>
              <w:rPr>
                <w:rFonts w:ascii="Cambria Math" w:hAnsi="Cambria Math" w:cs="Times New Roman" w:eastAsiaTheme="minorEastAsia"/>
                <w:i/>
                <w:szCs w:val="24"/>
              </w:rPr>
            </m:ctrlPr>
          </m:dPr>
          <m:e>
            <m:r>
              <m:rPr/>
              <w:rPr>
                <w:rFonts w:ascii="Cambria Math" w:hAnsi="Cambria Math" w:cs="Times New Roman" w:eastAsiaTheme="minorEastAsia"/>
                <w:szCs w:val="24"/>
              </w:rPr>
              <m:t>% of sorbed</m:t>
            </m:r>
            <m:ctrlPr>
              <w:rPr>
                <w:rFonts w:ascii="Cambria Math" w:hAnsi="Cambria Math" w:cs="Times New Roman" w:eastAsiaTheme="minorEastAsia"/>
                <w:i/>
                <w:szCs w:val="24"/>
              </w:rPr>
            </m:ctrlPr>
          </m:e>
        </m:d>
        <m:r>
          <m:rPr/>
          <w:rPr>
            <w:rFonts w:ascii="Cambria Math" w:hAnsi="Cambria Math" w:cs="Times New Roman" w:eastAsiaTheme="minorEastAsia"/>
            <w:szCs w:val="24"/>
          </w:rPr>
          <m:t>=</m:t>
        </m:r>
        <m:f>
          <m:fPr>
            <m:ctrlPr>
              <w:rPr>
                <w:rFonts w:ascii="Cambria Math" w:hAnsi="Cambria Math" w:cs="Times New Roman" w:eastAsiaTheme="minorEastAsia"/>
                <w:i/>
                <w:szCs w:val="24"/>
              </w:rPr>
            </m:ctrlPr>
          </m:fPr>
          <m:num>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m:sty m:val="p"/>
                  </m:rPr>
                  <w:rPr>
                    <w:rFonts w:hint="default" w:ascii="Cambria Math" w:hAnsi="Cambria Math" w:cs="Times New Roman" w:eastAsiaTheme="minorEastAsia"/>
                    <w:szCs w:val="24"/>
                  </w:rPr>
                  <m:t>e</m:t>
                </m:r>
                <m:ctrlPr>
                  <w:rPr>
                    <w:rFonts w:ascii="Cambria Math" w:hAnsi="Cambria Math" w:cs="Times New Roman" w:eastAsiaTheme="minorEastAsia"/>
                    <w:i/>
                    <w:szCs w:val="24"/>
                  </w:rPr>
                </m:ctrlPr>
              </m:sub>
            </m:sSub>
            <m:r>
              <m:rPr/>
              <w:rPr>
                <w:rFonts w:ascii="Cambria Math" w:hAnsi="Cambria Math" w:cs="Times New Roman" w:eastAsiaTheme="minorEastAsia"/>
                <w:szCs w:val="24"/>
              </w:rPr>
              <m:t>−</m:t>
            </m:r>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m:sty m:val="p"/>
                  </m:rPr>
                  <w:rPr>
                    <w:rFonts w:hint="default" w:ascii="Cambria Math" w:hAnsi="Cambria Math" w:cs="Times New Roman" w:eastAsiaTheme="minorEastAsia"/>
                    <w:szCs w:val="24"/>
                  </w:rPr>
                  <m:t>d</m:t>
                </m:r>
                <m:ctrlPr>
                  <w:rPr>
                    <w:rFonts w:ascii="Cambria Math" w:hAnsi="Cambria Math" w:cs="Times New Roman" w:eastAsiaTheme="minorEastAsia"/>
                    <w:i/>
                    <w:szCs w:val="24"/>
                  </w:rPr>
                </m:ctrlPr>
              </m:sub>
            </m:sSub>
            <m:ctrlPr>
              <w:rPr>
                <w:rFonts w:ascii="Cambria Math" w:hAnsi="Cambria Math" w:cs="Times New Roman" w:eastAsiaTheme="minorEastAsia"/>
                <w:i/>
                <w:szCs w:val="24"/>
              </w:rPr>
            </m:ctrlPr>
          </m:num>
          <m:den>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m:sty m:val="p"/>
                  </m:rPr>
                  <w:rPr>
                    <w:rFonts w:hint="default" w:ascii="Cambria Math" w:hAnsi="Cambria Math" w:cs="Times New Roman" w:eastAsiaTheme="minorEastAsia"/>
                    <w:szCs w:val="24"/>
                  </w:rPr>
                  <m:t>e</m:t>
                </m:r>
                <m:ctrlPr>
                  <w:rPr>
                    <w:rFonts w:ascii="Cambria Math" w:hAnsi="Cambria Math" w:cs="Times New Roman" w:eastAsiaTheme="minorEastAsia"/>
                    <w:i/>
                    <w:szCs w:val="24"/>
                  </w:rPr>
                </m:ctrlPr>
              </m:sub>
            </m:sSub>
            <m:ctrlPr>
              <w:rPr>
                <w:rFonts w:ascii="Cambria Math" w:hAnsi="Cambria Math" w:cs="Times New Roman" w:eastAsiaTheme="minorEastAsia"/>
                <w:i/>
                <w:szCs w:val="24"/>
              </w:rPr>
            </m:ctrlPr>
          </m:den>
        </m:f>
        <m:r>
          <m:rPr/>
          <w:rPr>
            <w:rFonts w:ascii="Cambria Math" w:hAnsi="Cambria Math" w:cs="Times New Roman" w:eastAsiaTheme="minorEastAsia"/>
            <w:szCs w:val="24"/>
          </w:rPr>
          <m:t>×100%</m:t>
        </m:r>
      </m:oMath>
      <w:r>
        <w:rPr>
          <w:rFonts w:cs="Times New Roman"/>
        </w:rPr>
        <w:tab/>
      </w:r>
      <w:r>
        <w:rPr>
          <w:rFonts w:cs="Times New Roman"/>
        </w:rPr>
        <w:t>(13)</w:t>
      </w:r>
    </w:p>
    <w:p w14:paraId="2561ADDD">
      <w:pPr>
        <w:tabs>
          <w:tab w:val="right" w:pos="20160"/>
        </w:tabs>
        <w:ind w:firstLine="0" w:firstLineChars="0"/>
        <w:rPr>
          <w:rFonts w:cs="Times New Roman"/>
        </w:rPr>
      </w:pPr>
      <w:r>
        <w:rPr>
          <w:rFonts w:cs="Times New Roman"/>
        </w:rPr>
        <w:t xml:space="preserve">where </w:t>
      </w:r>
      <w:r>
        <w:rPr>
          <w:rFonts w:cs="Times New Roman"/>
          <w:i/>
          <w:iCs/>
        </w:rPr>
        <w:t>Q</w:t>
      </w:r>
      <w:r>
        <w:rPr>
          <w:rFonts w:cs="Times New Roman"/>
          <w:i w:val="0"/>
          <w:iCs w:val="0"/>
          <w:vertAlign w:val="subscript"/>
        </w:rPr>
        <w:t>e</w:t>
      </w:r>
      <w:r>
        <w:rPr>
          <w:rFonts w:cs="Times New Roman"/>
          <w:i/>
          <w:iCs/>
        </w:rPr>
        <w:t xml:space="preserve"> </w:t>
      </w:r>
      <w:r>
        <w:rPr>
          <w:rFonts w:cs="Times New Roman"/>
        </w:rPr>
        <w:t>(mg·g</w:t>
      </w:r>
      <w:r>
        <w:rPr>
          <w:rFonts w:cs="Times New Roman"/>
          <w:szCs w:val="24"/>
        </w:rPr>
        <w:t>⁻</w:t>
      </w:r>
      <w:r>
        <w:rPr>
          <w:rFonts w:cs="Times New Roman"/>
          <w:vertAlign w:val="superscript"/>
        </w:rPr>
        <w:t>1</w:t>
      </w:r>
      <w:r>
        <w:rPr>
          <w:rFonts w:cs="Times New Roman"/>
        </w:rPr>
        <w:t xml:space="preserve">) is the equilibrium sorption concentration, and </w:t>
      </w:r>
      <w:r>
        <w:rPr>
          <w:rFonts w:cs="Times New Roman"/>
          <w:i/>
          <w:iCs/>
        </w:rPr>
        <w:t>Q</w:t>
      </w:r>
      <w:r>
        <w:rPr>
          <w:rFonts w:cs="Times New Roman"/>
          <w:i w:val="0"/>
          <w:iCs w:val="0"/>
          <w:vertAlign w:val="subscript"/>
        </w:rPr>
        <w:t>d</w:t>
      </w:r>
      <w:r>
        <w:rPr>
          <w:rFonts w:cs="Times New Roman"/>
        </w:rPr>
        <w:t xml:space="preserve"> (mg·g</w:t>
      </w:r>
      <w:r>
        <w:rPr>
          <w:rFonts w:cs="Times New Roman"/>
          <w:szCs w:val="24"/>
        </w:rPr>
        <w:t>⁻</w:t>
      </w:r>
      <w:r>
        <w:rPr>
          <w:rFonts w:cs="Times New Roman"/>
          <w:vertAlign w:val="superscript"/>
        </w:rPr>
        <w:t>1</w:t>
      </w:r>
      <w:r>
        <w:rPr>
          <w:rFonts w:cs="Times New Roman"/>
        </w:rPr>
        <w:t>) is the equilibrium sorption concentration after the third desorption process.</w:t>
      </w:r>
    </w:p>
    <w:p w14:paraId="2F57AEBC">
      <w:pPr>
        <w:tabs>
          <w:tab w:val="right" w:pos="20160"/>
        </w:tabs>
        <w:ind w:firstLine="480"/>
        <w:rPr>
          <w:rFonts w:cs="Times New Roman"/>
        </w:rPr>
      </w:pPr>
      <w:r>
        <w:rPr>
          <w:rFonts w:cs="Times New Roman"/>
        </w:rPr>
        <w:t>The hysteresis index (</w:t>
      </w:r>
      <w:r>
        <w:rPr>
          <w:rFonts w:cs="Times New Roman"/>
          <w:i w:val="0"/>
          <w:iCs w:val="0"/>
        </w:rPr>
        <w:t>HI</w:t>
      </w:r>
      <w:r>
        <w:rPr>
          <w:rFonts w:cs="Times New Roman"/>
        </w:rPr>
        <w:t>) was applied to quantify sorption–desorption irreversibility and was calculated based on the Freundlich isotherm parameters:</w:t>
      </w:r>
    </w:p>
    <w:p w14:paraId="51D725A8">
      <w:pPr>
        <w:tabs>
          <w:tab w:val="right" w:pos="20160"/>
        </w:tabs>
        <w:ind w:firstLine="480"/>
        <w:rPr>
          <w:rFonts w:cs="Times New Roman"/>
        </w:rPr>
      </w:pPr>
      <m:oMath>
        <m:r>
          <m:rPr>
            <m:sty m:val="p"/>
          </m:rPr>
          <w:rPr>
            <w:rFonts w:hint="default" w:ascii="Cambria Math" w:hAnsi="Cambria Math" w:cs="Times New Roman"/>
          </w:rPr>
          <m:t>HI</m:t>
        </m:r>
        <m:r>
          <m:rPr/>
          <w:rPr>
            <w:rFonts w:ascii="Cambria Math" w:hAnsi="Cambria Math" w:cs="Times New Roman" w:eastAsiaTheme="minorEastAsia"/>
            <w:szCs w:val="24"/>
          </w:rPr>
          <m:t>=</m:t>
        </m:r>
        <m:f>
          <m:fPr>
            <m:ctrlPr>
              <w:rPr>
                <w:rFonts w:ascii="Cambria Math" w:hAnsi="Cambria Math" w:cs="Times New Roman" w:eastAsiaTheme="minorEastAsia"/>
                <w:i/>
                <w:szCs w:val="24"/>
              </w:rPr>
            </m:ctrlPr>
          </m:fPr>
          <m:num>
            <m:sSubSup>
              <m:sSubSupPr>
                <m:ctrlPr>
                  <w:rPr>
                    <w:rFonts w:ascii="Cambria Math" w:hAnsi="Cambria Math" w:cs="Times New Roman" w:eastAsiaTheme="minorEastAsia"/>
                    <w:i/>
                    <w:szCs w:val="24"/>
                  </w:rPr>
                </m:ctrlPr>
              </m:sSubSup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up>
                <m:r>
                  <m:rPr/>
                  <w:rPr>
                    <w:rFonts w:ascii="Cambria Math" w:hAnsi="Cambria Math" w:cs="Times New Roman" w:eastAsiaTheme="minorEastAsia"/>
                    <w:szCs w:val="24"/>
                  </w:rPr>
                  <m:t>d</m:t>
                </m:r>
                <m:ctrlPr>
                  <w:rPr>
                    <w:rFonts w:ascii="Cambria Math" w:hAnsi="Cambria Math" w:cs="Times New Roman" w:eastAsiaTheme="minorEastAsia"/>
                    <w:i/>
                    <w:szCs w:val="24"/>
                  </w:rPr>
                </m:ctrlPr>
              </m:sup>
            </m:sSubSup>
            <m:r>
              <m:rPr/>
              <w:rPr>
                <w:rFonts w:ascii="Cambria Math" w:hAnsi="Cambria Math" w:cs="Times New Roman" w:eastAsiaTheme="minorEastAsia"/>
                <w:szCs w:val="24"/>
              </w:rPr>
              <m:t>−</m:t>
            </m:r>
            <m:sSubSup>
              <m:sSubSupPr>
                <m:ctrlPr>
                  <w:rPr>
                    <w:rFonts w:ascii="Cambria Math" w:hAnsi="Cambria Math" w:cs="Times New Roman" w:eastAsiaTheme="minorEastAsia"/>
                    <w:i/>
                    <w:szCs w:val="24"/>
                  </w:rPr>
                </m:ctrlPr>
              </m:sSubSup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up>
                <m:r>
                  <m:rPr/>
                  <w:rPr>
                    <w:rFonts w:ascii="Cambria Math" w:hAnsi="Cambria Math" w:cs="Times New Roman" w:eastAsiaTheme="minorEastAsia"/>
                    <w:szCs w:val="24"/>
                  </w:rPr>
                  <m:t>s</m:t>
                </m:r>
                <m:ctrlPr>
                  <w:rPr>
                    <w:rFonts w:ascii="Cambria Math" w:hAnsi="Cambria Math" w:cs="Times New Roman" w:eastAsiaTheme="minorEastAsia"/>
                    <w:i/>
                    <w:szCs w:val="24"/>
                  </w:rPr>
                </m:ctrlPr>
              </m:sup>
            </m:sSubSup>
            <m:ctrlPr>
              <w:rPr>
                <w:rFonts w:ascii="Cambria Math" w:hAnsi="Cambria Math" w:cs="Times New Roman" w:eastAsiaTheme="minorEastAsia"/>
                <w:i/>
                <w:szCs w:val="24"/>
              </w:rPr>
            </m:ctrlPr>
          </m:num>
          <m:den>
            <m:sSubSup>
              <m:sSubSupPr>
                <m:ctrlPr>
                  <w:rPr>
                    <w:rFonts w:ascii="Cambria Math" w:hAnsi="Cambria Math" w:cs="Times New Roman" w:eastAsiaTheme="minorEastAsia"/>
                    <w:i/>
                    <w:szCs w:val="24"/>
                  </w:rPr>
                </m:ctrlPr>
              </m:sSubSup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up>
                <m:r>
                  <m:rPr/>
                  <w:rPr>
                    <w:rFonts w:ascii="Cambria Math" w:hAnsi="Cambria Math" w:cs="Times New Roman" w:eastAsiaTheme="minorEastAsia"/>
                    <w:szCs w:val="24"/>
                  </w:rPr>
                  <m:t>s</m:t>
                </m:r>
                <m:ctrlPr>
                  <w:rPr>
                    <w:rFonts w:ascii="Cambria Math" w:hAnsi="Cambria Math" w:cs="Times New Roman" w:eastAsiaTheme="minorEastAsia"/>
                    <w:i/>
                    <w:szCs w:val="24"/>
                  </w:rPr>
                </m:ctrlPr>
              </m:sup>
            </m:sSubSup>
            <m:ctrlPr>
              <w:rPr>
                <w:rFonts w:ascii="Cambria Math" w:hAnsi="Cambria Math" w:cs="Times New Roman" w:eastAsiaTheme="minorEastAsia"/>
                <w:i/>
                <w:szCs w:val="24"/>
              </w:rPr>
            </m:ctrlPr>
          </m:den>
        </m:f>
        <m:sSub>
          <m:sSubPr>
            <m:ctrlPr>
              <w:rPr>
                <w:rFonts w:ascii="Cambria Math" w:hAnsi="Cambria Math" w:cs="Times New Roman" w:eastAsiaTheme="minorEastAsia"/>
                <w:iCs/>
                <w:szCs w:val="24"/>
              </w:rPr>
            </m:ctrlPr>
          </m:sSubPr>
          <m:e>
            <m:r>
              <m:rPr>
                <m:sty m:val="p"/>
              </m:rPr>
              <w:rPr>
                <w:rFonts w:ascii="Cambria Math" w:hAnsi="Cambria Math" w:cs="Times New Roman" w:eastAsiaTheme="minorEastAsia"/>
                <w:szCs w:val="24"/>
              </w:rPr>
              <m:t>|</m:t>
            </m:r>
            <m:ctrlPr>
              <w:rPr>
                <w:rFonts w:ascii="Cambria Math" w:hAnsi="Cambria Math" w:cs="Times New Roman" w:eastAsiaTheme="minorEastAsia"/>
                <w:iCs/>
                <w:szCs w:val="24"/>
              </w:rPr>
            </m:ctrlPr>
          </m:e>
          <m:sub>
            <m:r>
              <m:rPr/>
              <w:rPr>
                <w:rFonts w:ascii="Cambria Math" w:hAnsi="Cambria Math" w:cs="Times New Roman" w:eastAsiaTheme="minorEastAsia"/>
                <w:szCs w:val="24"/>
              </w:rPr>
              <m:t>T,</m:t>
            </m:r>
            <m:sSub>
              <m:sSubPr>
                <m:ctrlPr>
                  <w:rPr>
                    <w:rFonts w:ascii="Cambria Math" w:hAnsi="Cambria Math" w:cs="Times New Roman" w:eastAsiaTheme="minorEastAsia"/>
                    <w:i/>
                    <w:iCs/>
                    <w:szCs w:val="24"/>
                  </w:rPr>
                </m:ctrlPr>
              </m:sSubPr>
              <m:e>
                <m:r>
                  <m:rPr/>
                  <w:rPr>
                    <w:rFonts w:ascii="Cambria Math" w:hAnsi="Cambria Math" w:cs="Times New Roman" w:eastAsiaTheme="minorEastAsia"/>
                    <w:szCs w:val="24"/>
                  </w:rPr>
                  <m:t>C</m:t>
                </m:r>
                <m:ctrlPr>
                  <w:rPr>
                    <w:rFonts w:ascii="Cambria Math" w:hAnsi="Cambria Math" w:cs="Times New Roman" w:eastAsiaTheme="minorEastAsia"/>
                    <w:i/>
                    <w:iCs/>
                    <w:szCs w:val="24"/>
                  </w:rPr>
                </m:ctrlPr>
              </m:e>
              <m:sub>
                <m:r>
                  <m:rPr/>
                  <w:rPr>
                    <w:rFonts w:ascii="Cambria Math" w:hAnsi="Cambria Math" w:cs="Times New Roman" w:eastAsiaTheme="minorEastAsia"/>
                    <w:szCs w:val="24"/>
                  </w:rPr>
                  <m:t>e</m:t>
                </m:r>
                <m:ctrlPr>
                  <w:rPr>
                    <w:rFonts w:ascii="Cambria Math" w:hAnsi="Cambria Math" w:cs="Times New Roman" w:eastAsiaTheme="minorEastAsia"/>
                    <w:i/>
                    <w:iCs/>
                    <w:szCs w:val="24"/>
                  </w:rPr>
                </m:ctrlPr>
              </m:sub>
            </m:sSub>
            <m:ctrlPr>
              <w:rPr>
                <w:rFonts w:ascii="Cambria Math" w:hAnsi="Cambria Math" w:cs="Times New Roman" w:eastAsiaTheme="minorEastAsia"/>
                <w:iCs/>
                <w:szCs w:val="24"/>
              </w:rPr>
            </m:ctrlPr>
          </m:sub>
        </m:sSub>
        <m:r>
          <m:rPr>
            <m:sty m:val="p"/>
          </m:rPr>
          <w:rPr>
            <w:rFonts w:ascii="Cambria Math" w:hAnsi="Cambria Math" w:cs="Times New Roman" w:eastAsiaTheme="minorEastAsia"/>
            <w:position w:val="-10"/>
            <w:szCs w:val="24"/>
          </w:rPr>
          <w:object>
            <v:shape id="_x0000_i1025" o:spt="75" type="#_x0000_t75" style="height:18.6pt;width:10.2pt;" o:ole="t" filled="f" o:preferrelative="t" stroked="f" coordsize="21600,21600">
              <v:path/>
              <v:fill on="f" focussize="0,0"/>
              <v:stroke on="f" joinstyle="miter"/>
              <v:imagedata r:id="rId13" o:title=""/>
              <o:lock v:ext="edit" aspectratio="t"/>
              <w10:wrap type="none"/>
              <w10:anchorlock/>
            </v:shape>
            <o:OLEObject Type="Embed" ProgID="Equation.KSEE3" ShapeID="_x0000_i1025" DrawAspect="Content" ObjectID="_1468075725" r:id="rId12">
              <o:LockedField>false</o:LockedField>
            </o:OLEObject>
          </w:object>
        </m:r>
      </m:oMath>
      <w:r>
        <w:rPr>
          <w:rFonts w:cs="Times New Roman"/>
        </w:rPr>
        <w:t xml:space="preserve"> </w:t>
      </w:r>
      <w:r>
        <w:rPr>
          <w:rFonts w:cs="Times New Roman"/>
        </w:rPr>
        <w:tab/>
      </w:r>
      <w:r>
        <w:rPr>
          <w:rFonts w:cs="Times New Roman"/>
        </w:rPr>
        <w:t>(14)</w:t>
      </w:r>
    </w:p>
    <w:p w14:paraId="45CC832F">
      <w:pPr>
        <w:widowControl/>
        <w:tabs>
          <w:tab w:val="right" w:pos="20160"/>
        </w:tabs>
        <w:spacing w:line="240" w:lineRule="auto"/>
        <w:ind w:firstLine="0" w:firstLineChars="0"/>
        <w:rPr>
          <w:rFonts w:eastAsia="Times New Roman" w:cs="Times New Roman"/>
          <w:color w:val="auto"/>
          <w:szCs w:val="24"/>
        </w:rPr>
      </w:pPr>
      <w:r>
        <w:rPr>
          <w:rFonts w:cs="Times New Roman" w:eastAsiaTheme="minorEastAsia"/>
          <w:iCs/>
          <w:szCs w:val="24"/>
        </w:rPr>
        <w:t xml:space="preserve">where </w:t>
      </w:r>
      <w:r>
        <w:rPr>
          <w:rFonts w:cs="Times New Roman" w:eastAsiaTheme="minorEastAsia"/>
          <w:i/>
          <w:szCs w:val="24"/>
        </w:rPr>
        <w:t>Q</w:t>
      </w:r>
      <w:r>
        <w:rPr>
          <w:rFonts w:cs="Times New Roman" w:eastAsiaTheme="minorEastAsia"/>
          <w:i w:val="0"/>
          <w:iCs/>
          <w:szCs w:val="24"/>
          <w:vertAlign w:val="subscript"/>
        </w:rPr>
        <w:t>e</w:t>
      </w:r>
      <w:r>
        <w:rPr>
          <w:rFonts w:cs="Times New Roman" w:eastAsiaTheme="minorEastAsia"/>
          <w:szCs w:val="24"/>
          <w:vertAlign w:val="superscript"/>
        </w:rPr>
        <w:t>d</w:t>
      </w:r>
      <w:r>
        <w:rPr>
          <w:rFonts w:cs="Times New Roman" w:eastAsiaTheme="minorEastAsia"/>
          <w:szCs w:val="24"/>
        </w:rPr>
        <w:t xml:space="preserve"> (mg·g</w:t>
      </w:r>
      <w:r>
        <w:rPr>
          <w:rFonts w:cs="Times New Roman"/>
          <w:szCs w:val="24"/>
        </w:rPr>
        <w:t>⁻</w:t>
      </w:r>
      <w:r>
        <w:rPr>
          <w:rFonts w:cs="Times New Roman" w:eastAsiaTheme="minorEastAsia"/>
          <w:szCs w:val="24"/>
          <w:vertAlign w:val="superscript"/>
        </w:rPr>
        <w:t>1</w:t>
      </w:r>
      <w:r>
        <w:rPr>
          <w:rFonts w:cs="Times New Roman" w:eastAsiaTheme="minorEastAsia"/>
          <w:szCs w:val="24"/>
        </w:rPr>
        <w:t xml:space="preserve">) is solid-phase solute concentration observed in the desorption experiment that is in equilibrium with an aqueous-phase concentration </w:t>
      </w:r>
      <w:r>
        <w:rPr>
          <w:rFonts w:cs="Times New Roman" w:eastAsiaTheme="minorEastAsia"/>
          <w:i/>
          <w:szCs w:val="24"/>
        </w:rPr>
        <w:t>C</w:t>
      </w:r>
      <w:r>
        <w:rPr>
          <w:rFonts w:cs="Times New Roman" w:eastAsiaTheme="minorEastAsia"/>
          <w:szCs w:val="24"/>
          <w:vertAlign w:val="subscript"/>
        </w:rPr>
        <w:t xml:space="preserve">e </w:t>
      </w:r>
      <w:r>
        <w:rPr>
          <w:rFonts w:cs="Times New Roman" w:eastAsiaTheme="minorEastAsia"/>
          <w:szCs w:val="24"/>
        </w:rPr>
        <w:t>(mg·L</w:t>
      </w:r>
      <w:r>
        <w:rPr>
          <w:rFonts w:cs="Times New Roman"/>
          <w:szCs w:val="24"/>
        </w:rPr>
        <w:t>⁻</w:t>
      </w:r>
      <w:r>
        <w:rPr>
          <w:rFonts w:cs="Times New Roman" w:eastAsiaTheme="minorEastAsia"/>
          <w:szCs w:val="24"/>
          <w:vertAlign w:val="superscript"/>
        </w:rPr>
        <w:t>1</w:t>
      </w:r>
      <w:r>
        <w:rPr>
          <w:rFonts w:cs="Times New Roman" w:eastAsiaTheme="minorEastAsia"/>
          <w:szCs w:val="24"/>
        </w:rPr>
        <w:t xml:space="preserve">), and </w:t>
      </w:r>
      <w:r>
        <w:rPr>
          <w:rFonts w:cs="Times New Roman" w:eastAsiaTheme="minorEastAsia"/>
          <w:i/>
          <w:szCs w:val="24"/>
        </w:rPr>
        <w:t>Q</w:t>
      </w:r>
      <w:r>
        <w:rPr>
          <w:rFonts w:cs="Times New Roman" w:eastAsiaTheme="minorEastAsia"/>
          <w:i w:val="0"/>
          <w:iCs/>
          <w:szCs w:val="24"/>
          <w:vertAlign w:val="subscript"/>
        </w:rPr>
        <w:t>e</w:t>
      </w:r>
      <w:r>
        <w:rPr>
          <w:rFonts w:cs="Times New Roman" w:eastAsiaTheme="minorEastAsia"/>
          <w:szCs w:val="24"/>
          <w:vertAlign w:val="superscript"/>
        </w:rPr>
        <w:t>s</w:t>
      </w:r>
      <w:r>
        <w:rPr>
          <w:rFonts w:cs="Times New Roman" w:eastAsiaTheme="minorEastAsia"/>
          <w:szCs w:val="24"/>
        </w:rPr>
        <w:t xml:space="preserve"> (mg·g</w:t>
      </w:r>
      <w:r>
        <w:rPr>
          <w:rFonts w:cs="Times New Roman"/>
          <w:szCs w:val="24"/>
        </w:rPr>
        <w:t>⁻</w:t>
      </w:r>
      <w:r>
        <w:rPr>
          <w:rFonts w:cs="Times New Roman" w:eastAsiaTheme="minorEastAsia"/>
          <w:szCs w:val="24"/>
          <w:vertAlign w:val="superscript"/>
        </w:rPr>
        <w:t>1</w:t>
      </w:r>
      <w:r>
        <w:rPr>
          <w:rFonts w:cs="Times New Roman" w:eastAsiaTheme="minorEastAsia"/>
          <w:szCs w:val="24"/>
        </w:rPr>
        <w:t xml:space="preserve">) is the solid-phase solute concentration calculated from </w:t>
      </w:r>
      <w:r>
        <w:rPr>
          <w:rFonts w:cs="Times New Roman" w:eastAsiaTheme="minorEastAsia"/>
          <w:i/>
          <w:szCs w:val="24"/>
        </w:rPr>
        <w:t>C</w:t>
      </w:r>
      <w:r>
        <w:rPr>
          <w:rFonts w:cs="Times New Roman" w:eastAsiaTheme="minorEastAsia"/>
          <w:szCs w:val="24"/>
          <w:vertAlign w:val="subscript"/>
        </w:rPr>
        <w:t>e</w:t>
      </w:r>
      <w:r>
        <w:rPr>
          <w:rFonts w:cs="Times New Roman" w:eastAsiaTheme="minorEastAsia"/>
          <w:szCs w:val="24"/>
        </w:rPr>
        <w:t xml:space="preserve"> assuming that desorption is reversible.</w:t>
      </w:r>
    </w:p>
    <w:p w14:paraId="51D18428">
      <w:pPr>
        <w:tabs>
          <w:tab w:val="left" w:pos="8610"/>
        </w:tabs>
        <w:ind w:firstLine="0" w:firstLineChars="0"/>
        <w:rPr>
          <w:rFonts w:cs="Times New Roman"/>
        </w:rPr>
      </w:pPr>
      <w:r>
        <w:rPr>
          <w:rFonts w:cs="Times New Roman"/>
        </w:rPr>
        <w:br w:type="page"/>
      </w:r>
    </w:p>
    <w:p w14:paraId="6DC7C374">
      <w:pPr>
        <w:pStyle w:val="2"/>
        <w:rPr>
          <w:rFonts w:cs="Times New Roman"/>
        </w:rPr>
      </w:pPr>
      <w:bookmarkStart w:id="10" w:name="_Hlk163340933"/>
      <w:bookmarkStart w:id="11" w:name="_Toc228301080"/>
      <w:bookmarkStart w:id="12" w:name="OLE_LINK18"/>
      <w:bookmarkStart w:id="13" w:name="OLE_LINK19"/>
      <w:r>
        <w:rPr>
          <w:rFonts w:cs="Times New Roman"/>
          <w:b/>
          <w:bCs/>
        </w:rPr>
        <w:t xml:space="preserve">Table S1 </w:t>
      </w:r>
      <w:r>
        <w:rPr>
          <w:rFonts w:cs="Times New Roman"/>
        </w:rPr>
        <w:t>Selected properties of pesticides</w:t>
      </w:r>
      <w:bookmarkEnd w:id="10"/>
      <w:bookmarkEnd w:id="11"/>
    </w:p>
    <w:tbl>
      <w:tblPr>
        <w:tblStyle w:val="21"/>
        <w:tblW w:w="9363" w:type="dxa"/>
        <w:jc w:val="center"/>
        <w:tblLayout w:type="fixed"/>
        <w:tblCellMar>
          <w:top w:w="0" w:type="dxa"/>
          <w:left w:w="108" w:type="dxa"/>
          <w:bottom w:w="0" w:type="dxa"/>
          <w:right w:w="108" w:type="dxa"/>
        </w:tblCellMar>
      </w:tblPr>
      <w:tblGrid>
        <w:gridCol w:w="1360"/>
        <w:gridCol w:w="1334"/>
        <w:gridCol w:w="1634"/>
        <w:gridCol w:w="1228"/>
        <w:gridCol w:w="1434"/>
        <w:gridCol w:w="1272"/>
        <w:gridCol w:w="1101"/>
      </w:tblGrid>
      <w:tr w14:paraId="465BB2A9">
        <w:tblPrEx>
          <w:tblCellMar>
            <w:top w:w="0" w:type="dxa"/>
            <w:left w:w="108" w:type="dxa"/>
            <w:bottom w:w="0" w:type="dxa"/>
            <w:right w:w="108" w:type="dxa"/>
          </w:tblCellMar>
        </w:tblPrEx>
        <w:trPr>
          <w:trHeight w:val="478" w:hRule="atLeast"/>
          <w:jc w:val="center"/>
        </w:trPr>
        <w:tc>
          <w:tcPr>
            <w:tcW w:w="1360" w:type="dxa"/>
            <w:tcBorders>
              <w:top w:val="single" w:color="000000" w:sz="12" w:space="0"/>
              <w:left w:val="nil"/>
              <w:bottom w:val="single" w:color="000000" w:sz="4" w:space="0"/>
              <w:right w:val="nil"/>
              <w:tl2br w:val="nil"/>
            </w:tcBorders>
            <w:shd w:val="clear" w:color="auto" w:fill="FFFFFF"/>
            <w:noWrap/>
            <w:vAlign w:val="center"/>
          </w:tcPr>
          <w:p w14:paraId="23A21993">
            <w:pPr>
              <w:widowControl/>
              <w:spacing w:line="240" w:lineRule="auto"/>
              <w:ind w:firstLine="0" w:firstLineChars="0"/>
              <w:jc w:val="center"/>
              <w:rPr>
                <w:rFonts w:cs="Times New Roman"/>
                <w:b/>
                <w:color w:val="000000"/>
                <w:sz w:val="21"/>
                <w:szCs w:val="21"/>
              </w:rPr>
            </w:pPr>
            <w:r>
              <w:rPr>
                <w:rFonts w:cs="Times New Roman"/>
                <w:b/>
                <w:color w:val="000000"/>
                <w:sz w:val="21"/>
                <w:szCs w:val="21"/>
              </w:rPr>
              <w:t>Compound</w:t>
            </w:r>
          </w:p>
        </w:tc>
        <w:tc>
          <w:tcPr>
            <w:tcW w:w="1334" w:type="dxa"/>
            <w:tcBorders>
              <w:top w:val="single" w:color="000000" w:sz="12" w:space="0"/>
              <w:left w:val="nil"/>
              <w:bottom w:val="single" w:color="000000" w:sz="4" w:space="0"/>
              <w:right w:val="nil"/>
            </w:tcBorders>
            <w:shd w:val="clear" w:color="auto" w:fill="FFFFFF"/>
            <w:noWrap/>
            <w:vAlign w:val="center"/>
          </w:tcPr>
          <w:p w14:paraId="1CBBED8D">
            <w:pPr>
              <w:widowControl/>
              <w:spacing w:line="240" w:lineRule="auto"/>
              <w:ind w:firstLine="0" w:firstLineChars="0"/>
              <w:jc w:val="center"/>
              <w:rPr>
                <w:rFonts w:cs="Times New Roman"/>
                <w:b/>
                <w:color w:val="000000"/>
                <w:sz w:val="21"/>
                <w:szCs w:val="21"/>
              </w:rPr>
            </w:pPr>
            <w:r>
              <w:rPr>
                <w:rFonts w:cs="Times New Roman"/>
                <w:b/>
                <w:color w:val="000000"/>
                <w:sz w:val="21"/>
                <w:szCs w:val="21"/>
              </w:rPr>
              <w:t>Structure</w:t>
            </w:r>
          </w:p>
        </w:tc>
        <w:tc>
          <w:tcPr>
            <w:tcW w:w="1634" w:type="dxa"/>
            <w:tcBorders>
              <w:top w:val="single" w:color="000000" w:sz="12" w:space="0"/>
              <w:left w:val="nil"/>
              <w:bottom w:val="single" w:color="000000" w:sz="4" w:space="0"/>
              <w:right w:val="nil"/>
            </w:tcBorders>
            <w:shd w:val="clear" w:color="auto" w:fill="FFFFFF"/>
            <w:noWrap/>
            <w:vAlign w:val="center"/>
          </w:tcPr>
          <w:p w14:paraId="70950932">
            <w:pPr>
              <w:widowControl/>
              <w:spacing w:line="240" w:lineRule="auto"/>
              <w:ind w:firstLine="0" w:firstLineChars="0"/>
              <w:jc w:val="center"/>
              <w:rPr>
                <w:rFonts w:cs="Times New Roman"/>
                <w:b/>
                <w:color w:val="000000"/>
                <w:sz w:val="21"/>
                <w:szCs w:val="21"/>
              </w:rPr>
            </w:pPr>
            <w:r>
              <w:rPr>
                <w:rFonts w:cs="Times New Roman"/>
                <w:b/>
                <w:color w:val="000000"/>
                <w:sz w:val="21"/>
                <w:szCs w:val="21"/>
              </w:rPr>
              <w:t>Molecular formula</w:t>
            </w:r>
          </w:p>
        </w:tc>
        <w:tc>
          <w:tcPr>
            <w:tcW w:w="1228" w:type="dxa"/>
            <w:tcBorders>
              <w:top w:val="single" w:color="000000" w:sz="12" w:space="0"/>
              <w:left w:val="nil"/>
              <w:bottom w:val="single" w:color="000000" w:sz="4" w:space="0"/>
              <w:right w:val="nil"/>
            </w:tcBorders>
            <w:shd w:val="clear" w:color="auto" w:fill="FFFFFF"/>
            <w:vAlign w:val="center"/>
          </w:tcPr>
          <w:p w14:paraId="208EAE3D">
            <w:pPr>
              <w:widowControl/>
              <w:spacing w:line="240" w:lineRule="auto"/>
              <w:ind w:firstLine="0" w:firstLineChars="0"/>
              <w:jc w:val="center"/>
              <w:rPr>
                <w:rFonts w:cs="Times New Roman"/>
                <w:b/>
                <w:color w:val="000000"/>
                <w:sz w:val="21"/>
                <w:szCs w:val="21"/>
              </w:rPr>
            </w:pPr>
            <w:r>
              <w:rPr>
                <w:rFonts w:cs="Times New Roman"/>
                <w:b/>
                <w:color w:val="000000"/>
                <w:sz w:val="21"/>
                <w:szCs w:val="21"/>
              </w:rPr>
              <w:t xml:space="preserve">Molecular weight </w:t>
            </w:r>
            <w:r>
              <w:rPr>
                <w:rFonts w:cs="Times New Roman"/>
                <w:b/>
                <w:color w:val="000000"/>
                <w:sz w:val="21"/>
                <w:szCs w:val="21"/>
              </w:rPr>
              <w:br w:type="textWrapping"/>
            </w:r>
            <w:r>
              <w:rPr>
                <w:rFonts w:cs="Times New Roman"/>
                <w:b/>
                <w:color w:val="000000"/>
                <w:sz w:val="21"/>
                <w:szCs w:val="21"/>
              </w:rPr>
              <w:t>(g·mol</w:t>
            </w:r>
            <w:r>
              <w:rPr>
                <w:rFonts w:cs="Times New Roman"/>
                <w:b/>
                <w:bCs/>
                <w:sz w:val="21"/>
                <w:szCs w:val="21"/>
              </w:rPr>
              <w:t>⁻</w:t>
            </w:r>
            <w:r>
              <w:rPr>
                <w:rFonts w:cs="Times New Roman"/>
                <w:b/>
                <w:color w:val="000000"/>
                <w:sz w:val="21"/>
                <w:szCs w:val="21"/>
                <w:vertAlign w:val="superscript"/>
              </w:rPr>
              <w:t>1</w:t>
            </w:r>
            <w:r>
              <w:rPr>
                <w:rFonts w:cs="Times New Roman"/>
                <w:b/>
                <w:color w:val="000000"/>
                <w:sz w:val="21"/>
                <w:szCs w:val="21"/>
              </w:rPr>
              <w:t>)</w:t>
            </w:r>
          </w:p>
        </w:tc>
        <w:tc>
          <w:tcPr>
            <w:tcW w:w="1434" w:type="dxa"/>
            <w:tcBorders>
              <w:top w:val="single" w:color="000000" w:sz="12" w:space="0"/>
              <w:left w:val="nil"/>
              <w:bottom w:val="single" w:color="000000" w:sz="4" w:space="0"/>
              <w:right w:val="nil"/>
            </w:tcBorders>
            <w:shd w:val="clear" w:color="auto" w:fill="FFFFFF"/>
            <w:noWrap/>
            <w:vAlign w:val="center"/>
          </w:tcPr>
          <w:p w14:paraId="1CBF235E">
            <w:pPr>
              <w:widowControl/>
              <w:spacing w:line="240" w:lineRule="auto"/>
              <w:ind w:firstLine="0" w:firstLineChars="0"/>
              <w:jc w:val="center"/>
              <w:rPr>
                <w:rFonts w:cs="Times New Roman"/>
                <w:b/>
                <w:color w:val="000000"/>
                <w:sz w:val="21"/>
                <w:szCs w:val="21"/>
              </w:rPr>
            </w:pPr>
            <w:r>
              <w:rPr>
                <w:rFonts w:cs="Times New Roman"/>
                <w:b/>
                <w:color w:val="000000"/>
                <w:sz w:val="21"/>
                <w:szCs w:val="21"/>
              </w:rPr>
              <w:t>Log</w:t>
            </w:r>
            <w:r>
              <w:rPr>
                <w:rFonts w:cs="Times New Roman"/>
                <w:b/>
                <w:i/>
                <w:iCs/>
                <w:color w:val="000000"/>
                <w:sz w:val="21"/>
                <w:szCs w:val="21"/>
              </w:rPr>
              <w:t>K</w:t>
            </w:r>
            <w:r>
              <w:rPr>
                <w:rFonts w:cs="Times New Roman"/>
                <w:b/>
                <w:i/>
                <w:iCs/>
                <w:color w:val="000000"/>
                <w:sz w:val="21"/>
                <w:szCs w:val="21"/>
                <w:vertAlign w:val="subscript"/>
              </w:rPr>
              <w:t>ow</w:t>
            </w:r>
          </w:p>
        </w:tc>
        <w:tc>
          <w:tcPr>
            <w:tcW w:w="1272" w:type="dxa"/>
            <w:tcBorders>
              <w:top w:val="single" w:color="000000" w:sz="12" w:space="0"/>
              <w:left w:val="nil"/>
              <w:bottom w:val="single" w:color="000000" w:sz="4" w:space="0"/>
              <w:right w:val="nil"/>
            </w:tcBorders>
            <w:shd w:val="clear" w:color="auto" w:fill="FFFFFF"/>
            <w:noWrap/>
            <w:vAlign w:val="center"/>
          </w:tcPr>
          <w:p w14:paraId="6BBC9261">
            <w:pPr>
              <w:widowControl/>
              <w:spacing w:line="240" w:lineRule="auto"/>
              <w:ind w:firstLine="0" w:firstLineChars="0"/>
              <w:jc w:val="center"/>
              <w:rPr>
                <w:rFonts w:cs="Times New Roman"/>
                <w:b/>
                <w:color w:val="000000"/>
                <w:sz w:val="21"/>
                <w:szCs w:val="21"/>
              </w:rPr>
            </w:pPr>
            <w:r>
              <w:rPr>
                <w:rFonts w:cs="Times New Roman"/>
                <w:b/>
                <w:color w:val="000000"/>
                <w:sz w:val="21"/>
                <w:szCs w:val="21"/>
              </w:rPr>
              <w:t>p</w:t>
            </w:r>
            <w:r>
              <w:rPr>
                <w:rFonts w:cs="Times New Roman"/>
                <w:b/>
                <w:i/>
                <w:iCs/>
                <w:color w:val="000000"/>
                <w:sz w:val="21"/>
                <w:szCs w:val="21"/>
              </w:rPr>
              <w:t>K</w:t>
            </w:r>
            <w:r>
              <w:rPr>
                <w:rFonts w:cs="Times New Roman"/>
                <w:b/>
                <w:color w:val="000000"/>
                <w:sz w:val="21"/>
                <w:szCs w:val="21"/>
                <w:vertAlign w:val="subscript"/>
              </w:rPr>
              <w:t>a</w:t>
            </w:r>
          </w:p>
        </w:tc>
        <w:tc>
          <w:tcPr>
            <w:tcW w:w="1101" w:type="dxa"/>
            <w:tcBorders>
              <w:top w:val="single" w:color="000000" w:sz="12" w:space="0"/>
              <w:left w:val="nil"/>
              <w:bottom w:val="single" w:color="000000" w:sz="4" w:space="0"/>
              <w:right w:val="nil"/>
            </w:tcBorders>
            <w:shd w:val="clear" w:color="auto" w:fill="FFFFFF"/>
            <w:vAlign w:val="center"/>
          </w:tcPr>
          <w:p w14:paraId="3C488D26">
            <w:pPr>
              <w:widowControl/>
              <w:spacing w:line="240" w:lineRule="auto"/>
              <w:ind w:firstLine="0" w:firstLineChars="0"/>
              <w:jc w:val="center"/>
              <w:rPr>
                <w:rFonts w:cs="Times New Roman"/>
                <w:b/>
                <w:color w:val="000000"/>
                <w:sz w:val="21"/>
                <w:szCs w:val="21"/>
              </w:rPr>
            </w:pPr>
            <w:r>
              <w:rPr>
                <w:rFonts w:cs="Times New Roman"/>
                <w:b/>
                <w:color w:val="000000"/>
                <w:sz w:val="21"/>
                <w:szCs w:val="21"/>
              </w:rPr>
              <w:t>S</w:t>
            </w:r>
            <w:r>
              <w:rPr>
                <w:rFonts w:cs="Times New Roman"/>
                <w:b/>
                <w:color w:val="000000"/>
                <w:sz w:val="21"/>
                <w:szCs w:val="21"/>
                <w:vertAlign w:val="subscript"/>
              </w:rPr>
              <w:t xml:space="preserve">w </w:t>
            </w:r>
            <w:r>
              <w:rPr>
                <w:rFonts w:cs="Times New Roman"/>
                <w:b/>
                <w:color w:val="000000"/>
                <w:sz w:val="21"/>
                <w:szCs w:val="21"/>
              </w:rPr>
              <w:t xml:space="preserve">(20 ℃)  </w:t>
            </w:r>
            <w:r>
              <w:rPr>
                <w:rFonts w:cs="Times New Roman"/>
                <w:b/>
                <w:color w:val="000000"/>
                <w:sz w:val="21"/>
                <w:szCs w:val="21"/>
              </w:rPr>
              <w:br w:type="textWrapping"/>
            </w:r>
            <w:r>
              <w:rPr>
                <w:rFonts w:cs="Times New Roman"/>
                <w:b/>
                <w:color w:val="000000"/>
                <w:sz w:val="21"/>
                <w:szCs w:val="21"/>
              </w:rPr>
              <w:t>(mg·L</w:t>
            </w:r>
            <w:r>
              <w:rPr>
                <w:rFonts w:cs="Times New Roman"/>
                <w:b/>
                <w:bCs/>
                <w:sz w:val="21"/>
                <w:szCs w:val="21"/>
              </w:rPr>
              <w:t>⁻</w:t>
            </w:r>
            <w:r>
              <w:rPr>
                <w:rFonts w:cs="Times New Roman"/>
                <w:b/>
                <w:color w:val="000000"/>
                <w:sz w:val="21"/>
                <w:szCs w:val="21"/>
                <w:vertAlign w:val="superscript"/>
              </w:rPr>
              <w:t>1</w:t>
            </w:r>
            <w:r>
              <w:rPr>
                <w:rFonts w:cs="Times New Roman"/>
                <w:b/>
                <w:color w:val="000000"/>
                <w:sz w:val="21"/>
                <w:szCs w:val="21"/>
              </w:rPr>
              <w:t>)</w:t>
            </w:r>
          </w:p>
        </w:tc>
      </w:tr>
      <w:tr w14:paraId="1CF238B8">
        <w:tblPrEx>
          <w:tblCellMar>
            <w:top w:w="0" w:type="dxa"/>
            <w:left w:w="108" w:type="dxa"/>
            <w:bottom w:w="0" w:type="dxa"/>
            <w:right w:w="108" w:type="dxa"/>
          </w:tblCellMar>
        </w:tblPrEx>
        <w:trPr>
          <w:trHeight w:val="1757" w:hRule="atLeast"/>
          <w:jc w:val="center"/>
        </w:trPr>
        <w:tc>
          <w:tcPr>
            <w:tcW w:w="1360" w:type="dxa"/>
            <w:tcBorders>
              <w:top w:val="single" w:color="000000" w:sz="4" w:space="0"/>
              <w:left w:val="nil"/>
              <w:bottom w:val="nil"/>
              <w:right w:val="nil"/>
            </w:tcBorders>
            <w:shd w:val="clear" w:color="auto" w:fill="FFFFFF"/>
            <w:noWrap/>
            <w:vAlign w:val="center"/>
          </w:tcPr>
          <w:p w14:paraId="46E1DEA7">
            <w:pPr>
              <w:widowControl/>
              <w:spacing w:line="240" w:lineRule="auto"/>
              <w:ind w:firstLine="0" w:firstLineChars="0"/>
              <w:jc w:val="center"/>
              <w:rPr>
                <w:rFonts w:cs="Times New Roman"/>
                <w:color w:val="000000"/>
                <w:sz w:val="21"/>
                <w:szCs w:val="21"/>
              </w:rPr>
            </w:pPr>
            <w:r>
              <w:rPr>
                <w:rFonts w:cs="Times New Roman"/>
                <w:color w:val="000000"/>
                <w:sz w:val="21"/>
                <w:szCs w:val="21"/>
              </w:rPr>
              <w:t>Fluensulfone (FL)</w:t>
            </w:r>
          </w:p>
        </w:tc>
        <w:tc>
          <w:tcPr>
            <w:tcW w:w="1334" w:type="dxa"/>
            <w:tcBorders>
              <w:top w:val="single" w:color="000000" w:sz="4" w:space="0"/>
              <w:left w:val="nil"/>
              <w:bottom w:val="nil"/>
              <w:right w:val="nil"/>
            </w:tcBorders>
            <w:shd w:val="clear" w:color="auto" w:fill="FFFFFF"/>
            <w:noWrap/>
            <w:vAlign w:val="center"/>
          </w:tcPr>
          <w:p w14:paraId="62277DAA">
            <w:pPr>
              <w:widowControl/>
              <w:spacing w:line="240" w:lineRule="auto"/>
              <w:ind w:firstLine="0" w:firstLineChars="0"/>
              <w:rPr>
                <w:rFonts w:cs="Times New Roman"/>
                <w:color w:val="000000"/>
                <w:sz w:val="21"/>
                <w:szCs w:val="21"/>
              </w:rPr>
            </w:pPr>
            <w:r>
              <w:rPr>
                <w:rFonts w:cs="Times New Roman"/>
                <w:color w:val="000000"/>
              </w:rPr>
              <w:drawing>
                <wp:inline distT="0" distB="0" distL="0" distR="0">
                  <wp:extent cx="666750" cy="855345"/>
                  <wp:effectExtent l="0" t="0" r="635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666750" cy="855345"/>
                          </a:xfrm>
                          <a:prstGeom prst="rect">
                            <a:avLst/>
                          </a:prstGeom>
                        </pic:spPr>
                      </pic:pic>
                    </a:graphicData>
                  </a:graphic>
                </wp:inline>
              </w:drawing>
            </w:r>
          </w:p>
        </w:tc>
        <w:tc>
          <w:tcPr>
            <w:tcW w:w="1634" w:type="dxa"/>
            <w:tcBorders>
              <w:top w:val="single" w:color="000000" w:sz="4" w:space="0"/>
              <w:left w:val="nil"/>
              <w:bottom w:val="nil"/>
              <w:right w:val="nil"/>
            </w:tcBorders>
            <w:shd w:val="clear" w:color="auto" w:fill="FFFFFF"/>
            <w:noWrap/>
            <w:vAlign w:val="center"/>
          </w:tcPr>
          <w:p w14:paraId="200CCA29">
            <w:pPr>
              <w:widowControl/>
              <w:spacing w:line="240" w:lineRule="auto"/>
              <w:ind w:firstLine="0" w:firstLineChars="0"/>
              <w:jc w:val="center"/>
              <w:rPr>
                <w:rFonts w:cs="Times New Roman"/>
                <w:color w:val="000000"/>
                <w:sz w:val="21"/>
                <w:szCs w:val="21"/>
              </w:rPr>
            </w:pPr>
            <w:r>
              <w:rPr>
                <w:rFonts w:eastAsia="Times New Roman" w:cs="Times New Roman"/>
                <w:color w:val="000000"/>
                <w:sz w:val="21"/>
                <w:szCs w:val="21"/>
              </w:rPr>
              <w:t>C</w:t>
            </w:r>
            <w:r>
              <w:rPr>
                <w:rFonts w:eastAsia="Times New Roman" w:cs="Times New Roman"/>
                <w:color w:val="000000"/>
                <w:sz w:val="21"/>
                <w:szCs w:val="21"/>
                <w:vertAlign w:val="subscript"/>
              </w:rPr>
              <w:t>7</w:t>
            </w:r>
            <w:r>
              <w:rPr>
                <w:rFonts w:eastAsia="Times New Roman" w:cs="Times New Roman"/>
                <w:color w:val="000000"/>
                <w:sz w:val="21"/>
                <w:szCs w:val="21"/>
              </w:rPr>
              <w:t>H</w:t>
            </w:r>
            <w:r>
              <w:rPr>
                <w:rFonts w:eastAsia="Times New Roman" w:cs="Times New Roman"/>
                <w:color w:val="000000"/>
                <w:sz w:val="21"/>
                <w:szCs w:val="21"/>
                <w:vertAlign w:val="subscript"/>
              </w:rPr>
              <w:t>5</w:t>
            </w:r>
            <w:r>
              <w:rPr>
                <w:rFonts w:eastAsia="Times New Roman" w:cs="Times New Roman"/>
                <w:color w:val="000000"/>
                <w:sz w:val="21"/>
                <w:szCs w:val="21"/>
              </w:rPr>
              <w:t>ClF</w:t>
            </w:r>
            <w:r>
              <w:rPr>
                <w:rFonts w:eastAsia="Times New Roman" w:cs="Times New Roman"/>
                <w:color w:val="000000"/>
                <w:sz w:val="21"/>
                <w:szCs w:val="21"/>
                <w:vertAlign w:val="subscript"/>
              </w:rPr>
              <w:t>3</w:t>
            </w:r>
            <w:r>
              <w:rPr>
                <w:rFonts w:eastAsia="Times New Roman" w:cs="Times New Roman"/>
                <w:color w:val="000000"/>
                <w:sz w:val="21"/>
                <w:szCs w:val="21"/>
              </w:rPr>
              <w:t>NO</w:t>
            </w:r>
            <w:r>
              <w:rPr>
                <w:rFonts w:eastAsia="Times New Roman" w:cs="Times New Roman"/>
                <w:color w:val="000000"/>
                <w:sz w:val="21"/>
                <w:szCs w:val="21"/>
                <w:vertAlign w:val="subscript"/>
              </w:rPr>
              <w:t>2</w:t>
            </w:r>
            <w:r>
              <w:rPr>
                <w:rFonts w:eastAsia="Times New Roman" w:cs="Times New Roman"/>
                <w:color w:val="000000"/>
                <w:sz w:val="21"/>
                <w:szCs w:val="21"/>
              </w:rPr>
              <w:t>S</w:t>
            </w:r>
            <w:r>
              <w:rPr>
                <w:rFonts w:eastAsia="Times New Roman" w:cs="Times New Roman"/>
                <w:color w:val="000000"/>
                <w:sz w:val="21"/>
                <w:szCs w:val="21"/>
                <w:vertAlign w:val="subscript"/>
              </w:rPr>
              <w:t>2</w:t>
            </w:r>
          </w:p>
        </w:tc>
        <w:tc>
          <w:tcPr>
            <w:tcW w:w="1228" w:type="dxa"/>
            <w:tcBorders>
              <w:top w:val="single" w:color="000000" w:sz="4" w:space="0"/>
              <w:left w:val="nil"/>
              <w:bottom w:val="nil"/>
              <w:right w:val="nil"/>
            </w:tcBorders>
            <w:shd w:val="clear" w:color="auto" w:fill="FFFFFF"/>
            <w:noWrap/>
            <w:vAlign w:val="center"/>
          </w:tcPr>
          <w:p w14:paraId="25B453D9">
            <w:pPr>
              <w:widowControl/>
              <w:ind w:firstLine="0" w:firstLineChars="0"/>
              <w:jc w:val="center"/>
              <w:rPr>
                <w:rFonts w:cs="Times New Roman"/>
                <w:color w:val="000000"/>
                <w:sz w:val="21"/>
                <w:szCs w:val="21"/>
              </w:rPr>
            </w:pPr>
            <w:r>
              <w:rPr>
                <w:rFonts w:cs="Times New Roman"/>
                <w:color w:val="000000"/>
                <w:sz w:val="21"/>
                <w:szCs w:val="21"/>
              </w:rPr>
              <w:t>291.7</w:t>
            </w:r>
          </w:p>
        </w:tc>
        <w:tc>
          <w:tcPr>
            <w:tcW w:w="1434" w:type="dxa"/>
            <w:tcBorders>
              <w:top w:val="single" w:color="000000" w:sz="4" w:space="0"/>
              <w:left w:val="nil"/>
              <w:bottom w:val="nil"/>
              <w:right w:val="nil"/>
            </w:tcBorders>
            <w:shd w:val="clear" w:color="auto" w:fill="FFFFFF"/>
            <w:vAlign w:val="center"/>
          </w:tcPr>
          <w:p w14:paraId="12017437">
            <w:pPr>
              <w:widowControl/>
              <w:ind w:firstLine="0" w:firstLineChars="0"/>
              <w:jc w:val="center"/>
              <w:rPr>
                <w:rFonts w:cs="Times New Roman"/>
                <w:color w:val="000000"/>
                <w:sz w:val="21"/>
                <w:szCs w:val="21"/>
              </w:rPr>
            </w:pPr>
            <w:r>
              <w:rPr>
                <w:rFonts w:cs="Times New Roman"/>
                <w:color w:val="000000"/>
                <w:sz w:val="21"/>
                <w:szCs w:val="21"/>
              </w:rPr>
              <w:t>1.96</w:t>
            </w:r>
          </w:p>
        </w:tc>
        <w:tc>
          <w:tcPr>
            <w:tcW w:w="1272" w:type="dxa"/>
            <w:tcBorders>
              <w:top w:val="single" w:color="000000" w:sz="4" w:space="0"/>
              <w:left w:val="nil"/>
              <w:bottom w:val="nil"/>
              <w:right w:val="nil"/>
            </w:tcBorders>
            <w:shd w:val="clear" w:color="auto" w:fill="FFFFFF"/>
            <w:noWrap/>
            <w:vAlign w:val="center"/>
          </w:tcPr>
          <w:p w14:paraId="5CD4274A">
            <w:pPr>
              <w:widowControl/>
              <w:ind w:firstLine="0" w:firstLineChars="0"/>
              <w:jc w:val="center"/>
              <w:rPr>
                <w:rFonts w:cs="Times New Roman"/>
                <w:color w:val="000000"/>
                <w:sz w:val="21"/>
                <w:szCs w:val="21"/>
              </w:rPr>
            </w:pPr>
            <w:r>
              <w:rPr>
                <w:rFonts w:cs="Times New Roman"/>
                <w:color w:val="000000"/>
                <w:sz w:val="21"/>
                <w:szCs w:val="21"/>
              </w:rPr>
              <w:t>13.47</w:t>
            </w:r>
          </w:p>
        </w:tc>
        <w:tc>
          <w:tcPr>
            <w:tcW w:w="1101" w:type="dxa"/>
            <w:tcBorders>
              <w:top w:val="single" w:color="000000" w:sz="4" w:space="0"/>
              <w:left w:val="nil"/>
              <w:bottom w:val="nil"/>
              <w:right w:val="nil"/>
            </w:tcBorders>
            <w:shd w:val="clear" w:color="auto" w:fill="FFFFFF"/>
            <w:noWrap/>
            <w:vAlign w:val="center"/>
          </w:tcPr>
          <w:p w14:paraId="51F41C65">
            <w:pPr>
              <w:widowControl/>
              <w:ind w:firstLine="0" w:firstLineChars="0"/>
              <w:jc w:val="center"/>
              <w:rPr>
                <w:rFonts w:cs="Times New Roman"/>
                <w:color w:val="000000"/>
                <w:sz w:val="21"/>
                <w:szCs w:val="21"/>
              </w:rPr>
            </w:pPr>
            <w:r>
              <w:rPr>
                <w:rFonts w:cs="Times New Roman"/>
                <w:color w:val="000000"/>
                <w:sz w:val="21"/>
                <w:szCs w:val="21"/>
              </w:rPr>
              <w:t>545.3</w:t>
            </w:r>
          </w:p>
        </w:tc>
      </w:tr>
      <w:tr w14:paraId="74821BF1">
        <w:tblPrEx>
          <w:tblCellMar>
            <w:top w:w="0" w:type="dxa"/>
            <w:left w:w="108" w:type="dxa"/>
            <w:bottom w:w="0" w:type="dxa"/>
            <w:right w:w="108" w:type="dxa"/>
          </w:tblCellMar>
        </w:tblPrEx>
        <w:trPr>
          <w:trHeight w:val="1757" w:hRule="atLeast"/>
          <w:jc w:val="center"/>
        </w:trPr>
        <w:tc>
          <w:tcPr>
            <w:tcW w:w="1360" w:type="dxa"/>
            <w:tcBorders>
              <w:top w:val="nil"/>
              <w:left w:val="nil"/>
              <w:bottom w:val="single" w:color="000000" w:sz="12" w:space="0"/>
              <w:right w:val="nil"/>
            </w:tcBorders>
            <w:shd w:val="clear" w:color="auto" w:fill="FFFFFF"/>
            <w:noWrap/>
            <w:vAlign w:val="center"/>
          </w:tcPr>
          <w:p w14:paraId="13769F26">
            <w:pPr>
              <w:widowControl/>
              <w:spacing w:line="240" w:lineRule="auto"/>
              <w:ind w:firstLine="0" w:firstLineChars="0"/>
              <w:jc w:val="center"/>
              <w:rPr>
                <w:rFonts w:cs="Times New Roman"/>
                <w:color w:val="000000"/>
                <w:sz w:val="21"/>
                <w:szCs w:val="21"/>
              </w:rPr>
            </w:pPr>
            <w:r>
              <w:rPr>
                <w:rFonts w:cs="Times New Roman"/>
                <w:color w:val="000000"/>
                <w:sz w:val="21"/>
                <w:szCs w:val="21"/>
              </w:rPr>
              <w:drawing>
                <wp:anchor distT="0" distB="0" distL="114300" distR="114300" simplePos="0" relativeHeight="251660288" behindDoc="0" locked="0" layoutInCell="1" allowOverlap="1">
                  <wp:simplePos x="0" y="0"/>
                  <wp:positionH relativeFrom="column">
                    <wp:posOffset>789940</wp:posOffset>
                  </wp:positionH>
                  <wp:positionV relativeFrom="paragraph">
                    <wp:posOffset>-130810</wp:posOffset>
                  </wp:positionV>
                  <wp:extent cx="785495" cy="666115"/>
                  <wp:effectExtent l="0" t="0" r="1905" b="6985"/>
                  <wp:wrapNone/>
                  <wp:docPr id="1974254423" name="image2.png"/>
                  <wp:cNvGraphicFramePr/>
                  <a:graphic xmlns:a="http://schemas.openxmlformats.org/drawingml/2006/main">
                    <a:graphicData uri="http://schemas.openxmlformats.org/drawingml/2006/picture">
                      <pic:pic xmlns:pic="http://schemas.openxmlformats.org/drawingml/2006/picture">
                        <pic:nvPicPr>
                          <pic:cNvPr id="1974254423" name="image2.png"/>
                          <pic:cNvPicPr preferRelativeResize="0"/>
                        </pic:nvPicPr>
                        <pic:blipFill>
                          <a:blip r:embed="rId15"/>
                          <a:srcRect/>
                          <a:stretch>
                            <a:fillRect/>
                          </a:stretch>
                        </pic:blipFill>
                        <pic:spPr>
                          <a:xfrm>
                            <a:off x="0" y="0"/>
                            <a:ext cx="785495" cy="666115"/>
                          </a:xfrm>
                          <a:prstGeom prst="rect">
                            <a:avLst/>
                          </a:prstGeom>
                        </pic:spPr>
                      </pic:pic>
                    </a:graphicData>
                  </a:graphic>
                </wp:anchor>
              </w:drawing>
            </w:r>
            <w:r>
              <w:rPr>
                <w:rFonts w:cs="Times New Roman"/>
                <w:color w:val="000000"/>
                <w:sz w:val="21"/>
                <w:szCs w:val="21"/>
              </w:rPr>
              <w:t>Spirotetramat (SP)</w:t>
            </w:r>
          </w:p>
        </w:tc>
        <w:tc>
          <w:tcPr>
            <w:tcW w:w="1334" w:type="dxa"/>
            <w:tcBorders>
              <w:top w:val="nil"/>
              <w:left w:val="nil"/>
              <w:bottom w:val="single" w:color="000000" w:sz="12" w:space="0"/>
              <w:right w:val="nil"/>
            </w:tcBorders>
            <w:shd w:val="clear" w:color="auto" w:fill="FFFFFF"/>
            <w:noWrap/>
            <w:vAlign w:val="center"/>
          </w:tcPr>
          <w:p w14:paraId="48C4200A">
            <w:pPr>
              <w:widowControl/>
              <w:spacing w:line="240" w:lineRule="auto"/>
              <w:ind w:firstLine="480"/>
              <w:jc w:val="center"/>
              <w:rPr>
                <w:rFonts w:cs="Times New Roman"/>
                <w:color w:val="000000"/>
              </w:rPr>
            </w:pPr>
          </w:p>
        </w:tc>
        <w:tc>
          <w:tcPr>
            <w:tcW w:w="1634" w:type="dxa"/>
            <w:tcBorders>
              <w:top w:val="nil"/>
              <w:left w:val="nil"/>
              <w:bottom w:val="single" w:color="000000" w:sz="12" w:space="0"/>
              <w:right w:val="nil"/>
            </w:tcBorders>
            <w:shd w:val="clear" w:color="auto" w:fill="FFFFFF"/>
            <w:noWrap/>
            <w:vAlign w:val="center"/>
          </w:tcPr>
          <w:p w14:paraId="270DF20E">
            <w:pPr>
              <w:widowControl/>
              <w:spacing w:line="240" w:lineRule="auto"/>
              <w:ind w:firstLine="420"/>
              <w:jc w:val="center"/>
              <w:rPr>
                <w:rFonts w:eastAsia="Times New Roman" w:cs="Times New Roman"/>
                <w:color w:val="000000"/>
                <w:sz w:val="21"/>
                <w:szCs w:val="21"/>
              </w:rPr>
            </w:pPr>
            <w:r>
              <w:rPr>
                <w:rFonts w:eastAsia="Times New Roman" w:cs="Times New Roman"/>
                <w:color w:val="000000"/>
                <w:sz w:val="21"/>
                <w:szCs w:val="21"/>
              </w:rPr>
              <w:t>C</w:t>
            </w:r>
            <w:r>
              <w:rPr>
                <w:rFonts w:eastAsia="Times New Roman" w:cs="Times New Roman"/>
                <w:color w:val="000000"/>
                <w:sz w:val="21"/>
                <w:szCs w:val="21"/>
                <w:vertAlign w:val="subscript"/>
              </w:rPr>
              <w:t>21</w:t>
            </w:r>
            <w:r>
              <w:rPr>
                <w:rFonts w:eastAsia="Times New Roman" w:cs="Times New Roman"/>
                <w:color w:val="000000"/>
                <w:sz w:val="21"/>
                <w:szCs w:val="21"/>
              </w:rPr>
              <w:t>H</w:t>
            </w:r>
            <w:r>
              <w:rPr>
                <w:rFonts w:eastAsia="Times New Roman" w:cs="Times New Roman"/>
                <w:color w:val="000000"/>
                <w:sz w:val="21"/>
                <w:szCs w:val="21"/>
                <w:vertAlign w:val="subscript"/>
              </w:rPr>
              <w:t>27</w:t>
            </w:r>
            <w:r>
              <w:rPr>
                <w:rFonts w:eastAsia="Times New Roman" w:cs="Times New Roman"/>
                <w:color w:val="000000"/>
                <w:sz w:val="21"/>
                <w:szCs w:val="21"/>
              </w:rPr>
              <w:t>NO</w:t>
            </w:r>
            <w:r>
              <w:rPr>
                <w:rFonts w:eastAsia="Times New Roman" w:cs="Times New Roman"/>
                <w:color w:val="000000"/>
                <w:sz w:val="21"/>
                <w:szCs w:val="21"/>
                <w:vertAlign w:val="subscript"/>
              </w:rPr>
              <w:t>5</w:t>
            </w:r>
          </w:p>
        </w:tc>
        <w:tc>
          <w:tcPr>
            <w:tcW w:w="1228" w:type="dxa"/>
            <w:tcBorders>
              <w:top w:val="nil"/>
              <w:left w:val="nil"/>
              <w:bottom w:val="single" w:color="000000" w:sz="12" w:space="0"/>
              <w:right w:val="nil"/>
            </w:tcBorders>
            <w:shd w:val="clear" w:color="auto" w:fill="FFFFFF"/>
            <w:noWrap/>
            <w:vAlign w:val="center"/>
          </w:tcPr>
          <w:p w14:paraId="5D0BD56E">
            <w:pPr>
              <w:widowControl/>
              <w:ind w:firstLine="420"/>
              <w:jc w:val="center"/>
              <w:rPr>
                <w:rFonts w:cs="Times New Roman"/>
                <w:color w:val="000000"/>
                <w:sz w:val="21"/>
                <w:szCs w:val="21"/>
              </w:rPr>
            </w:pPr>
            <w:r>
              <w:rPr>
                <w:rFonts w:cs="Times New Roman"/>
                <w:color w:val="000000"/>
                <w:sz w:val="21"/>
                <w:szCs w:val="21"/>
              </w:rPr>
              <w:t>373.45</w:t>
            </w:r>
          </w:p>
        </w:tc>
        <w:tc>
          <w:tcPr>
            <w:tcW w:w="1434" w:type="dxa"/>
            <w:tcBorders>
              <w:top w:val="nil"/>
              <w:left w:val="nil"/>
              <w:bottom w:val="single" w:color="000000" w:sz="12" w:space="0"/>
              <w:right w:val="nil"/>
            </w:tcBorders>
            <w:shd w:val="clear" w:color="auto" w:fill="FFFFFF"/>
            <w:vAlign w:val="center"/>
          </w:tcPr>
          <w:p w14:paraId="2A07CEB4">
            <w:pPr>
              <w:widowControl/>
              <w:ind w:firstLine="0" w:firstLineChars="0"/>
              <w:jc w:val="center"/>
              <w:rPr>
                <w:rFonts w:cs="Times New Roman"/>
                <w:color w:val="000000"/>
                <w:sz w:val="21"/>
                <w:szCs w:val="21"/>
              </w:rPr>
            </w:pPr>
            <w:r>
              <w:rPr>
                <w:rFonts w:cs="Times New Roman"/>
                <w:color w:val="000000"/>
                <w:sz w:val="21"/>
                <w:szCs w:val="21"/>
              </w:rPr>
              <w:t>2.51(pH 4)</w:t>
            </w:r>
          </w:p>
          <w:p w14:paraId="08919EE5">
            <w:pPr>
              <w:widowControl/>
              <w:ind w:firstLine="0" w:firstLineChars="0"/>
              <w:jc w:val="center"/>
              <w:rPr>
                <w:rFonts w:cs="Times New Roman"/>
                <w:color w:val="000000"/>
                <w:sz w:val="21"/>
                <w:szCs w:val="21"/>
              </w:rPr>
            </w:pPr>
            <w:r>
              <w:rPr>
                <w:rFonts w:cs="Times New Roman"/>
                <w:color w:val="000000"/>
                <w:sz w:val="21"/>
                <w:szCs w:val="21"/>
              </w:rPr>
              <w:t>2.51 (pH 7)</w:t>
            </w:r>
            <w:r>
              <w:rPr>
                <w:rFonts w:cs="Times New Roman"/>
                <w:color w:val="000000"/>
                <w:sz w:val="21"/>
                <w:szCs w:val="21"/>
              </w:rPr>
              <w:br w:type="textWrapping"/>
            </w:r>
            <w:r>
              <w:rPr>
                <w:rFonts w:cs="Times New Roman"/>
                <w:color w:val="000000"/>
                <w:sz w:val="21"/>
                <w:szCs w:val="21"/>
              </w:rPr>
              <w:t>2.50 (pH 9)</w:t>
            </w:r>
          </w:p>
        </w:tc>
        <w:tc>
          <w:tcPr>
            <w:tcW w:w="1272" w:type="dxa"/>
            <w:tcBorders>
              <w:top w:val="nil"/>
              <w:left w:val="nil"/>
              <w:bottom w:val="single" w:color="000000" w:sz="12" w:space="0"/>
              <w:right w:val="nil"/>
            </w:tcBorders>
            <w:shd w:val="clear" w:color="auto" w:fill="FFFFFF"/>
            <w:noWrap/>
            <w:vAlign w:val="center"/>
          </w:tcPr>
          <w:p w14:paraId="55895FF4">
            <w:pPr>
              <w:widowControl/>
              <w:ind w:firstLine="0" w:firstLineChars="0"/>
              <w:jc w:val="center"/>
              <w:rPr>
                <w:rFonts w:cs="Times New Roman"/>
                <w:color w:val="000000"/>
                <w:sz w:val="21"/>
                <w:szCs w:val="21"/>
              </w:rPr>
            </w:pPr>
            <w:r>
              <w:rPr>
                <w:rFonts w:cs="Times New Roman"/>
                <w:color w:val="000000"/>
                <w:sz w:val="21"/>
                <w:szCs w:val="21"/>
              </w:rPr>
              <w:t>1.57 (p</w:t>
            </w:r>
            <w:r>
              <w:rPr>
                <w:rFonts w:cs="Times New Roman"/>
                <w:i/>
                <w:iCs/>
                <w:color w:val="000000"/>
                <w:sz w:val="21"/>
                <w:szCs w:val="21"/>
              </w:rPr>
              <w:t>K</w:t>
            </w:r>
            <w:r>
              <w:rPr>
                <w:rFonts w:cs="Times New Roman"/>
                <w:color w:val="000000"/>
                <w:sz w:val="21"/>
                <w:szCs w:val="21"/>
                <w:vertAlign w:val="subscript"/>
              </w:rPr>
              <w:t>a1</w:t>
            </w:r>
            <w:r>
              <w:rPr>
                <w:rFonts w:cs="Times New Roman"/>
                <w:color w:val="000000"/>
                <w:sz w:val="21"/>
                <w:szCs w:val="21"/>
              </w:rPr>
              <w:t>)</w:t>
            </w:r>
          </w:p>
          <w:p w14:paraId="1232E64A">
            <w:pPr>
              <w:widowControl/>
              <w:ind w:firstLine="0" w:firstLineChars="0"/>
              <w:jc w:val="center"/>
              <w:rPr>
                <w:rFonts w:cs="Times New Roman"/>
                <w:color w:val="000000"/>
                <w:sz w:val="21"/>
                <w:szCs w:val="21"/>
              </w:rPr>
            </w:pPr>
            <w:r>
              <w:rPr>
                <w:rFonts w:cs="Times New Roman"/>
                <w:color w:val="000000"/>
                <w:sz w:val="21"/>
                <w:szCs w:val="21"/>
              </w:rPr>
              <w:t>10.70 (p</w:t>
            </w:r>
            <w:r>
              <w:rPr>
                <w:rFonts w:cs="Times New Roman"/>
                <w:i/>
                <w:iCs/>
                <w:color w:val="000000"/>
                <w:sz w:val="21"/>
                <w:szCs w:val="21"/>
              </w:rPr>
              <w:t>K</w:t>
            </w:r>
            <w:r>
              <w:rPr>
                <w:rFonts w:cs="Times New Roman"/>
                <w:color w:val="000000"/>
                <w:sz w:val="21"/>
                <w:szCs w:val="21"/>
                <w:vertAlign w:val="subscript"/>
              </w:rPr>
              <w:t>a2</w:t>
            </w:r>
            <w:r>
              <w:rPr>
                <w:rFonts w:cs="Times New Roman"/>
                <w:color w:val="000000"/>
                <w:sz w:val="21"/>
                <w:szCs w:val="21"/>
              </w:rPr>
              <w:t>)</w:t>
            </w:r>
          </w:p>
        </w:tc>
        <w:tc>
          <w:tcPr>
            <w:tcW w:w="1101" w:type="dxa"/>
            <w:tcBorders>
              <w:top w:val="nil"/>
              <w:left w:val="nil"/>
              <w:bottom w:val="single" w:color="000000" w:sz="12" w:space="0"/>
              <w:right w:val="nil"/>
            </w:tcBorders>
            <w:shd w:val="clear" w:color="auto" w:fill="FFFFFF"/>
            <w:noWrap/>
            <w:vAlign w:val="center"/>
          </w:tcPr>
          <w:p w14:paraId="45B965C5">
            <w:pPr>
              <w:widowControl/>
              <w:ind w:firstLine="0" w:firstLineChars="0"/>
              <w:jc w:val="center"/>
              <w:rPr>
                <w:rFonts w:cs="Times New Roman"/>
                <w:color w:val="000000"/>
                <w:sz w:val="21"/>
                <w:szCs w:val="21"/>
              </w:rPr>
            </w:pPr>
            <w:r>
              <w:rPr>
                <w:rFonts w:cs="Times New Roman"/>
                <w:color w:val="000000"/>
                <w:sz w:val="21"/>
                <w:szCs w:val="21"/>
              </w:rPr>
              <w:t>29.90</w:t>
            </w:r>
          </w:p>
        </w:tc>
      </w:tr>
    </w:tbl>
    <w:p w14:paraId="3E76E38A">
      <w:pPr>
        <w:ind w:firstLine="480"/>
        <w:rPr>
          <w:rFonts w:cs="Times New Roman"/>
        </w:rPr>
      </w:pPr>
      <w:r>
        <w:rPr>
          <w:rFonts w:cs="Times New Roman"/>
        </w:rPr>
        <w:br w:type="page"/>
      </w:r>
    </w:p>
    <w:p w14:paraId="7203E9B1">
      <w:pPr>
        <w:ind w:firstLine="480"/>
        <w:rPr>
          <w:rFonts w:cs="Times New Roman"/>
          <w:b/>
          <w:bCs/>
          <w:szCs w:val="24"/>
        </w:rPr>
        <w:sectPr>
          <w:pgSz w:w="11906" w:h="16838"/>
          <w:pgMar w:top="1440" w:right="1440" w:bottom="1440" w:left="1440" w:header="851" w:footer="992" w:gutter="0"/>
          <w:lnNumType w:countBy="1" w:restart="continuous"/>
          <w:pgNumType w:start="1"/>
          <w:cols w:space="720" w:num="1"/>
          <w:docGrid w:linePitch="299" w:charSpace="0"/>
        </w:sectPr>
      </w:pPr>
    </w:p>
    <w:p w14:paraId="1B290CDC">
      <w:pPr>
        <w:pStyle w:val="2"/>
        <w:spacing w:line="240" w:lineRule="auto"/>
        <w:rPr>
          <w:rFonts w:cs="Times New Roman"/>
          <w:sz w:val="21"/>
          <w:szCs w:val="21"/>
        </w:rPr>
      </w:pPr>
      <w:bookmarkStart w:id="14" w:name="_Toc228301081"/>
      <w:r>
        <w:rPr>
          <w:rFonts w:cs="Times New Roman"/>
          <w:b/>
          <w:bCs/>
        </w:rPr>
        <w:t xml:space="preserve">Table S2 </w:t>
      </w:r>
      <w:r>
        <w:rPr>
          <w:rFonts w:cs="Times New Roman"/>
        </w:rPr>
        <w:t>Selected properties of pristine and aged PVC.</w:t>
      </w:r>
      <w:bookmarkEnd w:id="14"/>
    </w:p>
    <w:tbl>
      <w:tblPr>
        <w:tblStyle w:val="21"/>
        <w:tblpPr w:leftFromText="180" w:rightFromText="180" w:vertAnchor="text" w:horzAnchor="page" w:tblpX="1583" w:tblpY="414"/>
        <w:tblOverlap w:val="never"/>
        <w:tblW w:w="13845" w:type="dxa"/>
        <w:tblInd w:w="0" w:type="dxa"/>
        <w:tblLayout w:type="autofit"/>
        <w:tblCellMar>
          <w:top w:w="0" w:type="dxa"/>
          <w:left w:w="108" w:type="dxa"/>
          <w:bottom w:w="0" w:type="dxa"/>
          <w:right w:w="108" w:type="dxa"/>
        </w:tblCellMar>
      </w:tblPr>
      <w:tblGrid>
        <w:gridCol w:w="1972"/>
        <w:gridCol w:w="1161"/>
        <w:gridCol w:w="1682"/>
        <w:gridCol w:w="2823"/>
        <w:gridCol w:w="2707"/>
        <w:gridCol w:w="1914"/>
        <w:gridCol w:w="1586"/>
      </w:tblGrid>
      <w:tr w14:paraId="0B4DD5FC">
        <w:tblPrEx>
          <w:tblCellMar>
            <w:top w:w="0" w:type="dxa"/>
            <w:left w:w="108" w:type="dxa"/>
            <w:bottom w:w="0" w:type="dxa"/>
            <w:right w:w="108" w:type="dxa"/>
          </w:tblCellMar>
        </w:tblPrEx>
        <w:trPr>
          <w:trHeight w:val="644" w:hRule="atLeast"/>
        </w:trPr>
        <w:tc>
          <w:tcPr>
            <w:tcW w:w="3133" w:type="dxa"/>
            <w:gridSpan w:val="2"/>
            <w:tcBorders>
              <w:top w:val="single" w:color="auto" w:sz="12" w:space="0"/>
              <w:left w:val="nil"/>
              <w:bottom w:val="single" w:color="auto" w:sz="4" w:space="0"/>
              <w:right w:val="nil"/>
              <w:tl2br w:val="nil"/>
            </w:tcBorders>
            <w:shd w:val="clear" w:color="auto" w:fill="FFFFFF"/>
            <w:noWrap/>
            <w:vAlign w:val="center"/>
          </w:tcPr>
          <w:p w14:paraId="10DF1A95">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Sorbent</w:t>
            </w:r>
          </w:p>
        </w:tc>
        <w:tc>
          <w:tcPr>
            <w:tcW w:w="1682" w:type="dxa"/>
            <w:vMerge w:val="restart"/>
            <w:tcBorders>
              <w:top w:val="single" w:color="000000" w:sz="12" w:space="0"/>
              <w:left w:val="nil"/>
              <w:bottom w:val="nil"/>
              <w:right w:val="nil"/>
            </w:tcBorders>
            <w:shd w:val="clear" w:color="auto" w:fill="FFFFFF"/>
            <w:noWrap/>
            <w:vAlign w:val="center"/>
          </w:tcPr>
          <w:p w14:paraId="5A0B849E">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Particle size</w:t>
            </w:r>
          </w:p>
          <w:p w14:paraId="06EB8DF9">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(µm)</w:t>
            </w:r>
          </w:p>
        </w:tc>
        <w:tc>
          <w:tcPr>
            <w:tcW w:w="2823" w:type="dxa"/>
            <w:vMerge w:val="restart"/>
            <w:tcBorders>
              <w:top w:val="single" w:color="000000" w:sz="12" w:space="0"/>
              <w:left w:val="nil"/>
              <w:bottom w:val="nil"/>
              <w:right w:val="nil"/>
            </w:tcBorders>
            <w:shd w:val="clear" w:color="auto" w:fill="FFFFFF"/>
            <w:noWrap/>
            <w:vAlign w:val="center"/>
          </w:tcPr>
          <w:p w14:paraId="15B24481">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Specific surface area</w:t>
            </w:r>
          </w:p>
          <w:p w14:paraId="72FAC16E">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(m</w:t>
            </w:r>
            <w:r>
              <w:rPr>
                <w:rFonts w:eastAsia="Times New Roman" w:cs="Times New Roman"/>
                <w:b/>
                <w:bCs/>
                <w:color w:val="000000"/>
                <w:szCs w:val="24"/>
                <w:vertAlign w:val="superscript"/>
              </w:rPr>
              <w:t>2</w:t>
            </w:r>
            <w:r>
              <w:rPr>
                <w:rFonts w:eastAsia="Times New Roman" w:cs="Times New Roman"/>
                <w:b/>
                <w:bCs/>
                <w:color w:val="000000"/>
                <w:szCs w:val="24"/>
              </w:rPr>
              <w:t>·g</w:t>
            </w:r>
            <w:r>
              <w:rPr>
                <w:rFonts w:cs="Times New Roman"/>
                <w:b/>
                <w:bCs/>
                <w:sz w:val="24"/>
                <w:szCs w:val="24"/>
              </w:rPr>
              <w:t>⁻</w:t>
            </w:r>
            <w:r>
              <w:rPr>
                <w:rFonts w:eastAsia="Times New Roman" w:cs="Times New Roman"/>
                <w:b/>
                <w:bCs/>
                <w:color w:val="000000"/>
                <w:szCs w:val="24"/>
                <w:vertAlign w:val="superscript"/>
              </w:rPr>
              <w:t>1</w:t>
            </w:r>
            <w:r>
              <w:rPr>
                <w:rFonts w:eastAsia="Times New Roman" w:cs="Times New Roman"/>
                <w:b/>
                <w:bCs/>
                <w:color w:val="000000"/>
                <w:szCs w:val="24"/>
              </w:rPr>
              <w:t>)</w:t>
            </w:r>
          </w:p>
        </w:tc>
        <w:tc>
          <w:tcPr>
            <w:tcW w:w="2707" w:type="dxa"/>
            <w:vMerge w:val="restart"/>
            <w:tcBorders>
              <w:top w:val="single" w:color="000000" w:sz="12" w:space="0"/>
              <w:left w:val="nil"/>
              <w:bottom w:val="nil"/>
              <w:right w:val="nil"/>
            </w:tcBorders>
            <w:shd w:val="clear" w:color="auto" w:fill="FFFFFF"/>
            <w:noWrap/>
            <w:vAlign w:val="center"/>
          </w:tcPr>
          <w:p w14:paraId="18DB9E7C">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 xml:space="preserve">Average </w:t>
            </w:r>
            <w:r>
              <w:rPr>
                <w:rFonts w:hint="eastAsia" w:eastAsia="宋体" w:cs="Times New Roman"/>
                <w:b/>
                <w:bCs/>
                <w:color w:val="000000"/>
                <w:szCs w:val="24"/>
                <w:lang w:val="en-US" w:eastAsia="zh-CN"/>
              </w:rPr>
              <w:t>p</w:t>
            </w:r>
            <w:r>
              <w:rPr>
                <w:rFonts w:eastAsia="Times New Roman" w:cs="Times New Roman"/>
                <w:b/>
                <w:bCs/>
                <w:color w:val="000000"/>
                <w:szCs w:val="24"/>
              </w:rPr>
              <w:t xml:space="preserve">ore </w:t>
            </w:r>
            <w:r>
              <w:rPr>
                <w:rFonts w:hint="eastAsia" w:eastAsia="宋体" w:cs="Times New Roman"/>
                <w:b/>
                <w:bCs/>
                <w:color w:val="000000"/>
                <w:szCs w:val="24"/>
                <w:lang w:val="en-US" w:eastAsia="zh-CN"/>
              </w:rPr>
              <w:t>s</w:t>
            </w:r>
            <w:r>
              <w:rPr>
                <w:rFonts w:eastAsia="Times New Roman" w:cs="Times New Roman"/>
                <w:b/>
                <w:bCs/>
                <w:color w:val="000000"/>
                <w:szCs w:val="24"/>
              </w:rPr>
              <w:t>ize</w:t>
            </w:r>
          </w:p>
          <w:p w14:paraId="3C5BC8E6">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nm</w:t>
            </w:r>
          </w:p>
        </w:tc>
        <w:tc>
          <w:tcPr>
            <w:tcW w:w="1914" w:type="dxa"/>
            <w:vMerge w:val="restart"/>
            <w:tcBorders>
              <w:top w:val="single" w:color="000000" w:sz="12" w:space="0"/>
              <w:left w:val="nil"/>
              <w:bottom w:val="nil"/>
              <w:right w:val="nil"/>
            </w:tcBorders>
            <w:shd w:val="clear" w:color="auto" w:fill="FFFFFF"/>
            <w:noWrap/>
            <w:vAlign w:val="center"/>
          </w:tcPr>
          <w:p w14:paraId="2836EED5">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 xml:space="preserve">Pore </w:t>
            </w:r>
            <w:r>
              <w:rPr>
                <w:rFonts w:hint="eastAsia" w:eastAsia="宋体" w:cs="Times New Roman"/>
                <w:b/>
                <w:bCs/>
                <w:color w:val="000000"/>
                <w:szCs w:val="24"/>
                <w:lang w:val="en-US" w:eastAsia="zh-CN"/>
              </w:rPr>
              <w:t>v</w:t>
            </w:r>
            <w:r>
              <w:rPr>
                <w:rFonts w:eastAsia="Times New Roman" w:cs="Times New Roman"/>
                <w:b/>
                <w:bCs/>
                <w:color w:val="000000"/>
                <w:szCs w:val="24"/>
              </w:rPr>
              <w:t>olume</w:t>
            </w:r>
          </w:p>
          <w:p w14:paraId="5E751B99">
            <w:pPr>
              <w:widowControl/>
              <w:spacing w:line="240" w:lineRule="auto"/>
              <w:ind w:firstLine="0" w:firstLineChars="0"/>
              <w:jc w:val="center"/>
              <w:rPr>
                <w:rFonts w:cs="Times New Roman" w:eastAsiaTheme="minorEastAsia"/>
                <w:b/>
                <w:bCs/>
                <w:color w:val="000000"/>
                <w:szCs w:val="24"/>
              </w:rPr>
            </w:pPr>
            <w:r>
              <w:rPr>
                <w:rFonts w:eastAsia="Times New Roman" w:cs="Times New Roman"/>
                <w:b/>
                <w:bCs/>
                <w:color w:val="000000"/>
                <w:szCs w:val="24"/>
              </w:rPr>
              <w:t>cm</w:t>
            </w:r>
            <w:r>
              <w:rPr>
                <w:rFonts w:eastAsia="Times New Roman" w:cs="Times New Roman"/>
                <w:b/>
                <w:bCs/>
                <w:color w:val="000000"/>
                <w:szCs w:val="24"/>
                <w:vertAlign w:val="superscript"/>
              </w:rPr>
              <w:t>3</w:t>
            </w:r>
            <w:r>
              <w:rPr>
                <w:rFonts w:eastAsia="Times New Roman" w:cs="Times New Roman"/>
                <w:b/>
                <w:bCs/>
                <w:color w:val="000000"/>
                <w:szCs w:val="24"/>
              </w:rPr>
              <w:t>·g</w:t>
            </w:r>
            <w:r>
              <w:rPr>
                <w:rFonts w:cs="Times New Roman"/>
                <w:b/>
                <w:bCs/>
                <w:sz w:val="24"/>
                <w:szCs w:val="24"/>
              </w:rPr>
              <w:t>⁻</w:t>
            </w:r>
            <w:r>
              <w:rPr>
                <w:rFonts w:hint="eastAsia" w:cs="Times New Roman" w:eastAsiaTheme="minorEastAsia"/>
                <w:b/>
                <w:bCs/>
                <w:color w:val="000000"/>
                <w:szCs w:val="24"/>
                <w:vertAlign w:val="superscript"/>
              </w:rPr>
              <w:t>1</w:t>
            </w:r>
          </w:p>
        </w:tc>
        <w:tc>
          <w:tcPr>
            <w:tcW w:w="1586" w:type="dxa"/>
            <w:vMerge w:val="restart"/>
            <w:tcBorders>
              <w:top w:val="single" w:color="000000" w:sz="12" w:space="0"/>
              <w:left w:val="nil"/>
              <w:bottom w:val="single" w:color="000000" w:sz="4" w:space="0"/>
              <w:right w:val="nil"/>
            </w:tcBorders>
            <w:shd w:val="clear" w:color="auto" w:fill="FFFFFF"/>
            <w:vAlign w:val="center"/>
          </w:tcPr>
          <w:p w14:paraId="4DB09B97">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Zero-point charge</w:t>
            </w:r>
          </w:p>
        </w:tc>
      </w:tr>
      <w:tr w14:paraId="748A0436">
        <w:tblPrEx>
          <w:tblCellMar>
            <w:top w:w="0" w:type="dxa"/>
            <w:left w:w="108" w:type="dxa"/>
            <w:bottom w:w="0" w:type="dxa"/>
            <w:right w:w="108" w:type="dxa"/>
          </w:tblCellMar>
        </w:tblPrEx>
        <w:trPr>
          <w:trHeight w:val="525" w:hRule="atLeast"/>
        </w:trPr>
        <w:tc>
          <w:tcPr>
            <w:tcW w:w="1972" w:type="dxa"/>
            <w:tcBorders>
              <w:top w:val="single" w:color="auto" w:sz="4" w:space="0"/>
              <w:left w:val="nil"/>
              <w:bottom w:val="single" w:color="000000" w:sz="4" w:space="0"/>
              <w:right w:val="nil"/>
            </w:tcBorders>
            <w:shd w:val="clear" w:color="auto" w:fill="FFFFFF"/>
            <w:noWrap/>
            <w:vAlign w:val="center"/>
          </w:tcPr>
          <w:p w14:paraId="4416EE20">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PVC</w:t>
            </w:r>
          </w:p>
        </w:tc>
        <w:tc>
          <w:tcPr>
            <w:tcW w:w="1161" w:type="dxa"/>
            <w:tcBorders>
              <w:top w:val="single" w:color="auto" w:sz="4" w:space="0"/>
              <w:left w:val="nil"/>
              <w:bottom w:val="single" w:color="000000" w:sz="4" w:space="0"/>
              <w:right w:val="nil"/>
            </w:tcBorders>
            <w:shd w:val="clear" w:color="auto" w:fill="FFFFFF"/>
            <w:noWrap/>
            <w:vAlign w:val="center"/>
          </w:tcPr>
          <w:p w14:paraId="3EBA29B3">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size</w:t>
            </w:r>
          </w:p>
        </w:tc>
        <w:tc>
          <w:tcPr>
            <w:tcW w:w="1682" w:type="dxa"/>
            <w:vMerge w:val="continue"/>
            <w:tcBorders>
              <w:top w:val="nil"/>
              <w:left w:val="nil"/>
              <w:bottom w:val="single" w:color="000000" w:sz="4" w:space="0"/>
              <w:right w:val="nil"/>
            </w:tcBorders>
            <w:shd w:val="clear" w:color="auto" w:fill="FFFFFF"/>
            <w:noWrap/>
            <w:vAlign w:val="center"/>
          </w:tcPr>
          <w:p w14:paraId="06DE9D56">
            <w:pPr>
              <w:widowControl/>
              <w:spacing w:line="240" w:lineRule="auto"/>
              <w:ind w:firstLine="0" w:firstLineChars="0"/>
              <w:jc w:val="center"/>
              <w:rPr>
                <w:rFonts w:eastAsia="Times New Roman" w:cs="Times New Roman"/>
                <w:b/>
                <w:bCs/>
                <w:color w:val="000000"/>
                <w:szCs w:val="24"/>
              </w:rPr>
            </w:pPr>
          </w:p>
        </w:tc>
        <w:tc>
          <w:tcPr>
            <w:tcW w:w="2823" w:type="dxa"/>
            <w:vMerge w:val="continue"/>
            <w:tcBorders>
              <w:top w:val="nil"/>
              <w:left w:val="nil"/>
              <w:bottom w:val="single" w:color="000000" w:sz="4" w:space="0"/>
              <w:right w:val="nil"/>
            </w:tcBorders>
            <w:shd w:val="clear" w:color="auto" w:fill="FFFFFF"/>
            <w:noWrap/>
            <w:vAlign w:val="center"/>
          </w:tcPr>
          <w:p w14:paraId="25468F89">
            <w:pPr>
              <w:widowControl/>
              <w:spacing w:line="240" w:lineRule="auto"/>
              <w:ind w:firstLine="0" w:firstLineChars="0"/>
              <w:jc w:val="center"/>
              <w:rPr>
                <w:rFonts w:eastAsia="Times New Roman" w:cs="Times New Roman"/>
                <w:b/>
                <w:bCs/>
                <w:color w:val="000000"/>
                <w:szCs w:val="24"/>
              </w:rPr>
            </w:pPr>
          </w:p>
        </w:tc>
        <w:tc>
          <w:tcPr>
            <w:tcW w:w="2707" w:type="dxa"/>
            <w:vMerge w:val="continue"/>
            <w:tcBorders>
              <w:top w:val="nil"/>
              <w:left w:val="nil"/>
              <w:bottom w:val="single" w:color="000000" w:sz="4" w:space="0"/>
              <w:right w:val="nil"/>
            </w:tcBorders>
            <w:shd w:val="clear" w:color="auto" w:fill="FFFFFF"/>
            <w:noWrap/>
            <w:vAlign w:val="center"/>
          </w:tcPr>
          <w:p w14:paraId="1EFD4374">
            <w:pPr>
              <w:widowControl/>
              <w:spacing w:line="240" w:lineRule="auto"/>
              <w:ind w:firstLine="0" w:firstLineChars="0"/>
              <w:jc w:val="center"/>
              <w:rPr>
                <w:rFonts w:eastAsia="Times New Roman" w:cs="Times New Roman"/>
                <w:b/>
                <w:bCs/>
                <w:color w:val="000000"/>
                <w:szCs w:val="24"/>
              </w:rPr>
            </w:pPr>
          </w:p>
        </w:tc>
        <w:tc>
          <w:tcPr>
            <w:tcW w:w="1914" w:type="dxa"/>
            <w:vMerge w:val="continue"/>
            <w:tcBorders>
              <w:top w:val="nil"/>
              <w:left w:val="nil"/>
              <w:bottom w:val="single" w:color="000000" w:sz="4" w:space="0"/>
              <w:right w:val="nil"/>
            </w:tcBorders>
            <w:shd w:val="clear" w:color="auto" w:fill="FFFFFF"/>
            <w:noWrap/>
            <w:vAlign w:val="center"/>
          </w:tcPr>
          <w:p w14:paraId="751173F5">
            <w:pPr>
              <w:widowControl/>
              <w:spacing w:line="240" w:lineRule="auto"/>
              <w:ind w:firstLine="0" w:firstLineChars="0"/>
              <w:jc w:val="center"/>
              <w:rPr>
                <w:rFonts w:eastAsia="Times New Roman" w:cs="Times New Roman"/>
                <w:b/>
                <w:bCs/>
                <w:color w:val="000000"/>
                <w:szCs w:val="24"/>
              </w:rPr>
            </w:pPr>
          </w:p>
        </w:tc>
        <w:tc>
          <w:tcPr>
            <w:tcW w:w="1586" w:type="dxa"/>
            <w:vMerge w:val="continue"/>
            <w:tcBorders>
              <w:top w:val="single" w:color="000000" w:sz="4" w:space="0"/>
              <w:left w:val="nil"/>
              <w:bottom w:val="single" w:color="000000" w:sz="4" w:space="0"/>
              <w:right w:val="nil"/>
            </w:tcBorders>
            <w:shd w:val="clear" w:color="auto" w:fill="FFFFFF"/>
            <w:vAlign w:val="center"/>
          </w:tcPr>
          <w:p w14:paraId="399A6E66">
            <w:pPr>
              <w:widowControl/>
              <w:spacing w:line="240" w:lineRule="auto"/>
              <w:ind w:firstLine="0" w:firstLineChars="0"/>
              <w:jc w:val="center"/>
              <w:rPr>
                <w:rFonts w:eastAsia="Times New Roman" w:cs="Times New Roman"/>
                <w:b/>
                <w:bCs/>
                <w:color w:val="000000"/>
                <w:szCs w:val="24"/>
              </w:rPr>
            </w:pPr>
          </w:p>
        </w:tc>
      </w:tr>
      <w:tr w14:paraId="218B7ED4">
        <w:tblPrEx>
          <w:tblCellMar>
            <w:top w:w="0" w:type="dxa"/>
            <w:left w:w="108" w:type="dxa"/>
            <w:bottom w:w="0" w:type="dxa"/>
            <w:right w:w="108" w:type="dxa"/>
          </w:tblCellMar>
        </w:tblPrEx>
        <w:trPr>
          <w:trHeight w:val="501" w:hRule="atLeast"/>
        </w:trPr>
        <w:tc>
          <w:tcPr>
            <w:tcW w:w="1972" w:type="dxa"/>
            <w:vMerge w:val="restart"/>
            <w:tcBorders>
              <w:top w:val="nil"/>
              <w:left w:val="nil"/>
              <w:bottom w:val="nil"/>
              <w:right w:val="nil"/>
            </w:tcBorders>
            <w:shd w:val="clear" w:color="auto" w:fill="FFFFFF"/>
            <w:noWrap/>
            <w:vAlign w:val="center"/>
          </w:tcPr>
          <w:p w14:paraId="6DD07E8E">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Pristine PVC</w:t>
            </w:r>
          </w:p>
        </w:tc>
        <w:tc>
          <w:tcPr>
            <w:tcW w:w="1161" w:type="dxa"/>
            <w:tcBorders>
              <w:top w:val="nil"/>
              <w:left w:val="nil"/>
              <w:bottom w:val="nil"/>
              <w:right w:val="nil"/>
            </w:tcBorders>
            <w:shd w:val="clear" w:color="auto" w:fill="FFFFFF"/>
            <w:noWrap/>
            <w:vAlign w:val="center"/>
          </w:tcPr>
          <w:p w14:paraId="72940000">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 xml:space="preserve">1 </w:t>
            </w:r>
            <w:r>
              <w:rPr>
                <w:rFonts w:cs="Times New Roman"/>
                <w:szCs w:val="24"/>
              </w:rPr>
              <w:t xml:space="preserve"> µm</w:t>
            </w:r>
          </w:p>
        </w:tc>
        <w:tc>
          <w:tcPr>
            <w:tcW w:w="1682" w:type="dxa"/>
            <w:tcBorders>
              <w:top w:val="nil"/>
              <w:left w:val="nil"/>
              <w:bottom w:val="nil"/>
              <w:right w:val="nil"/>
            </w:tcBorders>
            <w:shd w:val="clear" w:color="auto" w:fill="FFFFFF"/>
            <w:noWrap/>
            <w:vAlign w:val="center"/>
          </w:tcPr>
          <w:p w14:paraId="32D0E7ED">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0.65</w:t>
            </w:r>
          </w:p>
        </w:tc>
        <w:tc>
          <w:tcPr>
            <w:tcW w:w="2823" w:type="dxa"/>
            <w:tcBorders>
              <w:top w:val="nil"/>
              <w:left w:val="nil"/>
              <w:bottom w:val="nil"/>
              <w:right w:val="nil"/>
            </w:tcBorders>
            <w:shd w:val="clear" w:color="auto" w:fill="FFFFFF"/>
            <w:noWrap/>
            <w:vAlign w:val="center"/>
          </w:tcPr>
          <w:p w14:paraId="135E468B">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4.10</w:t>
            </w:r>
          </w:p>
        </w:tc>
        <w:tc>
          <w:tcPr>
            <w:tcW w:w="2707" w:type="dxa"/>
            <w:tcBorders>
              <w:top w:val="nil"/>
              <w:left w:val="nil"/>
              <w:bottom w:val="nil"/>
              <w:right w:val="nil"/>
            </w:tcBorders>
            <w:shd w:val="clear" w:color="auto" w:fill="FFFFFF"/>
            <w:noWrap/>
            <w:vAlign w:val="center"/>
          </w:tcPr>
          <w:p w14:paraId="22C4F500">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0.751</w:t>
            </w:r>
          </w:p>
        </w:tc>
        <w:tc>
          <w:tcPr>
            <w:tcW w:w="1914" w:type="dxa"/>
            <w:tcBorders>
              <w:top w:val="nil"/>
              <w:left w:val="nil"/>
              <w:bottom w:val="nil"/>
              <w:right w:val="nil"/>
            </w:tcBorders>
            <w:shd w:val="clear" w:color="auto" w:fill="FFFFFF"/>
            <w:noWrap/>
            <w:vAlign w:val="center"/>
          </w:tcPr>
          <w:p w14:paraId="78F7C4CF">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0.013</w:t>
            </w:r>
          </w:p>
        </w:tc>
        <w:tc>
          <w:tcPr>
            <w:tcW w:w="1586" w:type="dxa"/>
            <w:tcBorders>
              <w:top w:val="single" w:color="000000" w:sz="4" w:space="0"/>
              <w:left w:val="nil"/>
              <w:bottom w:val="nil"/>
              <w:right w:val="nil"/>
            </w:tcBorders>
            <w:shd w:val="clear" w:color="auto" w:fill="FFFFFF"/>
            <w:noWrap/>
            <w:vAlign w:val="center"/>
          </w:tcPr>
          <w:p w14:paraId="544621CC">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2.10</w:t>
            </w:r>
          </w:p>
        </w:tc>
      </w:tr>
      <w:tr w14:paraId="29BD047E">
        <w:tblPrEx>
          <w:tblCellMar>
            <w:top w:w="0" w:type="dxa"/>
            <w:left w:w="108" w:type="dxa"/>
            <w:bottom w:w="0" w:type="dxa"/>
            <w:right w:w="108" w:type="dxa"/>
          </w:tblCellMar>
        </w:tblPrEx>
        <w:trPr>
          <w:trHeight w:val="477" w:hRule="atLeast"/>
        </w:trPr>
        <w:tc>
          <w:tcPr>
            <w:tcW w:w="1972" w:type="dxa"/>
            <w:vMerge w:val="continue"/>
            <w:tcBorders>
              <w:top w:val="nil"/>
              <w:left w:val="nil"/>
              <w:bottom w:val="nil"/>
              <w:right w:val="nil"/>
            </w:tcBorders>
            <w:shd w:val="clear" w:color="auto" w:fill="FFFFFF"/>
            <w:vAlign w:val="center"/>
          </w:tcPr>
          <w:p w14:paraId="7F8D5E2F">
            <w:pPr>
              <w:widowControl/>
              <w:spacing w:line="240" w:lineRule="auto"/>
              <w:ind w:firstLine="0" w:firstLineChars="0"/>
              <w:jc w:val="center"/>
              <w:rPr>
                <w:rFonts w:eastAsia="Times New Roman" w:cs="Times New Roman"/>
                <w:b/>
                <w:bCs/>
                <w:color w:val="000000"/>
                <w:szCs w:val="24"/>
              </w:rPr>
            </w:pPr>
          </w:p>
        </w:tc>
        <w:tc>
          <w:tcPr>
            <w:tcW w:w="1161" w:type="dxa"/>
            <w:tcBorders>
              <w:top w:val="nil"/>
              <w:left w:val="nil"/>
              <w:bottom w:val="nil"/>
              <w:right w:val="nil"/>
            </w:tcBorders>
            <w:shd w:val="clear" w:color="auto" w:fill="FFFFFF"/>
            <w:noWrap/>
            <w:vAlign w:val="center"/>
          </w:tcPr>
          <w:p w14:paraId="6D6322BD">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 xml:space="preserve">150 </w:t>
            </w:r>
            <w:r>
              <w:rPr>
                <w:rFonts w:cs="Times New Roman"/>
                <w:szCs w:val="24"/>
              </w:rPr>
              <w:t xml:space="preserve"> µm</w:t>
            </w:r>
          </w:p>
        </w:tc>
        <w:tc>
          <w:tcPr>
            <w:tcW w:w="1682" w:type="dxa"/>
            <w:tcBorders>
              <w:top w:val="nil"/>
              <w:left w:val="nil"/>
              <w:bottom w:val="nil"/>
              <w:right w:val="nil"/>
            </w:tcBorders>
            <w:shd w:val="clear" w:color="auto" w:fill="FFFFFF"/>
            <w:noWrap/>
            <w:vAlign w:val="center"/>
          </w:tcPr>
          <w:p w14:paraId="0F389BA2">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150.1</w:t>
            </w:r>
          </w:p>
        </w:tc>
        <w:tc>
          <w:tcPr>
            <w:tcW w:w="2823" w:type="dxa"/>
            <w:tcBorders>
              <w:top w:val="nil"/>
              <w:left w:val="nil"/>
              <w:bottom w:val="nil"/>
              <w:right w:val="nil"/>
            </w:tcBorders>
            <w:shd w:val="clear" w:color="auto" w:fill="FFFFFF"/>
            <w:noWrap/>
            <w:vAlign w:val="center"/>
          </w:tcPr>
          <w:p w14:paraId="09B749C8">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0.11</w:t>
            </w:r>
          </w:p>
        </w:tc>
        <w:tc>
          <w:tcPr>
            <w:tcW w:w="2707" w:type="dxa"/>
            <w:tcBorders>
              <w:top w:val="nil"/>
              <w:left w:val="nil"/>
              <w:bottom w:val="nil"/>
              <w:right w:val="nil"/>
            </w:tcBorders>
            <w:shd w:val="clear" w:color="auto" w:fill="FFFFFF"/>
            <w:noWrap/>
            <w:vAlign w:val="center"/>
          </w:tcPr>
          <w:p w14:paraId="57962C69">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0.627</w:t>
            </w:r>
          </w:p>
        </w:tc>
        <w:tc>
          <w:tcPr>
            <w:tcW w:w="1914" w:type="dxa"/>
            <w:tcBorders>
              <w:top w:val="nil"/>
              <w:left w:val="nil"/>
              <w:bottom w:val="nil"/>
              <w:right w:val="nil"/>
            </w:tcBorders>
            <w:shd w:val="clear" w:color="auto" w:fill="FFFFFF"/>
            <w:noWrap/>
            <w:vAlign w:val="center"/>
          </w:tcPr>
          <w:p w14:paraId="37329F2C">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0.011</w:t>
            </w:r>
          </w:p>
        </w:tc>
        <w:tc>
          <w:tcPr>
            <w:tcW w:w="1586" w:type="dxa"/>
            <w:tcBorders>
              <w:top w:val="nil"/>
              <w:left w:val="nil"/>
              <w:bottom w:val="nil"/>
              <w:right w:val="nil"/>
            </w:tcBorders>
            <w:shd w:val="clear" w:color="auto" w:fill="FFFFFF"/>
            <w:noWrap/>
            <w:vAlign w:val="center"/>
          </w:tcPr>
          <w:p w14:paraId="2C112B75">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3.60</w:t>
            </w:r>
          </w:p>
        </w:tc>
      </w:tr>
      <w:tr w14:paraId="2FB1F2AB">
        <w:tblPrEx>
          <w:tblCellMar>
            <w:top w:w="0" w:type="dxa"/>
            <w:left w:w="108" w:type="dxa"/>
            <w:bottom w:w="0" w:type="dxa"/>
            <w:right w:w="108" w:type="dxa"/>
          </w:tblCellMar>
        </w:tblPrEx>
        <w:trPr>
          <w:trHeight w:val="477" w:hRule="atLeast"/>
        </w:trPr>
        <w:tc>
          <w:tcPr>
            <w:tcW w:w="1972" w:type="dxa"/>
            <w:vMerge w:val="restart"/>
            <w:tcBorders>
              <w:top w:val="nil"/>
              <w:left w:val="nil"/>
              <w:bottom w:val="nil"/>
              <w:right w:val="nil"/>
            </w:tcBorders>
            <w:shd w:val="clear" w:color="auto" w:fill="FFFFFF"/>
            <w:vAlign w:val="center"/>
          </w:tcPr>
          <w:p w14:paraId="53621935">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Aged PVC</w:t>
            </w:r>
          </w:p>
        </w:tc>
        <w:tc>
          <w:tcPr>
            <w:tcW w:w="1161" w:type="dxa"/>
            <w:tcBorders>
              <w:top w:val="nil"/>
              <w:left w:val="nil"/>
              <w:bottom w:val="nil"/>
              <w:right w:val="nil"/>
            </w:tcBorders>
            <w:shd w:val="clear" w:color="auto" w:fill="FFFFFF"/>
            <w:noWrap/>
            <w:vAlign w:val="center"/>
          </w:tcPr>
          <w:p w14:paraId="756DF25F">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 xml:space="preserve">1 </w:t>
            </w:r>
            <w:r>
              <w:rPr>
                <w:rFonts w:cs="Times New Roman"/>
                <w:szCs w:val="24"/>
              </w:rPr>
              <w:t xml:space="preserve"> µm</w:t>
            </w:r>
          </w:p>
        </w:tc>
        <w:tc>
          <w:tcPr>
            <w:tcW w:w="1682" w:type="dxa"/>
            <w:tcBorders>
              <w:top w:val="nil"/>
              <w:left w:val="nil"/>
              <w:bottom w:val="nil"/>
              <w:right w:val="nil"/>
            </w:tcBorders>
            <w:shd w:val="clear" w:color="auto" w:fill="FFFFFF"/>
            <w:noWrap/>
            <w:vAlign w:val="center"/>
          </w:tcPr>
          <w:p w14:paraId="15F82AD7">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0.52</w:t>
            </w:r>
          </w:p>
        </w:tc>
        <w:tc>
          <w:tcPr>
            <w:tcW w:w="2823" w:type="dxa"/>
            <w:tcBorders>
              <w:top w:val="nil"/>
              <w:left w:val="nil"/>
              <w:bottom w:val="nil"/>
              <w:right w:val="nil"/>
            </w:tcBorders>
            <w:shd w:val="clear" w:color="auto" w:fill="FFFFFF"/>
            <w:noWrap/>
            <w:vAlign w:val="center"/>
          </w:tcPr>
          <w:p w14:paraId="6C902530">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4.50</w:t>
            </w:r>
          </w:p>
        </w:tc>
        <w:tc>
          <w:tcPr>
            <w:tcW w:w="2707" w:type="dxa"/>
            <w:tcBorders>
              <w:top w:val="nil"/>
              <w:left w:val="nil"/>
              <w:bottom w:val="nil"/>
              <w:right w:val="nil"/>
            </w:tcBorders>
            <w:shd w:val="clear" w:color="auto" w:fill="FFFFFF"/>
            <w:noWrap/>
            <w:vAlign w:val="center"/>
          </w:tcPr>
          <w:p w14:paraId="70EF8D48">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0.822</w:t>
            </w:r>
          </w:p>
        </w:tc>
        <w:tc>
          <w:tcPr>
            <w:tcW w:w="1914" w:type="dxa"/>
            <w:tcBorders>
              <w:top w:val="nil"/>
              <w:left w:val="nil"/>
              <w:bottom w:val="nil"/>
              <w:right w:val="nil"/>
            </w:tcBorders>
            <w:shd w:val="clear" w:color="auto" w:fill="FFFFFF"/>
            <w:noWrap/>
            <w:vAlign w:val="center"/>
          </w:tcPr>
          <w:p w14:paraId="310C0442">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0.014</w:t>
            </w:r>
          </w:p>
        </w:tc>
        <w:tc>
          <w:tcPr>
            <w:tcW w:w="1586" w:type="dxa"/>
            <w:tcBorders>
              <w:top w:val="nil"/>
              <w:left w:val="nil"/>
              <w:bottom w:val="nil"/>
              <w:right w:val="nil"/>
            </w:tcBorders>
            <w:shd w:val="clear" w:color="auto" w:fill="FFFFFF"/>
            <w:noWrap/>
            <w:vAlign w:val="center"/>
          </w:tcPr>
          <w:p w14:paraId="350C309E">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3.50</w:t>
            </w:r>
          </w:p>
        </w:tc>
      </w:tr>
      <w:tr w14:paraId="1EA4F81F">
        <w:tblPrEx>
          <w:tblCellMar>
            <w:top w:w="0" w:type="dxa"/>
            <w:left w:w="108" w:type="dxa"/>
            <w:bottom w:w="0" w:type="dxa"/>
            <w:right w:w="108" w:type="dxa"/>
          </w:tblCellMar>
        </w:tblPrEx>
        <w:trPr>
          <w:trHeight w:val="501" w:hRule="atLeast"/>
        </w:trPr>
        <w:tc>
          <w:tcPr>
            <w:tcW w:w="1972" w:type="dxa"/>
            <w:vMerge w:val="continue"/>
            <w:tcBorders>
              <w:top w:val="nil"/>
              <w:left w:val="nil"/>
              <w:bottom w:val="single" w:color="000000" w:sz="12" w:space="0"/>
              <w:right w:val="nil"/>
            </w:tcBorders>
            <w:shd w:val="clear" w:color="auto" w:fill="FFFFFF"/>
            <w:vAlign w:val="center"/>
          </w:tcPr>
          <w:p w14:paraId="58B758B8">
            <w:pPr>
              <w:widowControl/>
              <w:spacing w:line="240" w:lineRule="auto"/>
              <w:ind w:firstLine="0" w:firstLineChars="0"/>
              <w:jc w:val="center"/>
              <w:rPr>
                <w:rFonts w:eastAsia="Times New Roman" w:cs="Times New Roman"/>
                <w:b/>
                <w:bCs/>
                <w:color w:val="000000"/>
                <w:szCs w:val="24"/>
              </w:rPr>
            </w:pPr>
          </w:p>
        </w:tc>
        <w:tc>
          <w:tcPr>
            <w:tcW w:w="1161" w:type="dxa"/>
            <w:tcBorders>
              <w:top w:val="nil"/>
              <w:left w:val="nil"/>
              <w:bottom w:val="single" w:color="000000" w:sz="12" w:space="0"/>
              <w:right w:val="nil"/>
            </w:tcBorders>
            <w:shd w:val="clear" w:color="auto" w:fill="FFFFFF"/>
            <w:noWrap/>
            <w:vAlign w:val="center"/>
          </w:tcPr>
          <w:p w14:paraId="0CD37971">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 xml:space="preserve">150 </w:t>
            </w:r>
            <w:r>
              <w:rPr>
                <w:rFonts w:cs="Times New Roman"/>
                <w:szCs w:val="24"/>
              </w:rPr>
              <w:t xml:space="preserve"> µm</w:t>
            </w:r>
          </w:p>
        </w:tc>
        <w:tc>
          <w:tcPr>
            <w:tcW w:w="1682" w:type="dxa"/>
            <w:tcBorders>
              <w:top w:val="nil"/>
              <w:left w:val="nil"/>
              <w:bottom w:val="single" w:color="000000" w:sz="12" w:space="0"/>
              <w:right w:val="nil"/>
            </w:tcBorders>
            <w:shd w:val="clear" w:color="auto" w:fill="FFFFFF"/>
            <w:noWrap/>
            <w:vAlign w:val="center"/>
          </w:tcPr>
          <w:p w14:paraId="27E69B6D">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149.6</w:t>
            </w:r>
          </w:p>
        </w:tc>
        <w:tc>
          <w:tcPr>
            <w:tcW w:w="2823" w:type="dxa"/>
            <w:tcBorders>
              <w:top w:val="nil"/>
              <w:left w:val="nil"/>
              <w:bottom w:val="single" w:color="000000" w:sz="12" w:space="0"/>
              <w:right w:val="nil"/>
            </w:tcBorders>
            <w:shd w:val="clear" w:color="auto" w:fill="FFFFFF"/>
            <w:noWrap/>
            <w:vAlign w:val="center"/>
          </w:tcPr>
          <w:p w14:paraId="54E560FD">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0.75</w:t>
            </w:r>
          </w:p>
        </w:tc>
        <w:tc>
          <w:tcPr>
            <w:tcW w:w="2707" w:type="dxa"/>
            <w:tcBorders>
              <w:top w:val="nil"/>
              <w:left w:val="nil"/>
              <w:bottom w:val="single" w:color="000000" w:sz="12" w:space="0"/>
              <w:right w:val="nil"/>
            </w:tcBorders>
            <w:shd w:val="clear" w:color="auto" w:fill="FFFFFF"/>
            <w:noWrap/>
            <w:vAlign w:val="center"/>
          </w:tcPr>
          <w:p w14:paraId="7EC6B32E">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0.479</w:t>
            </w:r>
          </w:p>
        </w:tc>
        <w:tc>
          <w:tcPr>
            <w:tcW w:w="1914" w:type="dxa"/>
            <w:tcBorders>
              <w:top w:val="nil"/>
              <w:left w:val="nil"/>
              <w:bottom w:val="single" w:color="000000" w:sz="12" w:space="0"/>
              <w:right w:val="nil"/>
            </w:tcBorders>
            <w:shd w:val="clear" w:color="auto" w:fill="FFFFFF"/>
            <w:noWrap/>
            <w:vAlign w:val="center"/>
          </w:tcPr>
          <w:p w14:paraId="27D4F3C8">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0.012</w:t>
            </w:r>
          </w:p>
        </w:tc>
        <w:tc>
          <w:tcPr>
            <w:tcW w:w="1586" w:type="dxa"/>
            <w:tcBorders>
              <w:top w:val="nil"/>
              <w:left w:val="nil"/>
              <w:bottom w:val="single" w:color="000000" w:sz="12" w:space="0"/>
              <w:right w:val="nil"/>
            </w:tcBorders>
            <w:shd w:val="clear" w:color="auto" w:fill="FFFFFF"/>
            <w:noWrap/>
            <w:vAlign w:val="center"/>
          </w:tcPr>
          <w:p w14:paraId="2F99141A">
            <w:pPr>
              <w:widowControl/>
              <w:spacing w:line="240" w:lineRule="auto"/>
              <w:ind w:firstLine="0" w:firstLineChars="0"/>
              <w:jc w:val="center"/>
              <w:rPr>
                <w:rFonts w:eastAsia="Times New Roman" w:cs="Times New Roman"/>
                <w:bCs/>
                <w:color w:val="000000"/>
                <w:szCs w:val="24"/>
              </w:rPr>
            </w:pPr>
            <w:r>
              <w:rPr>
                <w:rFonts w:eastAsia="Times New Roman" w:cs="Times New Roman"/>
                <w:bCs/>
                <w:color w:val="000000"/>
                <w:szCs w:val="24"/>
              </w:rPr>
              <w:t>1.20</w:t>
            </w:r>
          </w:p>
        </w:tc>
      </w:tr>
    </w:tbl>
    <w:p w14:paraId="39CF8C76">
      <w:pPr>
        <w:ind w:firstLine="0" w:firstLineChars="0"/>
        <w:rPr>
          <w:rFonts w:cs="Times New Roman"/>
        </w:rPr>
        <w:sectPr>
          <w:pgSz w:w="16838" w:h="11906" w:orient="landscape"/>
          <w:pgMar w:top="1440" w:right="1440" w:bottom="1440" w:left="1440" w:header="850" w:footer="994" w:gutter="0"/>
          <w:lnNumType w:countBy="1" w:restart="continuous"/>
          <w:cols w:space="720" w:num="1"/>
          <w:docGrid w:linePitch="299" w:charSpace="0"/>
        </w:sectPr>
      </w:pPr>
    </w:p>
    <w:p w14:paraId="6A4C647B">
      <w:pPr>
        <w:pStyle w:val="2"/>
        <w:rPr>
          <w:rFonts w:cs="Times New Roman"/>
          <w:sz w:val="21"/>
          <w:szCs w:val="21"/>
        </w:rPr>
      </w:pPr>
      <w:bookmarkStart w:id="15" w:name="_Toc228301082"/>
      <w:r>
        <w:rPr>
          <w:rFonts w:cs="Times New Roman"/>
          <w:b/>
          <w:bCs/>
        </w:rPr>
        <w:t xml:space="preserve">Table S3 </w:t>
      </w:r>
      <w:r>
        <w:rPr>
          <w:rFonts w:cs="Times New Roman"/>
        </w:rPr>
        <w:t xml:space="preserve">Kinetic parameters of the Pseudo-first order, Pseudo-second order, Elovich model and Intra-particle diffusion model for FL sorption on pristine 1 </w:t>
      </w:r>
      <w:r>
        <w:rPr>
          <w:rFonts w:cs="Times New Roman"/>
          <w:szCs w:val="24"/>
        </w:rPr>
        <w:t>µm</w:t>
      </w:r>
      <w:r>
        <w:rPr>
          <w:rFonts w:cs="Times New Roman"/>
        </w:rPr>
        <w:t xml:space="preserve"> and 150 </w:t>
      </w:r>
      <w:r>
        <w:rPr>
          <w:rFonts w:cs="Times New Roman"/>
          <w:szCs w:val="24"/>
        </w:rPr>
        <w:t>µm</w:t>
      </w:r>
      <w:r>
        <w:rPr>
          <w:rFonts w:cs="Times New Roman"/>
        </w:rPr>
        <w:t xml:space="preserve">, aged 1 </w:t>
      </w:r>
      <w:r>
        <w:rPr>
          <w:rFonts w:cs="Times New Roman"/>
          <w:szCs w:val="24"/>
        </w:rPr>
        <w:t>µm</w:t>
      </w:r>
      <w:r>
        <w:rPr>
          <w:rFonts w:cs="Times New Roman"/>
        </w:rPr>
        <w:t xml:space="preserve"> and 150 </w:t>
      </w:r>
      <w:r>
        <w:rPr>
          <w:rFonts w:cs="Times New Roman"/>
          <w:szCs w:val="24"/>
        </w:rPr>
        <w:t>µm</w:t>
      </w:r>
      <w:r>
        <w:rPr>
          <w:rFonts w:cs="Times New Roman"/>
        </w:rPr>
        <w:t xml:space="preserve"> PVC</w:t>
      </w:r>
      <w:bookmarkEnd w:id="15"/>
      <w:r>
        <w:rPr>
          <w:rFonts w:cs="Times New Roman"/>
          <w:sz w:val="21"/>
          <w:szCs w:val="21"/>
        </w:rPr>
        <w:t xml:space="preserve"> </w:t>
      </w:r>
    </w:p>
    <w:tbl>
      <w:tblPr>
        <w:tblStyle w:val="21"/>
        <w:tblW w:w="13678" w:type="dxa"/>
        <w:tblInd w:w="0" w:type="dxa"/>
        <w:tblLayout w:type="autofit"/>
        <w:tblCellMar>
          <w:top w:w="0" w:type="dxa"/>
          <w:left w:w="108" w:type="dxa"/>
          <w:bottom w:w="0" w:type="dxa"/>
          <w:right w:w="108" w:type="dxa"/>
        </w:tblCellMar>
      </w:tblPr>
      <w:tblGrid>
        <w:gridCol w:w="3891"/>
        <w:gridCol w:w="1767"/>
        <w:gridCol w:w="2005"/>
        <w:gridCol w:w="2005"/>
        <w:gridCol w:w="2005"/>
        <w:gridCol w:w="2005"/>
      </w:tblGrid>
      <w:tr w14:paraId="3BE6AD89">
        <w:tblPrEx>
          <w:tblCellMar>
            <w:top w:w="0" w:type="dxa"/>
            <w:left w:w="108" w:type="dxa"/>
            <w:bottom w:w="0" w:type="dxa"/>
            <w:right w:w="108" w:type="dxa"/>
          </w:tblCellMar>
        </w:tblPrEx>
        <w:trPr>
          <w:trHeight w:val="355" w:hRule="atLeast"/>
        </w:trPr>
        <w:tc>
          <w:tcPr>
            <w:tcW w:w="5658" w:type="dxa"/>
            <w:gridSpan w:val="2"/>
            <w:tcBorders>
              <w:top w:val="single" w:color="000000" w:sz="12" w:space="0"/>
              <w:left w:val="nil"/>
              <w:bottom w:val="single" w:color="000000" w:sz="4" w:space="0"/>
              <w:right w:val="nil"/>
            </w:tcBorders>
            <w:vAlign w:val="center"/>
          </w:tcPr>
          <w:p w14:paraId="0FB7A5D1">
            <w:pPr>
              <w:widowControl/>
              <w:spacing w:line="240" w:lineRule="auto"/>
              <w:ind w:firstLine="0" w:firstLineChars="0"/>
              <w:jc w:val="center"/>
              <w:rPr>
                <w:rFonts w:eastAsia="Times New Roman" w:cs="Times New Roman"/>
                <w:b/>
                <w:bCs/>
                <w:color w:val="000000"/>
                <w:szCs w:val="24"/>
              </w:rPr>
            </w:pPr>
            <w:bookmarkStart w:id="16" w:name="OLE_LINK21"/>
            <w:bookmarkStart w:id="17" w:name="OLE_LINK20"/>
            <w:r>
              <w:rPr>
                <w:rFonts w:eastAsia="Times New Roman" w:cs="Times New Roman"/>
                <w:b/>
                <w:bCs/>
                <w:color w:val="000000"/>
                <w:szCs w:val="24"/>
              </w:rPr>
              <w:t>MPs</w:t>
            </w:r>
          </w:p>
        </w:tc>
        <w:tc>
          <w:tcPr>
            <w:tcW w:w="2005" w:type="dxa"/>
            <w:tcBorders>
              <w:top w:val="single" w:color="auto" w:sz="12" w:space="0"/>
              <w:left w:val="nil"/>
              <w:bottom w:val="single" w:color="auto" w:sz="4" w:space="0"/>
              <w:right w:val="nil"/>
            </w:tcBorders>
            <w:noWrap/>
            <w:vAlign w:val="center"/>
          </w:tcPr>
          <w:p w14:paraId="13610251">
            <w:pPr>
              <w:widowControl/>
              <w:spacing w:line="240" w:lineRule="auto"/>
              <w:ind w:firstLine="0" w:firstLineChars="0"/>
              <w:jc w:val="center"/>
              <w:rPr>
                <w:rFonts w:eastAsia="Times New Roman" w:cs="Times New Roman"/>
                <w:b/>
                <w:color w:val="000000"/>
              </w:rPr>
            </w:pPr>
            <w:r>
              <w:rPr>
                <w:rFonts w:eastAsia="Times New Roman" w:cs="Times New Roman"/>
                <w:b/>
                <w:color w:val="000000"/>
              </w:rPr>
              <w:t xml:space="preserve">Pristine 1 </w:t>
            </w:r>
            <w:r>
              <w:rPr>
                <w:rFonts w:cs="Times New Roman"/>
                <w:b/>
                <w:color w:val="000000"/>
              </w:rPr>
              <w:t>µ</w:t>
            </w:r>
            <w:r>
              <w:rPr>
                <w:rFonts w:eastAsia="Times New Roman" w:cs="Times New Roman"/>
                <w:b/>
                <w:color w:val="000000"/>
              </w:rPr>
              <w:t>m</w:t>
            </w:r>
          </w:p>
        </w:tc>
        <w:tc>
          <w:tcPr>
            <w:tcW w:w="2005" w:type="dxa"/>
            <w:tcBorders>
              <w:top w:val="single" w:color="auto" w:sz="12" w:space="0"/>
              <w:left w:val="nil"/>
              <w:bottom w:val="single" w:color="auto" w:sz="4" w:space="0"/>
              <w:right w:val="nil"/>
            </w:tcBorders>
            <w:noWrap/>
            <w:vAlign w:val="center"/>
          </w:tcPr>
          <w:p w14:paraId="0BA2AA88">
            <w:pPr>
              <w:widowControl/>
              <w:spacing w:line="240" w:lineRule="auto"/>
              <w:ind w:firstLine="0" w:firstLineChars="0"/>
              <w:jc w:val="center"/>
              <w:rPr>
                <w:rFonts w:eastAsia="Times New Roman" w:cs="Times New Roman"/>
                <w:b/>
                <w:color w:val="000000"/>
              </w:rPr>
            </w:pPr>
            <w:r>
              <w:rPr>
                <w:rFonts w:eastAsia="Times New Roman" w:cs="Times New Roman"/>
                <w:b/>
                <w:color w:val="000000"/>
              </w:rPr>
              <w:t>Aged 1 µm</w:t>
            </w:r>
          </w:p>
        </w:tc>
        <w:tc>
          <w:tcPr>
            <w:tcW w:w="2005" w:type="dxa"/>
            <w:tcBorders>
              <w:top w:val="single" w:color="auto" w:sz="12" w:space="0"/>
              <w:left w:val="nil"/>
              <w:bottom w:val="single" w:color="auto" w:sz="4" w:space="0"/>
              <w:right w:val="nil"/>
            </w:tcBorders>
            <w:noWrap/>
            <w:vAlign w:val="center"/>
          </w:tcPr>
          <w:p w14:paraId="7A74D35B">
            <w:pPr>
              <w:widowControl/>
              <w:spacing w:line="240" w:lineRule="auto"/>
              <w:ind w:firstLine="0" w:firstLineChars="0"/>
              <w:jc w:val="center"/>
              <w:rPr>
                <w:rFonts w:eastAsia="Times New Roman" w:cs="Times New Roman"/>
                <w:b/>
                <w:color w:val="000000"/>
              </w:rPr>
            </w:pPr>
            <w:r>
              <w:rPr>
                <w:rFonts w:eastAsia="Times New Roman" w:cs="Times New Roman"/>
                <w:b/>
                <w:color w:val="000000"/>
              </w:rPr>
              <w:t xml:space="preserve">Pristine 150 </w:t>
            </w:r>
            <w:r>
              <w:rPr>
                <w:rFonts w:cs="Times New Roman"/>
                <w:b/>
                <w:color w:val="000000"/>
              </w:rPr>
              <w:t>µ</w:t>
            </w:r>
            <w:r>
              <w:rPr>
                <w:rFonts w:eastAsia="Times New Roman" w:cs="Times New Roman"/>
                <w:b/>
                <w:color w:val="000000"/>
              </w:rPr>
              <w:t>m</w:t>
            </w:r>
          </w:p>
        </w:tc>
        <w:tc>
          <w:tcPr>
            <w:tcW w:w="2005" w:type="dxa"/>
            <w:tcBorders>
              <w:top w:val="single" w:color="auto" w:sz="12" w:space="0"/>
              <w:left w:val="nil"/>
              <w:bottom w:val="single" w:color="auto" w:sz="4" w:space="0"/>
              <w:right w:val="nil"/>
            </w:tcBorders>
            <w:noWrap/>
            <w:vAlign w:val="center"/>
          </w:tcPr>
          <w:p w14:paraId="6EDD53D9">
            <w:pPr>
              <w:widowControl/>
              <w:spacing w:line="240" w:lineRule="auto"/>
              <w:ind w:firstLine="0" w:firstLineChars="0"/>
              <w:jc w:val="center"/>
              <w:rPr>
                <w:rFonts w:eastAsia="Times New Roman" w:cs="Times New Roman"/>
                <w:b/>
                <w:color w:val="000000"/>
              </w:rPr>
            </w:pPr>
            <w:r>
              <w:rPr>
                <w:rFonts w:eastAsia="Times New Roman" w:cs="Times New Roman"/>
                <w:b/>
                <w:color w:val="000000"/>
              </w:rPr>
              <w:t>Aged 150 µm</w:t>
            </w:r>
          </w:p>
        </w:tc>
      </w:tr>
      <w:tr w14:paraId="40C153C3">
        <w:tblPrEx>
          <w:tblCellMar>
            <w:top w:w="0" w:type="dxa"/>
            <w:left w:w="108" w:type="dxa"/>
            <w:bottom w:w="0" w:type="dxa"/>
            <w:right w:w="108" w:type="dxa"/>
          </w:tblCellMar>
        </w:tblPrEx>
        <w:trPr>
          <w:trHeight w:val="328" w:hRule="atLeast"/>
        </w:trPr>
        <w:tc>
          <w:tcPr>
            <w:tcW w:w="3891" w:type="dxa"/>
            <w:vMerge w:val="restart"/>
            <w:tcBorders>
              <w:top w:val="single" w:color="000000" w:sz="4" w:space="0"/>
              <w:left w:val="nil"/>
              <w:bottom w:val="nil"/>
              <w:right w:val="nil"/>
            </w:tcBorders>
            <w:vAlign w:val="center"/>
          </w:tcPr>
          <w:p w14:paraId="1B9C246F">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Pseudo-first order</w:t>
            </w:r>
          </w:p>
        </w:tc>
        <w:tc>
          <w:tcPr>
            <w:tcW w:w="1767" w:type="dxa"/>
            <w:tcBorders>
              <w:top w:val="single" w:color="000000" w:sz="4" w:space="0"/>
              <w:left w:val="nil"/>
              <w:bottom w:val="nil"/>
              <w:right w:val="nil"/>
            </w:tcBorders>
            <w:vAlign w:val="center"/>
          </w:tcPr>
          <w:p w14:paraId="502E6AA0">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k</w:t>
            </w:r>
            <w:r>
              <w:rPr>
                <w:rFonts w:eastAsia="Times New Roman" w:cs="Times New Roman"/>
                <w:b/>
                <w:bCs/>
                <w:color w:val="000000"/>
                <w:szCs w:val="24"/>
                <w:vertAlign w:val="subscript"/>
              </w:rPr>
              <w:t>1</w:t>
            </w:r>
          </w:p>
        </w:tc>
        <w:tc>
          <w:tcPr>
            <w:tcW w:w="2005" w:type="dxa"/>
            <w:tcBorders>
              <w:top w:val="single" w:color="auto" w:sz="4" w:space="0"/>
              <w:left w:val="nil"/>
              <w:bottom w:val="nil"/>
              <w:right w:val="nil"/>
            </w:tcBorders>
            <w:noWrap/>
            <w:vAlign w:val="center"/>
          </w:tcPr>
          <w:p w14:paraId="1FBD4DB9">
            <w:pPr>
              <w:widowControl/>
              <w:spacing w:line="240" w:lineRule="auto"/>
              <w:ind w:firstLine="0" w:firstLineChars="0"/>
              <w:jc w:val="center"/>
              <w:rPr>
                <w:rFonts w:eastAsia="Times New Roman" w:cs="Times New Roman"/>
                <w:color w:val="000000"/>
              </w:rPr>
            </w:pPr>
            <w:r>
              <w:rPr>
                <w:rFonts w:eastAsia="Times New Roman" w:cs="Times New Roman"/>
                <w:color w:val="000000"/>
              </w:rPr>
              <w:t>0.20</w:t>
            </w:r>
          </w:p>
        </w:tc>
        <w:tc>
          <w:tcPr>
            <w:tcW w:w="2005" w:type="dxa"/>
            <w:tcBorders>
              <w:top w:val="single" w:color="auto" w:sz="4" w:space="0"/>
              <w:left w:val="nil"/>
              <w:bottom w:val="nil"/>
              <w:right w:val="nil"/>
            </w:tcBorders>
            <w:noWrap/>
            <w:vAlign w:val="center"/>
          </w:tcPr>
          <w:p w14:paraId="3C5B84A1">
            <w:pPr>
              <w:widowControl/>
              <w:spacing w:line="240" w:lineRule="auto"/>
              <w:ind w:firstLine="0" w:firstLineChars="0"/>
              <w:jc w:val="center"/>
              <w:rPr>
                <w:rFonts w:eastAsia="Times New Roman" w:cs="Times New Roman"/>
                <w:color w:val="000000"/>
              </w:rPr>
            </w:pPr>
            <w:r>
              <w:rPr>
                <w:rFonts w:eastAsia="Times New Roman" w:cs="Times New Roman"/>
                <w:color w:val="000000"/>
              </w:rPr>
              <w:t>0.26</w:t>
            </w:r>
          </w:p>
        </w:tc>
        <w:tc>
          <w:tcPr>
            <w:tcW w:w="2005" w:type="dxa"/>
            <w:tcBorders>
              <w:top w:val="single" w:color="auto" w:sz="4" w:space="0"/>
              <w:left w:val="nil"/>
              <w:bottom w:val="nil"/>
              <w:right w:val="nil"/>
            </w:tcBorders>
            <w:noWrap/>
            <w:vAlign w:val="center"/>
          </w:tcPr>
          <w:p w14:paraId="1DFBE6D6">
            <w:pPr>
              <w:widowControl/>
              <w:spacing w:line="240" w:lineRule="auto"/>
              <w:ind w:firstLine="0" w:firstLineChars="0"/>
              <w:jc w:val="center"/>
              <w:rPr>
                <w:rFonts w:eastAsia="Times New Roman" w:cs="Times New Roman"/>
                <w:color w:val="000000"/>
              </w:rPr>
            </w:pPr>
            <w:r>
              <w:rPr>
                <w:rFonts w:eastAsia="Times New Roman" w:cs="Times New Roman"/>
                <w:color w:val="000000"/>
              </w:rPr>
              <w:t>0.46</w:t>
            </w:r>
          </w:p>
        </w:tc>
        <w:tc>
          <w:tcPr>
            <w:tcW w:w="2005" w:type="dxa"/>
            <w:tcBorders>
              <w:top w:val="single" w:color="auto" w:sz="4" w:space="0"/>
              <w:left w:val="nil"/>
              <w:bottom w:val="nil"/>
              <w:right w:val="nil"/>
            </w:tcBorders>
            <w:noWrap/>
            <w:vAlign w:val="center"/>
          </w:tcPr>
          <w:p w14:paraId="63D36B1E">
            <w:pPr>
              <w:widowControl/>
              <w:spacing w:line="240" w:lineRule="auto"/>
              <w:ind w:firstLine="0" w:firstLineChars="0"/>
              <w:jc w:val="center"/>
              <w:rPr>
                <w:rFonts w:eastAsia="Times New Roman" w:cs="Times New Roman"/>
                <w:color w:val="000000"/>
              </w:rPr>
            </w:pPr>
            <w:r>
              <w:rPr>
                <w:rFonts w:eastAsia="Times New Roman" w:cs="Times New Roman"/>
                <w:color w:val="000000"/>
              </w:rPr>
              <w:t>0.10</w:t>
            </w:r>
          </w:p>
        </w:tc>
      </w:tr>
      <w:tr w14:paraId="1663B427">
        <w:tblPrEx>
          <w:tblCellMar>
            <w:top w:w="0" w:type="dxa"/>
            <w:left w:w="108" w:type="dxa"/>
            <w:bottom w:w="0" w:type="dxa"/>
            <w:right w:w="108" w:type="dxa"/>
          </w:tblCellMar>
        </w:tblPrEx>
        <w:trPr>
          <w:trHeight w:val="317" w:hRule="atLeast"/>
        </w:trPr>
        <w:tc>
          <w:tcPr>
            <w:tcW w:w="3891" w:type="dxa"/>
            <w:vMerge w:val="continue"/>
            <w:tcBorders>
              <w:top w:val="nil"/>
              <w:left w:val="nil"/>
              <w:bottom w:val="nil"/>
              <w:right w:val="nil"/>
            </w:tcBorders>
            <w:vAlign w:val="center"/>
          </w:tcPr>
          <w:p w14:paraId="53B72EF7">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nil"/>
              <w:right w:val="nil"/>
            </w:tcBorders>
            <w:vAlign w:val="center"/>
          </w:tcPr>
          <w:p w14:paraId="35918C61">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Q</w:t>
            </w:r>
            <w:r>
              <w:rPr>
                <w:rFonts w:eastAsia="Times New Roman" w:cs="Times New Roman"/>
                <w:b/>
                <w:bCs/>
                <w:i w:val="0"/>
                <w:iCs w:val="0"/>
                <w:color w:val="000000"/>
                <w:szCs w:val="24"/>
                <w:vertAlign w:val="subscript"/>
              </w:rPr>
              <w:t>e</w:t>
            </w:r>
            <w:r>
              <w:rPr>
                <w:rFonts w:eastAsia="Times New Roman" w:cs="Times New Roman"/>
                <w:b/>
                <w:bCs/>
                <w:color w:val="000000"/>
                <w:szCs w:val="24"/>
              </w:rPr>
              <w:t>,</w:t>
            </w:r>
            <w:r>
              <w:rPr>
                <w:rFonts w:eastAsia="Times New Roman" w:cs="Times New Roman"/>
                <w:b/>
                <w:bCs/>
                <w:color w:val="000000"/>
                <w:szCs w:val="24"/>
                <w:vertAlign w:val="subscript"/>
              </w:rPr>
              <w:t>cal</w:t>
            </w:r>
          </w:p>
        </w:tc>
        <w:tc>
          <w:tcPr>
            <w:tcW w:w="2005" w:type="dxa"/>
            <w:tcBorders>
              <w:top w:val="nil"/>
              <w:left w:val="nil"/>
              <w:bottom w:val="nil"/>
              <w:right w:val="nil"/>
            </w:tcBorders>
            <w:noWrap/>
            <w:vAlign w:val="center"/>
          </w:tcPr>
          <w:p w14:paraId="2BC32621">
            <w:pPr>
              <w:widowControl/>
              <w:spacing w:line="240" w:lineRule="auto"/>
              <w:ind w:firstLine="0" w:firstLineChars="0"/>
              <w:jc w:val="center"/>
              <w:rPr>
                <w:rFonts w:eastAsia="Times New Roman" w:cs="Times New Roman"/>
                <w:color w:val="000000"/>
              </w:rPr>
            </w:pPr>
            <w:r>
              <w:rPr>
                <w:rFonts w:eastAsia="Times New Roman" w:cs="Times New Roman"/>
                <w:color w:val="000000"/>
              </w:rPr>
              <w:t>203.17</w:t>
            </w:r>
          </w:p>
        </w:tc>
        <w:tc>
          <w:tcPr>
            <w:tcW w:w="2005" w:type="dxa"/>
            <w:tcBorders>
              <w:top w:val="nil"/>
              <w:left w:val="nil"/>
              <w:bottom w:val="nil"/>
              <w:right w:val="nil"/>
            </w:tcBorders>
            <w:noWrap/>
            <w:vAlign w:val="center"/>
          </w:tcPr>
          <w:p w14:paraId="789A7F00">
            <w:pPr>
              <w:widowControl/>
              <w:spacing w:line="240" w:lineRule="auto"/>
              <w:ind w:firstLine="0" w:firstLineChars="0"/>
              <w:jc w:val="center"/>
              <w:rPr>
                <w:rFonts w:eastAsia="Times New Roman" w:cs="Times New Roman"/>
                <w:color w:val="000000"/>
              </w:rPr>
            </w:pPr>
            <w:r>
              <w:rPr>
                <w:rFonts w:eastAsia="Times New Roman" w:cs="Times New Roman"/>
                <w:color w:val="000000"/>
              </w:rPr>
              <w:t>209.16</w:t>
            </w:r>
          </w:p>
        </w:tc>
        <w:tc>
          <w:tcPr>
            <w:tcW w:w="2005" w:type="dxa"/>
            <w:tcBorders>
              <w:top w:val="nil"/>
              <w:left w:val="nil"/>
              <w:bottom w:val="nil"/>
              <w:right w:val="nil"/>
            </w:tcBorders>
            <w:noWrap/>
            <w:vAlign w:val="center"/>
          </w:tcPr>
          <w:p w14:paraId="5A0719FC">
            <w:pPr>
              <w:widowControl/>
              <w:spacing w:line="240" w:lineRule="auto"/>
              <w:ind w:firstLine="0" w:firstLineChars="0"/>
              <w:jc w:val="center"/>
              <w:rPr>
                <w:rFonts w:eastAsia="Times New Roman" w:cs="Times New Roman"/>
                <w:color w:val="000000"/>
              </w:rPr>
            </w:pPr>
            <w:r>
              <w:rPr>
                <w:rFonts w:eastAsia="Times New Roman" w:cs="Times New Roman"/>
                <w:color w:val="000000"/>
              </w:rPr>
              <w:t>27.10</w:t>
            </w:r>
          </w:p>
        </w:tc>
        <w:tc>
          <w:tcPr>
            <w:tcW w:w="2005" w:type="dxa"/>
            <w:tcBorders>
              <w:top w:val="nil"/>
              <w:left w:val="nil"/>
              <w:bottom w:val="nil"/>
              <w:right w:val="nil"/>
            </w:tcBorders>
            <w:noWrap/>
            <w:vAlign w:val="center"/>
          </w:tcPr>
          <w:p w14:paraId="5D7CC378">
            <w:pPr>
              <w:widowControl/>
              <w:spacing w:line="240" w:lineRule="auto"/>
              <w:ind w:firstLine="0" w:firstLineChars="0"/>
              <w:jc w:val="center"/>
              <w:rPr>
                <w:rFonts w:eastAsia="Times New Roman" w:cs="Times New Roman"/>
                <w:color w:val="000000"/>
              </w:rPr>
            </w:pPr>
            <w:r>
              <w:rPr>
                <w:rFonts w:eastAsia="Times New Roman" w:cs="Times New Roman"/>
                <w:color w:val="000000"/>
              </w:rPr>
              <w:t>42.03</w:t>
            </w:r>
          </w:p>
        </w:tc>
      </w:tr>
      <w:tr w14:paraId="24222698">
        <w:tblPrEx>
          <w:tblCellMar>
            <w:top w:w="0" w:type="dxa"/>
            <w:left w:w="108" w:type="dxa"/>
            <w:bottom w:w="0" w:type="dxa"/>
            <w:right w:w="108" w:type="dxa"/>
          </w:tblCellMar>
        </w:tblPrEx>
        <w:trPr>
          <w:trHeight w:val="328" w:hRule="atLeast"/>
        </w:trPr>
        <w:tc>
          <w:tcPr>
            <w:tcW w:w="3891" w:type="dxa"/>
            <w:vMerge w:val="continue"/>
            <w:tcBorders>
              <w:top w:val="nil"/>
              <w:left w:val="nil"/>
              <w:bottom w:val="single" w:color="000000" w:sz="4" w:space="0"/>
              <w:right w:val="nil"/>
            </w:tcBorders>
            <w:vAlign w:val="center"/>
          </w:tcPr>
          <w:p w14:paraId="0A0302AE">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single" w:color="000000" w:sz="4" w:space="0"/>
              <w:right w:val="nil"/>
            </w:tcBorders>
            <w:vAlign w:val="center"/>
          </w:tcPr>
          <w:p w14:paraId="308A7DC4">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i w:val="0"/>
                <w:iCs w:val="0"/>
                <w:color w:val="000000"/>
                <w:szCs w:val="24"/>
                <w:vertAlign w:val="subscript"/>
              </w:rPr>
              <w:t>adj</w:t>
            </w:r>
            <w:r>
              <w:rPr>
                <w:rFonts w:eastAsia="Times New Roman" w:cs="Times New Roman"/>
                <w:b/>
                <w:bCs/>
                <w:i w:val="0"/>
                <w:iCs w:val="0"/>
                <w:color w:val="000000"/>
                <w:szCs w:val="24"/>
                <w:vertAlign w:val="superscript"/>
              </w:rPr>
              <w:t>2</w:t>
            </w:r>
          </w:p>
        </w:tc>
        <w:tc>
          <w:tcPr>
            <w:tcW w:w="2005" w:type="dxa"/>
            <w:tcBorders>
              <w:top w:val="nil"/>
              <w:left w:val="nil"/>
              <w:bottom w:val="single" w:color="000000" w:sz="4" w:space="0"/>
              <w:right w:val="nil"/>
            </w:tcBorders>
            <w:noWrap/>
            <w:vAlign w:val="center"/>
          </w:tcPr>
          <w:p w14:paraId="4C0796A7">
            <w:pPr>
              <w:widowControl/>
              <w:spacing w:line="240" w:lineRule="auto"/>
              <w:ind w:firstLine="0" w:firstLineChars="0"/>
              <w:jc w:val="center"/>
              <w:rPr>
                <w:rFonts w:eastAsia="Times New Roman" w:cs="Times New Roman"/>
                <w:color w:val="000000"/>
              </w:rPr>
            </w:pPr>
            <w:r>
              <w:rPr>
                <w:rFonts w:eastAsia="Times New Roman" w:cs="Times New Roman"/>
                <w:color w:val="000000"/>
              </w:rPr>
              <w:t>0.9173</w:t>
            </w:r>
          </w:p>
        </w:tc>
        <w:tc>
          <w:tcPr>
            <w:tcW w:w="2005" w:type="dxa"/>
            <w:tcBorders>
              <w:top w:val="nil"/>
              <w:left w:val="nil"/>
              <w:bottom w:val="single" w:color="000000" w:sz="4" w:space="0"/>
              <w:right w:val="nil"/>
            </w:tcBorders>
            <w:noWrap/>
            <w:vAlign w:val="center"/>
          </w:tcPr>
          <w:p w14:paraId="5A2B6553">
            <w:pPr>
              <w:widowControl/>
              <w:spacing w:line="240" w:lineRule="auto"/>
              <w:ind w:firstLine="0" w:firstLineChars="0"/>
              <w:jc w:val="center"/>
              <w:rPr>
                <w:rFonts w:eastAsia="Times New Roman" w:cs="Times New Roman"/>
                <w:color w:val="000000"/>
              </w:rPr>
            </w:pPr>
            <w:r>
              <w:rPr>
                <w:rFonts w:eastAsia="Times New Roman" w:cs="Times New Roman"/>
                <w:color w:val="000000"/>
              </w:rPr>
              <w:t>0.7099</w:t>
            </w:r>
          </w:p>
        </w:tc>
        <w:tc>
          <w:tcPr>
            <w:tcW w:w="2005" w:type="dxa"/>
            <w:tcBorders>
              <w:top w:val="nil"/>
              <w:left w:val="nil"/>
              <w:bottom w:val="single" w:color="000000" w:sz="4" w:space="0"/>
              <w:right w:val="nil"/>
            </w:tcBorders>
            <w:noWrap/>
            <w:vAlign w:val="center"/>
          </w:tcPr>
          <w:p w14:paraId="4DDB0721">
            <w:pPr>
              <w:widowControl/>
              <w:spacing w:line="240" w:lineRule="auto"/>
              <w:ind w:firstLine="0" w:firstLineChars="0"/>
              <w:jc w:val="center"/>
              <w:rPr>
                <w:rFonts w:eastAsia="Times New Roman" w:cs="Times New Roman"/>
                <w:color w:val="000000"/>
              </w:rPr>
            </w:pPr>
            <w:r>
              <w:rPr>
                <w:rFonts w:eastAsia="Times New Roman" w:cs="Times New Roman"/>
                <w:color w:val="000000"/>
              </w:rPr>
              <w:t>0.8980</w:t>
            </w:r>
          </w:p>
        </w:tc>
        <w:tc>
          <w:tcPr>
            <w:tcW w:w="2005" w:type="dxa"/>
            <w:tcBorders>
              <w:top w:val="nil"/>
              <w:left w:val="nil"/>
              <w:bottom w:val="single" w:color="000000" w:sz="4" w:space="0"/>
              <w:right w:val="nil"/>
            </w:tcBorders>
            <w:noWrap/>
            <w:vAlign w:val="center"/>
          </w:tcPr>
          <w:p w14:paraId="66AD5EFE">
            <w:pPr>
              <w:widowControl/>
              <w:spacing w:line="240" w:lineRule="auto"/>
              <w:ind w:firstLine="0" w:firstLineChars="0"/>
              <w:jc w:val="center"/>
              <w:rPr>
                <w:rFonts w:eastAsia="Times New Roman" w:cs="Times New Roman"/>
                <w:color w:val="000000"/>
              </w:rPr>
            </w:pPr>
            <w:r>
              <w:rPr>
                <w:rFonts w:eastAsia="Times New Roman" w:cs="Times New Roman"/>
                <w:color w:val="000000"/>
              </w:rPr>
              <w:t>0.9334</w:t>
            </w:r>
          </w:p>
        </w:tc>
      </w:tr>
      <w:tr w14:paraId="7D9317CA">
        <w:tblPrEx>
          <w:tblCellMar>
            <w:top w:w="0" w:type="dxa"/>
            <w:left w:w="108" w:type="dxa"/>
            <w:bottom w:w="0" w:type="dxa"/>
            <w:right w:w="108" w:type="dxa"/>
          </w:tblCellMar>
        </w:tblPrEx>
        <w:trPr>
          <w:trHeight w:val="317" w:hRule="atLeast"/>
        </w:trPr>
        <w:tc>
          <w:tcPr>
            <w:tcW w:w="3891" w:type="dxa"/>
            <w:vMerge w:val="restart"/>
            <w:tcBorders>
              <w:top w:val="nil"/>
              <w:left w:val="nil"/>
              <w:bottom w:val="nil"/>
              <w:right w:val="nil"/>
            </w:tcBorders>
            <w:vAlign w:val="center"/>
          </w:tcPr>
          <w:p w14:paraId="4D2F5369">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Pseudo-second order</w:t>
            </w:r>
          </w:p>
        </w:tc>
        <w:tc>
          <w:tcPr>
            <w:tcW w:w="1767" w:type="dxa"/>
            <w:tcBorders>
              <w:top w:val="nil"/>
              <w:left w:val="nil"/>
              <w:bottom w:val="nil"/>
              <w:right w:val="nil"/>
            </w:tcBorders>
            <w:vAlign w:val="center"/>
          </w:tcPr>
          <w:p w14:paraId="2B9FB3D8">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k</w:t>
            </w:r>
            <w:r>
              <w:rPr>
                <w:rFonts w:eastAsia="Times New Roman" w:cs="Times New Roman"/>
                <w:b/>
                <w:bCs/>
                <w:color w:val="000000"/>
                <w:szCs w:val="24"/>
                <w:vertAlign w:val="subscript"/>
              </w:rPr>
              <w:t>2</w:t>
            </w:r>
            <w:r>
              <w:rPr>
                <w:rFonts w:eastAsia="Times New Roman" w:cs="Times New Roman"/>
                <w:b/>
                <w:bCs/>
                <w:color w:val="000000"/>
                <w:szCs w:val="24"/>
                <w:vertAlign w:val="superscript"/>
              </w:rPr>
              <w:t>e</w:t>
            </w:r>
          </w:p>
        </w:tc>
        <w:tc>
          <w:tcPr>
            <w:tcW w:w="2005" w:type="dxa"/>
            <w:tcBorders>
              <w:top w:val="nil"/>
              <w:left w:val="nil"/>
              <w:bottom w:val="nil"/>
              <w:right w:val="nil"/>
            </w:tcBorders>
            <w:noWrap/>
            <w:vAlign w:val="center"/>
          </w:tcPr>
          <w:p w14:paraId="28C33100">
            <w:pPr>
              <w:widowControl/>
              <w:spacing w:line="240" w:lineRule="auto"/>
              <w:ind w:firstLine="0" w:firstLineChars="0"/>
              <w:jc w:val="center"/>
              <w:rPr>
                <w:rFonts w:eastAsia="Times New Roman" w:cs="Times New Roman"/>
                <w:color w:val="000000"/>
              </w:rPr>
            </w:pPr>
            <w:r>
              <w:rPr>
                <w:rFonts w:eastAsia="Times New Roman" w:cs="Times New Roman"/>
                <w:color w:val="000000"/>
              </w:rPr>
              <w:t>0.00</w:t>
            </w:r>
          </w:p>
        </w:tc>
        <w:tc>
          <w:tcPr>
            <w:tcW w:w="2005" w:type="dxa"/>
            <w:tcBorders>
              <w:top w:val="nil"/>
              <w:left w:val="nil"/>
              <w:bottom w:val="nil"/>
              <w:right w:val="nil"/>
            </w:tcBorders>
            <w:noWrap/>
            <w:vAlign w:val="center"/>
          </w:tcPr>
          <w:p w14:paraId="633B8412">
            <w:pPr>
              <w:widowControl/>
              <w:spacing w:line="240" w:lineRule="auto"/>
              <w:ind w:firstLine="0" w:firstLineChars="0"/>
              <w:jc w:val="center"/>
              <w:rPr>
                <w:rFonts w:eastAsia="Times New Roman" w:cs="Times New Roman"/>
                <w:color w:val="000000"/>
              </w:rPr>
            </w:pPr>
            <w:r>
              <w:rPr>
                <w:rFonts w:eastAsia="Times New Roman" w:cs="Times New Roman"/>
                <w:color w:val="000000"/>
              </w:rPr>
              <w:t>0.00</w:t>
            </w:r>
          </w:p>
        </w:tc>
        <w:tc>
          <w:tcPr>
            <w:tcW w:w="2005" w:type="dxa"/>
            <w:tcBorders>
              <w:top w:val="nil"/>
              <w:left w:val="nil"/>
              <w:bottom w:val="nil"/>
              <w:right w:val="nil"/>
            </w:tcBorders>
            <w:noWrap/>
            <w:vAlign w:val="center"/>
          </w:tcPr>
          <w:p w14:paraId="7D4693C8">
            <w:pPr>
              <w:widowControl/>
              <w:spacing w:line="240" w:lineRule="auto"/>
              <w:ind w:firstLine="0" w:firstLineChars="0"/>
              <w:jc w:val="center"/>
              <w:rPr>
                <w:rFonts w:eastAsia="Times New Roman" w:cs="Times New Roman"/>
                <w:color w:val="000000"/>
              </w:rPr>
            </w:pPr>
            <w:r>
              <w:rPr>
                <w:rFonts w:eastAsia="Times New Roman" w:cs="Times New Roman"/>
                <w:color w:val="000000"/>
              </w:rPr>
              <w:t>0.02</w:t>
            </w:r>
          </w:p>
        </w:tc>
        <w:tc>
          <w:tcPr>
            <w:tcW w:w="2005" w:type="dxa"/>
            <w:tcBorders>
              <w:top w:val="nil"/>
              <w:left w:val="nil"/>
              <w:bottom w:val="nil"/>
              <w:right w:val="nil"/>
            </w:tcBorders>
            <w:noWrap/>
            <w:vAlign w:val="center"/>
          </w:tcPr>
          <w:p w14:paraId="17A0596B">
            <w:pPr>
              <w:widowControl/>
              <w:spacing w:line="240" w:lineRule="auto"/>
              <w:ind w:firstLine="0" w:firstLineChars="0"/>
              <w:jc w:val="center"/>
              <w:rPr>
                <w:rFonts w:eastAsia="Times New Roman" w:cs="Times New Roman"/>
                <w:color w:val="000000"/>
              </w:rPr>
            </w:pPr>
            <w:r>
              <w:rPr>
                <w:rFonts w:eastAsia="Times New Roman" w:cs="Times New Roman"/>
                <w:color w:val="000000"/>
              </w:rPr>
              <w:t>0.00</w:t>
            </w:r>
          </w:p>
        </w:tc>
      </w:tr>
      <w:tr w14:paraId="2E1F2818">
        <w:tblPrEx>
          <w:tblCellMar>
            <w:top w:w="0" w:type="dxa"/>
            <w:left w:w="108" w:type="dxa"/>
            <w:bottom w:w="0" w:type="dxa"/>
            <w:right w:w="108" w:type="dxa"/>
          </w:tblCellMar>
        </w:tblPrEx>
        <w:trPr>
          <w:trHeight w:val="317" w:hRule="atLeast"/>
        </w:trPr>
        <w:tc>
          <w:tcPr>
            <w:tcW w:w="3891" w:type="dxa"/>
            <w:vMerge w:val="continue"/>
            <w:tcBorders>
              <w:top w:val="nil"/>
              <w:left w:val="nil"/>
              <w:bottom w:val="nil"/>
              <w:right w:val="nil"/>
            </w:tcBorders>
            <w:vAlign w:val="center"/>
          </w:tcPr>
          <w:p w14:paraId="0F0489E3">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nil"/>
              <w:right w:val="nil"/>
            </w:tcBorders>
            <w:vAlign w:val="center"/>
          </w:tcPr>
          <w:p w14:paraId="3C2A735A">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Q</w:t>
            </w:r>
            <w:r>
              <w:rPr>
                <w:rFonts w:eastAsia="Times New Roman" w:cs="Times New Roman"/>
                <w:b/>
                <w:bCs/>
                <w:i w:val="0"/>
                <w:iCs w:val="0"/>
                <w:color w:val="000000"/>
                <w:szCs w:val="24"/>
                <w:vertAlign w:val="subscript"/>
              </w:rPr>
              <w:t>e</w:t>
            </w:r>
            <w:r>
              <w:rPr>
                <w:rFonts w:eastAsia="Times New Roman" w:cs="Times New Roman"/>
                <w:b/>
                <w:bCs/>
                <w:color w:val="000000"/>
                <w:szCs w:val="24"/>
              </w:rPr>
              <w:t>,</w:t>
            </w:r>
            <w:r>
              <w:rPr>
                <w:rFonts w:eastAsia="Times New Roman" w:cs="Times New Roman"/>
                <w:b/>
                <w:bCs/>
                <w:color w:val="000000"/>
                <w:szCs w:val="24"/>
                <w:vertAlign w:val="subscript"/>
              </w:rPr>
              <w:t>cal</w:t>
            </w:r>
          </w:p>
        </w:tc>
        <w:tc>
          <w:tcPr>
            <w:tcW w:w="2005" w:type="dxa"/>
            <w:tcBorders>
              <w:top w:val="nil"/>
              <w:left w:val="nil"/>
              <w:bottom w:val="nil"/>
              <w:right w:val="nil"/>
            </w:tcBorders>
            <w:noWrap/>
            <w:vAlign w:val="center"/>
          </w:tcPr>
          <w:p w14:paraId="43980BC7">
            <w:pPr>
              <w:widowControl/>
              <w:spacing w:line="240" w:lineRule="auto"/>
              <w:ind w:firstLine="0" w:firstLineChars="0"/>
              <w:jc w:val="center"/>
              <w:rPr>
                <w:rFonts w:eastAsia="Times New Roman" w:cs="Times New Roman"/>
                <w:color w:val="000000"/>
              </w:rPr>
            </w:pPr>
            <w:r>
              <w:rPr>
                <w:rFonts w:eastAsia="Times New Roman" w:cs="Times New Roman"/>
                <w:color w:val="000000"/>
              </w:rPr>
              <w:t>222.18</w:t>
            </w:r>
          </w:p>
        </w:tc>
        <w:tc>
          <w:tcPr>
            <w:tcW w:w="2005" w:type="dxa"/>
            <w:tcBorders>
              <w:top w:val="nil"/>
              <w:left w:val="nil"/>
              <w:bottom w:val="nil"/>
              <w:right w:val="nil"/>
            </w:tcBorders>
            <w:noWrap/>
            <w:vAlign w:val="center"/>
          </w:tcPr>
          <w:p w14:paraId="3B08A118">
            <w:pPr>
              <w:widowControl/>
              <w:spacing w:line="240" w:lineRule="auto"/>
              <w:ind w:firstLine="0" w:firstLineChars="0"/>
              <w:jc w:val="center"/>
              <w:rPr>
                <w:rFonts w:eastAsia="Times New Roman" w:cs="Times New Roman"/>
                <w:color w:val="000000"/>
              </w:rPr>
            </w:pPr>
            <w:r>
              <w:rPr>
                <w:rFonts w:eastAsia="Times New Roman" w:cs="Times New Roman"/>
                <w:color w:val="000000"/>
              </w:rPr>
              <w:t>228.64</w:t>
            </w:r>
          </w:p>
        </w:tc>
        <w:tc>
          <w:tcPr>
            <w:tcW w:w="2005" w:type="dxa"/>
            <w:tcBorders>
              <w:top w:val="nil"/>
              <w:left w:val="nil"/>
              <w:bottom w:val="nil"/>
              <w:right w:val="nil"/>
            </w:tcBorders>
            <w:noWrap/>
            <w:vAlign w:val="center"/>
          </w:tcPr>
          <w:p w14:paraId="5518DA5A">
            <w:pPr>
              <w:widowControl/>
              <w:spacing w:line="240" w:lineRule="auto"/>
              <w:ind w:firstLine="0" w:firstLineChars="0"/>
              <w:jc w:val="center"/>
              <w:rPr>
                <w:rFonts w:eastAsia="Times New Roman" w:cs="Times New Roman"/>
                <w:color w:val="000000"/>
              </w:rPr>
            </w:pPr>
            <w:r>
              <w:rPr>
                <w:rFonts w:eastAsia="Times New Roman" w:cs="Times New Roman"/>
                <w:color w:val="000000"/>
              </w:rPr>
              <w:t>29.81</w:t>
            </w:r>
          </w:p>
        </w:tc>
        <w:tc>
          <w:tcPr>
            <w:tcW w:w="2005" w:type="dxa"/>
            <w:tcBorders>
              <w:top w:val="nil"/>
              <w:left w:val="nil"/>
              <w:bottom w:val="nil"/>
              <w:right w:val="nil"/>
            </w:tcBorders>
            <w:noWrap/>
            <w:vAlign w:val="center"/>
          </w:tcPr>
          <w:p w14:paraId="357D9739">
            <w:pPr>
              <w:widowControl/>
              <w:spacing w:line="240" w:lineRule="auto"/>
              <w:ind w:firstLine="0" w:firstLineChars="0"/>
              <w:jc w:val="center"/>
              <w:rPr>
                <w:rFonts w:eastAsia="Times New Roman" w:cs="Times New Roman"/>
                <w:color w:val="000000"/>
              </w:rPr>
            </w:pPr>
            <w:r>
              <w:rPr>
                <w:rFonts w:eastAsia="Times New Roman" w:cs="Times New Roman"/>
                <w:color w:val="000000"/>
              </w:rPr>
              <w:t>45.60</w:t>
            </w:r>
          </w:p>
        </w:tc>
      </w:tr>
      <w:tr w14:paraId="363E7B2A">
        <w:tblPrEx>
          <w:tblCellMar>
            <w:top w:w="0" w:type="dxa"/>
            <w:left w:w="108" w:type="dxa"/>
            <w:bottom w:w="0" w:type="dxa"/>
            <w:right w:w="108" w:type="dxa"/>
          </w:tblCellMar>
        </w:tblPrEx>
        <w:trPr>
          <w:trHeight w:val="328" w:hRule="atLeast"/>
        </w:trPr>
        <w:tc>
          <w:tcPr>
            <w:tcW w:w="3891" w:type="dxa"/>
            <w:vMerge w:val="continue"/>
            <w:tcBorders>
              <w:top w:val="nil"/>
              <w:left w:val="nil"/>
              <w:bottom w:val="single" w:color="000000" w:sz="4" w:space="0"/>
              <w:right w:val="nil"/>
            </w:tcBorders>
            <w:vAlign w:val="center"/>
          </w:tcPr>
          <w:p w14:paraId="7C51F802">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single" w:color="000000" w:sz="4" w:space="0"/>
              <w:right w:val="nil"/>
            </w:tcBorders>
            <w:vAlign w:val="center"/>
          </w:tcPr>
          <w:p w14:paraId="6FA45604">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i w:val="0"/>
                <w:iCs w:val="0"/>
                <w:color w:val="000000"/>
                <w:szCs w:val="24"/>
                <w:vertAlign w:val="subscript"/>
              </w:rPr>
              <w:t>adj</w:t>
            </w:r>
            <w:r>
              <w:rPr>
                <w:rFonts w:eastAsia="Times New Roman" w:cs="Times New Roman"/>
                <w:b/>
                <w:bCs/>
                <w:i w:val="0"/>
                <w:iCs w:val="0"/>
                <w:color w:val="000000"/>
                <w:szCs w:val="24"/>
                <w:vertAlign w:val="superscript"/>
              </w:rPr>
              <w:t>2</w:t>
            </w:r>
          </w:p>
        </w:tc>
        <w:tc>
          <w:tcPr>
            <w:tcW w:w="2005" w:type="dxa"/>
            <w:tcBorders>
              <w:top w:val="nil"/>
              <w:left w:val="nil"/>
              <w:bottom w:val="single" w:color="000000" w:sz="4" w:space="0"/>
              <w:right w:val="nil"/>
            </w:tcBorders>
            <w:noWrap/>
            <w:vAlign w:val="center"/>
          </w:tcPr>
          <w:p w14:paraId="0E84C9DF">
            <w:pPr>
              <w:widowControl/>
              <w:spacing w:line="240" w:lineRule="auto"/>
              <w:ind w:firstLine="0" w:firstLineChars="0"/>
              <w:jc w:val="center"/>
              <w:rPr>
                <w:rFonts w:eastAsia="Times New Roman" w:cs="Times New Roman"/>
                <w:color w:val="000000"/>
              </w:rPr>
            </w:pPr>
            <w:r>
              <w:rPr>
                <w:rFonts w:eastAsia="Times New Roman" w:cs="Times New Roman"/>
                <w:color w:val="000000"/>
              </w:rPr>
              <w:t>0.9615</w:t>
            </w:r>
          </w:p>
        </w:tc>
        <w:tc>
          <w:tcPr>
            <w:tcW w:w="2005" w:type="dxa"/>
            <w:tcBorders>
              <w:top w:val="nil"/>
              <w:left w:val="nil"/>
              <w:bottom w:val="single" w:color="000000" w:sz="4" w:space="0"/>
              <w:right w:val="nil"/>
            </w:tcBorders>
            <w:noWrap/>
            <w:vAlign w:val="center"/>
          </w:tcPr>
          <w:p w14:paraId="17413194">
            <w:pPr>
              <w:widowControl/>
              <w:spacing w:line="240" w:lineRule="auto"/>
              <w:ind w:firstLine="0" w:firstLineChars="0"/>
              <w:jc w:val="center"/>
              <w:rPr>
                <w:rFonts w:eastAsia="Times New Roman" w:cs="Times New Roman"/>
                <w:color w:val="000000"/>
              </w:rPr>
            </w:pPr>
            <w:r>
              <w:rPr>
                <w:rFonts w:eastAsia="Times New Roman" w:cs="Times New Roman"/>
                <w:color w:val="000000"/>
              </w:rPr>
              <w:t>0.8984</w:t>
            </w:r>
          </w:p>
        </w:tc>
        <w:tc>
          <w:tcPr>
            <w:tcW w:w="2005" w:type="dxa"/>
            <w:tcBorders>
              <w:top w:val="nil"/>
              <w:left w:val="nil"/>
              <w:bottom w:val="single" w:color="000000" w:sz="4" w:space="0"/>
              <w:right w:val="nil"/>
            </w:tcBorders>
            <w:noWrap/>
            <w:vAlign w:val="center"/>
          </w:tcPr>
          <w:p w14:paraId="3B17ABC5">
            <w:pPr>
              <w:widowControl/>
              <w:spacing w:line="240" w:lineRule="auto"/>
              <w:ind w:firstLine="0" w:firstLineChars="0"/>
              <w:jc w:val="center"/>
              <w:rPr>
                <w:rFonts w:eastAsia="Times New Roman" w:cs="Times New Roman"/>
                <w:color w:val="000000"/>
              </w:rPr>
            </w:pPr>
            <w:r>
              <w:rPr>
                <w:rFonts w:eastAsia="Times New Roman" w:cs="Times New Roman"/>
                <w:color w:val="000000"/>
              </w:rPr>
              <w:t>0.9384</w:t>
            </w:r>
          </w:p>
        </w:tc>
        <w:tc>
          <w:tcPr>
            <w:tcW w:w="2005" w:type="dxa"/>
            <w:tcBorders>
              <w:top w:val="nil"/>
              <w:left w:val="nil"/>
              <w:bottom w:val="single" w:color="000000" w:sz="4" w:space="0"/>
              <w:right w:val="nil"/>
            </w:tcBorders>
            <w:noWrap/>
            <w:vAlign w:val="center"/>
          </w:tcPr>
          <w:p w14:paraId="16257677">
            <w:pPr>
              <w:widowControl/>
              <w:spacing w:line="240" w:lineRule="auto"/>
              <w:ind w:firstLine="0" w:firstLineChars="0"/>
              <w:jc w:val="center"/>
              <w:rPr>
                <w:rFonts w:eastAsia="Times New Roman" w:cs="Times New Roman"/>
                <w:color w:val="000000"/>
              </w:rPr>
            </w:pPr>
            <w:r>
              <w:rPr>
                <w:rFonts w:eastAsia="Times New Roman" w:cs="Times New Roman"/>
                <w:color w:val="000000"/>
              </w:rPr>
              <w:t>0.9751</w:t>
            </w:r>
          </w:p>
        </w:tc>
      </w:tr>
      <w:tr w14:paraId="71F7DD42">
        <w:tblPrEx>
          <w:tblCellMar>
            <w:top w:w="0" w:type="dxa"/>
            <w:left w:w="108" w:type="dxa"/>
            <w:bottom w:w="0" w:type="dxa"/>
            <w:right w:w="108" w:type="dxa"/>
          </w:tblCellMar>
        </w:tblPrEx>
        <w:trPr>
          <w:trHeight w:val="317" w:hRule="atLeast"/>
        </w:trPr>
        <w:tc>
          <w:tcPr>
            <w:tcW w:w="3891" w:type="dxa"/>
            <w:vMerge w:val="restart"/>
            <w:tcBorders>
              <w:top w:val="nil"/>
              <w:left w:val="nil"/>
              <w:bottom w:val="nil"/>
              <w:right w:val="nil"/>
            </w:tcBorders>
            <w:vAlign w:val="center"/>
          </w:tcPr>
          <w:p w14:paraId="1607BC1F">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Elovich model</w:t>
            </w:r>
          </w:p>
        </w:tc>
        <w:tc>
          <w:tcPr>
            <w:tcW w:w="1767" w:type="dxa"/>
            <w:tcBorders>
              <w:top w:val="nil"/>
              <w:left w:val="nil"/>
              <w:bottom w:val="nil"/>
              <w:right w:val="nil"/>
            </w:tcBorders>
            <w:vAlign w:val="center"/>
          </w:tcPr>
          <w:p w14:paraId="41C8BE23">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α</w:t>
            </w:r>
          </w:p>
        </w:tc>
        <w:tc>
          <w:tcPr>
            <w:tcW w:w="2005" w:type="dxa"/>
            <w:tcBorders>
              <w:top w:val="nil"/>
              <w:left w:val="nil"/>
              <w:bottom w:val="nil"/>
              <w:right w:val="nil"/>
            </w:tcBorders>
            <w:noWrap/>
            <w:vAlign w:val="center"/>
          </w:tcPr>
          <w:p w14:paraId="4D332C7D">
            <w:pPr>
              <w:widowControl/>
              <w:spacing w:line="240" w:lineRule="auto"/>
              <w:ind w:firstLine="0" w:firstLineChars="0"/>
              <w:jc w:val="center"/>
              <w:rPr>
                <w:rFonts w:eastAsia="Times New Roman" w:cs="Times New Roman"/>
                <w:color w:val="000000"/>
              </w:rPr>
            </w:pPr>
            <w:r>
              <w:rPr>
                <w:rFonts w:eastAsia="Times New Roman" w:cs="Times New Roman"/>
                <w:color w:val="000000"/>
              </w:rPr>
              <w:t>151.97</w:t>
            </w:r>
          </w:p>
        </w:tc>
        <w:tc>
          <w:tcPr>
            <w:tcW w:w="2005" w:type="dxa"/>
            <w:tcBorders>
              <w:top w:val="nil"/>
              <w:left w:val="nil"/>
              <w:bottom w:val="nil"/>
              <w:right w:val="nil"/>
            </w:tcBorders>
            <w:noWrap/>
            <w:vAlign w:val="center"/>
          </w:tcPr>
          <w:p w14:paraId="3F3EA734">
            <w:pPr>
              <w:widowControl/>
              <w:spacing w:line="240" w:lineRule="auto"/>
              <w:ind w:firstLine="0" w:firstLineChars="0"/>
              <w:jc w:val="center"/>
              <w:rPr>
                <w:rFonts w:eastAsia="Times New Roman" w:cs="Times New Roman"/>
                <w:color w:val="000000"/>
              </w:rPr>
            </w:pPr>
            <w:r>
              <w:rPr>
                <w:rFonts w:eastAsia="Times New Roman" w:cs="Times New Roman"/>
                <w:color w:val="000000"/>
              </w:rPr>
              <w:t>707.11</w:t>
            </w:r>
          </w:p>
        </w:tc>
        <w:tc>
          <w:tcPr>
            <w:tcW w:w="2005" w:type="dxa"/>
            <w:tcBorders>
              <w:top w:val="nil"/>
              <w:left w:val="nil"/>
              <w:bottom w:val="nil"/>
              <w:right w:val="nil"/>
            </w:tcBorders>
            <w:noWrap/>
            <w:vAlign w:val="center"/>
          </w:tcPr>
          <w:p w14:paraId="61A15007">
            <w:pPr>
              <w:widowControl/>
              <w:spacing w:line="240" w:lineRule="auto"/>
              <w:ind w:firstLine="0" w:firstLineChars="0"/>
              <w:jc w:val="center"/>
              <w:rPr>
                <w:rFonts w:eastAsia="Times New Roman" w:cs="Times New Roman"/>
                <w:color w:val="000000"/>
              </w:rPr>
            </w:pPr>
            <w:r>
              <w:rPr>
                <w:rFonts w:eastAsia="Times New Roman" w:cs="Times New Roman"/>
                <w:color w:val="000000"/>
              </w:rPr>
              <w:t>18.99</w:t>
            </w:r>
          </w:p>
        </w:tc>
        <w:tc>
          <w:tcPr>
            <w:tcW w:w="2005" w:type="dxa"/>
            <w:tcBorders>
              <w:top w:val="nil"/>
              <w:left w:val="nil"/>
              <w:bottom w:val="nil"/>
              <w:right w:val="nil"/>
            </w:tcBorders>
            <w:noWrap/>
            <w:vAlign w:val="center"/>
          </w:tcPr>
          <w:p w14:paraId="04880A18">
            <w:pPr>
              <w:widowControl/>
              <w:spacing w:line="240" w:lineRule="auto"/>
              <w:ind w:firstLine="0" w:firstLineChars="0"/>
              <w:jc w:val="center"/>
              <w:rPr>
                <w:rFonts w:eastAsia="Times New Roman" w:cs="Times New Roman"/>
                <w:color w:val="000000"/>
              </w:rPr>
            </w:pPr>
            <w:r>
              <w:rPr>
                <w:rFonts w:eastAsia="Times New Roman" w:cs="Times New Roman"/>
                <w:color w:val="000000"/>
              </w:rPr>
              <w:t>23.87</w:t>
            </w:r>
          </w:p>
        </w:tc>
      </w:tr>
      <w:tr w14:paraId="0CF17CE4">
        <w:tblPrEx>
          <w:tblCellMar>
            <w:top w:w="0" w:type="dxa"/>
            <w:left w:w="108" w:type="dxa"/>
            <w:bottom w:w="0" w:type="dxa"/>
            <w:right w:w="108" w:type="dxa"/>
          </w:tblCellMar>
        </w:tblPrEx>
        <w:trPr>
          <w:trHeight w:val="317" w:hRule="atLeast"/>
        </w:trPr>
        <w:tc>
          <w:tcPr>
            <w:tcW w:w="3891" w:type="dxa"/>
            <w:vMerge w:val="continue"/>
            <w:tcBorders>
              <w:top w:val="nil"/>
              <w:left w:val="nil"/>
              <w:bottom w:val="nil"/>
              <w:right w:val="nil"/>
            </w:tcBorders>
            <w:vAlign w:val="center"/>
          </w:tcPr>
          <w:p w14:paraId="4CF02310">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nil"/>
              <w:right w:val="nil"/>
            </w:tcBorders>
            <w:vAlign w:val="center"/>
          </w:tcPr>
          <w:p w14:paraId="337E00D8">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β</w:t>
            </w:r>
          </w:p>
        </w:tc>
        <w:tc>
          <w:tcPr>
            <w:tcW w:w="2005" w:type="dxa"/>
            <w:tcBorders>
              <w:top w:val="nil"/>
              <w:left w:val="nil"/>
              <w:bottom w:val="nil"/>
              <w:right w:val="nil"/>
            </w:tcBorders>
            <w:noWrap/>
            <w:vAlign w:val="center"/>
          </w:tcPr>
          <w:p w14:paraId="03F324C1">
            <w:pPr>
              <w:widowControl/>
              <w:spacing w:line="240" w:lineRule="auto"/>
              <w:ind w:firstLine="0" w:firstLineChars="0"/>
              <w:jc w:val="center"/>
              <w:rPr>
                <w:rFonts w:eastAsia="Times New Roman" w:cs="Times New Roman"/>
                <w:color w:val="000000"/>
              </w:rPr>
            </w:pPr>
            <w:r>
              <w:rPr>
                <w:rFonts w:eastAsia="Times New Roman" w:cs="Times New Roman"/>
                <w:color w:val="000000"/>
              </w:rPr>
              <w:t>0.02</w:t>
            </w:r>
          </w:p>
        </w:tc>
        <w:tc>
          <w:tcPr>
            <w:tcW w:w="2005" w:type="dxa"/>
            <w:tcBorders>
              <w:top w:val="nil"/>
              <w:left w:val="nil"/>
              <w:bottom w:val="nil"/>
              <w:right w:val="nil"/>
            </w:tcBorders>
            <w:noWrap/>
            <w:vAlign w:val="center"/>
          </w:tcPr>
          <w:p w14:paraId="21D5C221">
            <w:pPr>
              <w:widowControl/>
              <w:spacing w:line="240" w:lineRule="auto"/>
              <w:ind w:firstLine="0" w:firstLineChars="0"/>
              <w:jc w:val="center"/>
              <w:rPr>
                <w:rFonts w:eastAsia="Times New Roman" w:cs="Times New Roman"/>
                <w:color w:val="000000"/>
              </w:rPr>
            </w:pPr>
            <w:r>
              <w:rPr>
                <w:rFonts w:eastAsia="Times New Roman" w:cs="Times New Roman"/>
                <w:color w:val="000000"/>
              </w:rPr>
              <w:t>0.03</w:t>
            </w:r>
          </w:p>
        </w:tc>
        <w:tc>
          <w:tcPr>
            <w:tcW w:w="2005" w:type="dxa"/>
            <w:tcBorders>
              <w:top w:val="nil"/>
              <w:left w:val="nil"/>
              <w:bottom w:val="nil"/>
              <w:right w:val="nil"/>
            </w:tcBorders>
            <w:noWrap/>
            <w:vAlign w:val="center"/>
          </w:tcPr>
          <w:p w14:paraId="20852071">
            <w:pPr>
              <w:widowControl/>
              <w:spacing w:line="240" w:lineRule="auto"/>
              <w:ind w:firstLine="0" w:firstLineChars="0"/>
              <w:jc w:val="center"/>
              <w:rPr>
                <w:rFonts w:eastAsia="Times New Roman" w:cs="Times New Roman"/>
                <w:color w:val="000000"/>
              </w:rPr>
            </w:pPr>
            <w:r>
              <w:rPr>
                <w:rFonts w:eastAsia="Times New Roman" w:cs="Times New Roman"/>
                <w:color w:val="000000"/>
              </w:rPr>
              <w:t>0.17</w:t>
            </w:r>
          </w:p>
        </w:tc>
        <w:tc>
          <w:tcPr>
            <w:tcW w:w="2005" w:type="dxa"/>
            <w:tcBorders>
              <w:top w:val="nil"/>
              <w:left w:val="nil"/>
              <w:bottom w:val="nil"/>
              <w:right w:val="nil"/>
            </w:tcBorders>
            <w:noWrap/>
            <w:vAlign w:val="center"/>
          </w:tcPr>
          <w:p w14:paraId="2E3A4839">
            <w:pPr>
              <w:widowControl/>
              <w:spacing w:line="240" w:lineRule="auto"/>
              <w:ind w:firstLine="0" w:firstLineChars="0"/>
              <w:jc w:val="center"/>
              <w:rPr>
                <w:rFonts w:eastAsia="Times New Roman" w:cs="Times New Roman"/>
                <w:color w:val="000000"/>
              </w:rPr>
            </w:pPr>
            <w:r>
              <w:rPr>
                <w:rFonts w:eastAsia="Times New Roman" w:cs="Times New Roman"/>
                <w:color w:val="000000"/>
              </w:rPr>
              <w:t>0.12</w:t>
            </w:r>
          </w:p>
        </w:tc>
      </w:tr>
      <w:tr w14:paraId="61C63442">
        <w:tblPrEx>
          <w:tblCellMar>
            <w:top w:w="0" w:type="dxa"/>
            <w:left w:w="108" w:type="dxa"/>
            <w:bottom w:w="0" w:type="dxa"/>
            <w:right w:w="108" w:type="dxa"/>
          </w:tblCellMar>
        </w:tblPrEx>
        <w:trPr>
          <w:trHeight w:val="328" w:hRule="atLeast"/>
        </w:trPr>
        <w:tc>
          <w:tcPr>
            <w:tcW w:w="3891" w:type="dxa"/>
            <w:vMerge w:val="continue"/>
            <w:tcBorders>
              <w:top w:val="nil"/>
              <w:left w:val="nil"/>
              <w:bottom w:val="single" w:color="000000" w:sz="4" w:space="0"/>
              <w:right w:val="nil"/>
            </w:tcBorders>
            <w:vAlign w:val="center"/>
          </w:tcPr>
          <w:p w14:paraId="2750E390">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single" w:color="000000" w:sz="4" w:space="0"/>
              <w:right w:val="nil"/>
            </w:tcBorders>
            <w:vAlign w:val="center"/>
          </w:tcPr>
          <w:p w14:paraId="6536CFA5">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color w:val="000000"/>
                <w:szCs w:val="24"/>
                <w:vertAlign w:val="subscript"/>
              </w:rPr>
              <w:t>adj</w:t>
            </w:r>
            <w:r>
              <w:rPr>
                <w:rFonts w:eastAsia="Times New Roman" w:cs="Times New Roman"/>
                <w:b/>
                <w:bCs/>
                <w:color w:val="000000"/>
                <w:szCs w:val="24"/>
                <w:vertAlign w:val="superscript"/>
              </w:rPr>
              <w:t>2</w:t>
            </w:r>
          </w:p>
        </w:tc>
        <w:tc>
          <w:tcPr>
            <w:tcW w:w="2005" w:type="dxa"/>
            <w:tcBorders>
              <w:top w:val="nil"/>
              <w:left w:val="nil"/>
              <w:bottom w:val="single" w:color="000000" w:sz="4" w:space="0"/>
              <w:right w:val="nil"/>
            </w:tcBorders>
            <w:noWrap/>
            <w:vAlign w:val="center"/>
          </w:tcPr>
          <w:p w14:paraId="02C8DFF6">
            <w:pPr>
              <w:widowControl/>
              <w:spacing w:line="240" w:lineRule="auto"/>
              <w:ind w:firstLine="0" w:firstLineChars="0"/>
              <w:jc w:val="center"/>
              <w:rPr>
                <w:rFonts w:eastAsia="Times New Roman" w:cs="Times New Roman"/>
                <w:color w:val="000000"/>
              </w:rPr>
            </w:pPr>
            <w:r>
              <w:rPr>
                <w:rFonts w:eastAsia="Times New Roman" w:cs="Times New Roman"/>
                <w:color w:val="000000"/>
              </w:rPr>
              <w:t>0.9778</w:t>
            </w:r>
          </w:p>
        </w:tc>
        <w:tc>
          <w:tcPr>
            <w:tcW w:w="2005" w:type="dxa"/>
            <w:tcBorders>
              <w:top w:val="nil"/>
              <w:left w:val="nil"/>
              <w:bottom w:val="single" w:color="000000" w:sz="4" w:space="0"/>
              <w:right w:val="nil"/>
            </w:tcBorders>
            <w:noWrap/>
            <w:vAlign w:val="center"/>
          </w:tcPr>
          <w:p w14:paraId="6F448CDF">
            <w:pPr>
              <w:widowControl/>
              <w:spacing w:line="240" w:lineRule="auto"/>
              <w:ind w:firstLine="0" w:firstLineChars="0"/>
              <w:jc w:val="center"/>
              <w:rPr>
                <w:rFonts w:eastAsia="Times New Roman" w:cs="Times New Roman"/>
                <w:color w:val="000000"/>
              </w:rPr>
            </w:pPr>
            <w:r>
              <w:rPr>
                <w:rFonts w:eastAsia="Times New Roman" w:cs="Times New Roman"/>
                <w:color w:val="000000"/>
              </w:rPr>
              <w:t>0.9577</w:t>
            </w:r>
          </w:p>
        </w:tc>
        <w:tc>
          <w:tcPr>
            <w:tcW w:w="2005" w:type="dxa"/>
            <w:tcBorders>
              <w:top w:val="nil"/>
              <w:left w:val="nil"/>
              <w:bottom w:val="single" w:color="000000" w:sz="4" w:space="0"/>
              <w:right w:val="nil"/>
            </w:tcBorders>
            <w:noWrap/>
            <w:vAlign w:val="center"/>
          </w:tcPr>
          <w:p w14:paraId="33DD432C">
            <w:pPr>
              <w:widowControl/>
              <w:spacing w:line="240" w:lineRule="auto"/>
              <w:ind w:firstLine="0" w:firstLineChars="0"/>
              <w:jc w:val="center"/>
              <w:rPr>
                <w:rFonts w:eastAsia="Times New Roman" w:cs="Times New Roman"/>
                <w:color w:val="000000"/>
              </w:rPr>
            </w:pPr>
            <w:r>
              <w:rPr>
                <w:rFonts w:eastAsia="Times New Roman" w:cs="Times New Roman"/>
                <w:color w:val="000000"/>
              </w:rPr>
              <w:t>0.9831</w:t>
            </w:r>
          </w:p>
        </w:tc>
        <w:tc>
          <w:tcPr>
            <w:tcW w:w="2005" w:type="dxa"/>
            <w:tcBorders>
              <w:top w:val="nil"/>
              <w:left w:val="nil"/>
              <w:bottom w:val="single" w:color="000000" w:sz="4" w:space="0"/>
              <w:right w:val="nil"/>
            </w:tcBorders>
            <w:noWrap/>
            <w:vAlign w:val="center"/>
          </w:tcPr>
          <w:p w14:paraId="4A66B8A3">
            <w:pPr>
              <w:widowControl/>
              <w:spacing w:line="240" w:lineRule="auto"/>
              <w:ind w:firstLine="0" w:firstLineChars="0"/>
              <w:jc w:val="center"/>
              <w:rPr>
                <w:rFonts w:eastAsia="Times New Roman" w:cs="Times New Roman"/>
                <w:color w:val="000000"/>
              </w:rPr>
            </w:pPr>
            <w:r>
              <w:rPr>
                <w:rFonts w:eastAsia="Times New Roman" w:cs="Times New Roman"/>
                <w:color w:val="000000"/>
              </w:rPr>
              <w:t>0.9972</w:t>
            </w:r>
          </w:p>
        </w:tc>
      </w:tr>
      <w:tr w14:paraId="1EA70894">
        <w:tblPrEx>
          <w:tblCellMar>
            <w:top w:w="0" w:type="dxa"/>
            <w:left w:w="108" w:type="dxa"/>
            <w:bottom w:w="0" w:type="dxa"/>
            <w:right w:w="108" w:type="dxa"/>
          </w:tblCellMar>
        </w:tblPrEx>
        <w:trPr>
          <w:trHeight w:val="317" w:hRule="atLeast"/>
        </w:trPr>
        <w:tc>
          <w:tcPr>
            <w:tcW w:w="3891" w:type="dxa"/>
            <w:vMerge w:val="restart"/>
            <w:tcBorders>
              <w:top w:val="nil"/>
              <w:left w:val="nil"/>
              <w:bottom w:val="nil"/>
              <w:right w:val="nil"/>
            </w:tcBorders>
            <w:vAlign w:val="center"/>
          </w:tcPr>
          <w:p w14:paraId="0BCFA929">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Intra-particle diffusion (Ⅰ)</w:t>
            </w:r>
          </w:p>
        </w:tc>
        <w:tc>
          <w:tcPr>
            <w:tcW w:w="1767" w:type="dxa"/>
            <w:tcBorders>
              <w:top w:val="nil"/>
              <w:left w:val="nil"/>
              <w:bottom w:val="nil"/>
              <w:right w:val="nil"/>
            </w:tcBorders>
            <w:vAlign w:val="center"/>
          </w:tcPr>
          <w:p w14:paraId="389953ED">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 w:val="20"/>
                <w:szCs w:val="20"/>
              </w:rPr>
              <w:t>k</w:t>
            </w:r>
            <w:r>
              <w:rPr>
                <w:rFonts w:eastAsia="Times New Roman" w:cs="Times New Roman"/>
                <w:b/>
                <w:bCs/>
                <w:color w:val="000000"/>
                <w:sz w:val="20"/>
                <w:szCs w:val="20"/>
                <w:vertAlign w:val="subscript"/>
              </w:rPr>
              <w:t>id</w:t>
            </w:r>
          </w:p>
        </w:tc>
        <w:tc>
          <w:tcPr>
            <w:tcW w:w="2005" w:type="dxa"/>
            <w:tcBorders>
              <w:top w:val="nil"/>
              <w:left w:val="nil"/>
              <w:bottom w:val="nil"/>
              <w:right w:val="nil"/>
            </w:tcBorders>
            <w:noWrap/>
            <w:vAlign w:val="center"/>
          </w:tcPr>
          <w:p w14:paraId="6D357041">
            <w:pPr>
              <w:widowControl/>
              <w:spacing w:line="240" w:lineRule="auto"/>
              <w:ind w:firstLine="0" w:firstLineChars="0"/>
              <w:jc w:val="center"/>
              <w:rPr>
                <w:rFonts w:eastAsia="Times New Roman" w:cs="Times New Roman"/>
                <w:color w:val="000000"/>
              </w:rPr>
            </w:pPr>
            <w:r>
              <w:rPr>
                <w:rFonts w:eastAsia="Times New Roman" w:cs="Times New Roman"/>
                <w:color w:val="000000"/>
              </w:rPr>
              <w:t>52.92</w:t>
            </w:r>
          </w:p>
        </w:tc>
        <w:tc>
          <w:tcPr>
            <w:tcW w:w="2005" w:type="dxa"/>
            <w:tcBorders>
              <w:top w:val="nil"/>
              <w:left w:val="nil"/>
              <w:bottom w:val="nil"/>
              <w:right w:val="nil"/>
            </w:tcBorders>
            <w:noWrap/>
            <w:vAlign w:val="center"/>
          </w:tcPr>
          <w:p w14:paraId="3620608E">
            <w:pPr>
              <w:widowControl/>
              <w:spacing w:line="240" w:lineRule="auto"/>
              <w:ind w:firstLine="0" w:firstLineChars="0"/>
              <w:jc w:val="center"/>
              <w:rPr>
                <w:rFonts w:eastAsia="Times New Roman" w:cs="Times New Roman"/>
                <w:color w:val="000000"/>
              </w:rPr>
            </w:pPr>
            <w:r>
              <w:rPr>
                <w:rFonts w:eastAsia="Times New Roman" w:cs="Times New Roman"/>
                <w:color w:val="000000"/>
              </w:rPr>
              <w:t>77.72</w:t>
            </w:r>
          </w:p>
        </w:tc>
        <w:tc>
          <w:tcPr>
            <w:tcW w:w="2005" w:type="dxa"/>
            <w:tcBorders>
              <w:top w:val="nil"/>
              <w:left w:val="nil"/>
              <w:bottom w:val="nil"/>
              <w:right w:val="nil"/>
            </w:tcBorders>
            <w:noWrap/>
            <w:vAlign w:val="center"/>
          </w:tcPr>
          <w:p w14:paraId="1324F3A4">
            <w:pPr>
              <w:widowControl/>
              <w:spacing w:line="240" w:lineRule="auto"/>
              <w:ind w:firstLine="0" w:firstLineChars="0"/>
              <w:jc w:val="center"/>
              <w:rPr>
                <w:rFonts w:eastAsia="Times New Roman" w:cs="Times New Roman"/>
                <w:color w:val="000000"/>
              </w:rPr>
            </w:pPr>
            <w:r>
              <w:rPr>
                <w:rFonts w:eastAsia="Times New Roman" w:cs="Times New Roman"/>
                <w:color w:val="000000"/>
              </w:rPr>
              <w:t>6.73</w:t>
            </w:r>
          </w:p>
        </w:tc>
        <w:tc>
          <w:tcPr>
            <w:tcW w:w="2005" w:type="dxa"/>
            <w:tcBorders>
              <w:top w:val="nil"/>
              <w:left w:val="nil"/>
              <w:bottom w:val="nil"/>
              <w:right w:val="nil"/>
            </w:tcBorders>
            <w:noWrap/>
            <w:vAlign w:val="center"/>
          </w:tcPr>
          <w:p w14:paraId="0BA39C12">
            <w:pPr>
              <w:widowControl/>
              <w:spacing w:line="240" w:lineRule="auto"/>
              <w:ind w:firstLine="0" w:firstLineChars="0"/>
              <w:jc w:val="center"/>
              <w:rPr>
                <w:rFonts w:eastAsia="Times New Roman" w:cs="Times New Roman"/>
                <w:color w:val="000000"/>
              </w:rPr>
            </w:pPr>
            <w:r>
              <w:rPr>
                <w:rFonts w:eastAsia="Times New Roman" w:cs="Times New Roman"/>
                <w:color w:val="000000"/>
              </w:rPr>
              <w:t>13.17</w:t>
            </w:r>
          </w:p>
        </w:tc>
      </w:tr>
      <w:tr w14:paraId="271567D5">
        <w:tblPrEx>
          <w:tblCellMar>
            <w:top w:w="0" w:type="dxa"/>
            <w:left w:w="108" w:type="dxa"/>
            <w:bottom w:w="0" w:type="dxa"/>
            <w:right w:w="108" w:type="dxa"/>
          </w:tblCellMar>
        </w:tblPrEx>
        <w:trPr>
          <w:trHeight w:val="317" w:hRule="atLeast"/>
        </w:trPr>
        <w:tc>
          <w:tcPr>
            <w:tcW w:w="3891" w:type="dxa"/>
            <w:vMerge w:val="continue"/>
            <w:tcBorders>
              <w:top w:val="nil"/>
              <w:left w:val="nil"/>
              <w:bottom w:val="nil"/>
              <w:right w:val="nil"/>
            </w:tcBorders>
            <w:vAlign w:val="center"/>
          </w:tcPr>
          <w:p w14:paraId="0900C56C">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nil"/>
              <w:right w:val="nil"/>
            </w:tcBorders>
            <w:vAlign w:val="center"/>
          </w:tcPr>
          <w:p w14:paraId="7DA287CA">
            <w:pPr>
              <w:widowControl/>
              <w:spacing w:line="240" w:lineRule="auto"/>
              <w:ind w:firstLine="0" w:firstLineChars="0"/>
              <w:jc w:val="center"/>
              <w:rPr>
                <w:rFonts w:eastAsia="Times New Roman" w:cs="Times New Roman"/>
                <w:b/>
                <w:bCs/>
                <w:i/>
                <w:iCs/>
                <w:color w:val="000000"/>
                <w:sz w:val="20"/>
                <w:szCs w:val="20"/>
              </w:rPr>
            </w:pPr>
            <w:r>
              <w:rPr>
                <w:rFonts w:eastAsia="Times New Roman" w:cs="Times New Roman"/>
                <w:b/>
                <w:bCs/>
                <w:i/>
                <w:iCs/>
                <w:color w:val="000000"/>
                <w:sz w:val="20"/>
                <w:szCs w:val="20"/>
              </w:rPr>
              <w:t>C</w:t>
            </w:r>
            <w:r>
              <w:rPr>
                <w:rFonts w:eastAsia="Times New Roman" w:cs="Times New Roman"/>
                <w:b/>
                <w:bCs/>
                <w:color w:val="000000"/>
                <w:sz w:val="20"/>
                <w:szCs w:val="20"/>
              </w:rPr>
              <w:t xml:space="preserve"> (mg·g</w:t>
            </w:r>
            <w:r>
              <w:rPr>
                <w:rFonts w:hint="default" w:ascii="Times New Roman" w:hAnsi="Times New Roman" w:cs="Times New Roman"/>
                <w:b/>
                <w:bCs/>
                <w:sz w:val="20"/>
                <w:szCs w:val="20"/>
                <w:vertAlign w:val="superscript"/>
                <w:lang w:val="en-US" w:eastAsia="zh-CN"/>
              </w:rPr>
              <w:t>−</w:t>
            </w:r>
            <w:r>
              <w:rPr>
                <w:rFonts w:eastAsia="Times New Roman" w:cs="Times New Roman"/>
                <w:b/>
                <w:bCs/>
                <w:color w:val="000000"/>
                <w:sz w:val="20"/>
                <w:szCs w:val="20"/>
                <w:vertAlign w:val="superscript"/>
              </w:rPr>
              <w:t>1</w:t>
            </w:r>
            <w:r>
              <w:rPr>
                <w:rFonts w:eastAsia="Times New Roman" w:cs="Times New Roman"/>
                <w:b/>
                <w:bCs/>
                <w:color w:val="000000"/>
                <w:sz w:val="20"/>
                <w:szCs w:val="20"/>
              </w:rPr>
              <w:t>)</w:t>
            </w:r>
          </w:p>
        </w:tc>
        <w:tc>
          <w:tcPr>
            <w:tcW w:w="2005" w:type="dxa"/>
            <w:tcBorders>
              <w:top w:val="nil"/>
              <w:left w:val="nil"/>
              <w:bottom w:val="nil"/>
              <w:right w:val="nil"/>
            </w:tcBorders>
            <w:noWrap/>
            <w:vAlign w:val="center"/>
          </w:tcPr>
          <w:p w14:paraId="5F403C21">
            <w:pPr>
              <w:widowControl/>
              <w:spacing w:line="240" w:lineRule="auto"/>
              <w:ind w:firstLine="0" w:firstLineChars="0"/>
              <w:jc w:val="center"/>
              <w:rPr>
                <w:rFonts w:eastAsia="Times New Roman" w:cs="Times New Roman"/>
                <w:color w:val="000000"/>
              </w:rPr>
            </w:pPr>
            <w:r>
              <w:rPr>
                <w:rFonts w:eastAsia="Times New Roman" w:cs="Times New Roman"/>
                <w:color w:val="000000"/>
              </w:rPr>
              <w:t>5.09</w:t>
            </w:r>
          </w:p>
        </w:tc>
        <w:tc>
          <w:tcPr>
            <w:tcW w:w="2005" w:type="dxa"/>
            <w:tcBorders>
              <w:top w:val="nil"/>
              <w:left w:val="nil"/>
              <w:bottom w:val="nil"/>
              <w:right w:val="nil"/>
            </w:tcBorders>
            <w:noWrap/>
            <w:vAlign w:val="center"/>
          </w:tcPr>
          <w:p w14:paraId="3E4F9F9F">
            <w:pPr>
              <w:widowControl/>
              <w:spacing w:line="240" w:lineRule="auto"/>
              <w:ind w:firstLine="0" w:firstLineChars="0"/>
              <w:jc w:val="center"/>
              <w:rPr>
                <w:rFonts w:eastAsia="Times New Roman" w:cs="Times New Roman"/>
                <w:color w:val="000000"/>
              </w:rPr>
            </w:pPr>
            <w:r>
              <w:rPr>
                <w:rFonts w:eastAsia="Times New Roman" w:cs="Times New Roman"/>
                <w:color w:val="000000"/>
              </w:rPr>
              <w:t>15.07</w:t>
            </w:r>
          </w:p>
        </w:tc>
        <w:tc>
          <w:tcPr>
            <w:tcW w:w="2005" w:type="dxa"/>
            <w:tcBorders>
              <w:top w:val="nil"/>
              <w:left w:val="nil"/>
              <w:bottom w:val="nil"/>
              <w:right w:val="nil"/>
            </w:tcBorders>
            <w:noWrap/>
            <w:vAlign w:val="center"/>
          </w:tcPr>
          <w:p w14:paraId="0FAB643E">
            <w:pPr>
              <w:widowControl/>
              <w:spacing w:line="240" w:lineRule="auto"/>
              <w:ind w:firstLine="0" w:firstLineChars="0"/>
              <w:jc w:val="center"/>
              <w:rPr>
                <w:rFonts w:eastAsia="Times New Roman" w:cs="Times New Roman"/>
                <w:color w:val="000000"/>
              </w:rPr>
            </w:pPr>
            <w:r>
              <w:rPr>
                <w:rFonts w:eastAsia="Times New Roman" w:cs="Times New Roman"/>
                <w:color w:val="000000"/>
              </w:rPr>
              <w:t>0.97</w:t>
            </w:r>
          </w:p>
        </w:tc>
        <w:tc>
          <w:tcPr>
            <w:tcW w:w="2005" w:type="dxa"/>
            <w:tcBorders>
              <w:top w:val="nil"/>
              <w:left w:val="nil"/>
              <w:bottom w:val="nil"/>
              <w:right w:val="nil"/>
            </w:tcBorders>
            <w:noWrap/>
            <w:vAlign w:val="center"/>
          </w:tcPr>
          <w:p w14:paraId="3D314AF5">
            <w:pPr>
              <w:widowControl/>
              <w:spacing w:line="240" w:lineRule="auto"/>
              <w:ind w:firstLine="0" w:firstLineChars="0"/>
              <w:jc w:val="center"/>
              <w:rPr>
                <w:rFonts w:eastAsia="Times New Roman" w:cs="Times New Roman"/>
                <w:color w:val="000000"/>
              </w:rPr>
            </w:pPr>
            <w:r>
              <w:rPr>
                <w:rFonts w:eastAsia="Times New Roman" w:cs="Times New Roman"/>
                <w:color w:val="000000"/>
              </w:rPr>
              <w:t>-2.30</w:t>
            </w:r>
          </w:p>
        </w:tc>
      </w:tr>
      <w:tr w14:paraId="27B0F472">
        <w:tblPrEx>
          <w:tblCellMar>
            <w:top w:w="0" w:type="dxa"/>
            <w:left w:w="108" w:type="dxa"/>
            <w:bottom w:w="0" w:type="dxa"/>
            <w:right w:w="108" w:type="dxa"/>
          </w:tblCellMar>
        </w:tblPrEx>
        <w:trPr>
          <w:trHeight w:val="317" w:hRule="atLeast"/>
        </w:trPr>
        <w:tc>
          <w:tcPr>
            <w:tcW w:w="3891" w:type="dxa"/>
            <w:vMerge w:val="continue"/>
            <w:tcBorders>
              <w:top w:val="nil"/>
              <w:left w:val="nil"/>
              <w:bottom w:val="single" w:color="000000" w:sz="4" w:space="0"/>
              <w:right w:val="nil"/>
            </w:tcBorders>
            <w:vAlign w:val="center"/>
          </w:tcPr>
          <w:p w14:paraId="7B3D0D26">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single" w:color="000000" w:sz="4" w:space="0"/>
              <w:right w:val="nil"/>
            </w:tcBorders>
            <w:vAlign w:val="center"/>
          </w:tcPr>
          <w:p w14:paraId="702E628A">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color w:val="000000"/>
                <w:szCs w:val="24"/>
                <w:vertAlign w:val="subscript"/>
              </w:rPr>
              <w:t>adj</w:t>
            </w:r>
            <w:r>
              <w:rPr>
                <w:rFonts w:eastAsia="Times New Roman" w:cs="Times New Roman"/>
                <w:b/>
                <w:bCs/>
                <w:color w:val="000000"/>
                <w:szCs w:val="24"/>
                <w:vertAlign w:val="superscript"/>
              </w:rPr>
              <w:t>2</w:t>
            </w:r>
          </w:p>
        </w:tc>
        <w:tc>
          <w:tcPr>
            <w:tcW w:w="2005" w:type="dxa"/>
            <w:tcBorders>
              <w:top w:val="nil"/>
              <w:left w:val="nil"/>
              <w:bottom w:val="single" w:color="000000" w:sz="4" w:space="0"/>
              <w:right w:val="nil"/>
            </w:tcBorders>
            <w:noWrap/>
            <w:vAlign w:val="center"/>
          </w:tcPr>
          <w:p w14:paraId="3E872C2A">
            <w:pPr>
              <w:widowControl/>
              <w:spacing w:line="240" w:lineRule="auto"/>
              <w:ind w:firstLine="0" w:firstLineChars="0"/>
              <w:jc w:val="center"/>
              <w:rPr>
                <w:rFonts w:eastAsia="Times New Roman" w:cs="Times New Roman"/>
                <w:color w:val="000000"/>
              </w:rPr>
            </w:pPr>
            <w:r>
              <w:rPr>
                <w:rFonts w:eastAsia="Times New Roman" w:cs="Times New Roman"/>
                <w:color w:val="000000"/>
              </w:rPr>
              <w:t>0.9257</w:t>
            </w:r>
          </w:p>
        </w:tc>
        <w:tc>
          <w:tcPr>
            <w:tcW w:w="2005" w:type="dxa"/>
            <w:tcBorders>
              <w:top w:val="nil"/>
              <w:left w:val="nil"/>
              <w:bottom w:val="single" w:color="000000" w:sz="4" w:space="0"/>
              <w:right w:val="nil"/>
            </w:tcBorders>
            <w:noWrap/>
            <w:vAlign w:val="center"/>
          </w:tcPr>
          <w:p w14:paraId="62B60D9D">
            <w:pPr>
              <w:widowControl/>
              <w:spacing w:line="240" w:lineRule="auto"/>
              <w:ind w:firstLine="0" w:firstLineChars="0"/>
              <w:jc w:val="center"/>
              <w:rPr>
                <w:rFonts w:eastAsia="Times New Roman" w:cs="Times New Roman"/>
                <w:color w:val="000000"/>
              </w:rPr>
            </w:pPr>
            <w:r>
              <w:rPr>
                <w:rFonts w:eastAsia="Times New Roman" w:cs="Times New Roman"/>
                <w:color w:val="000000"/>
              </w:rPr>
              <w:t>0.9437</w:t>
            </w:r>
          </w:p>
        </w:tc>
        <w:tc>
          <w:tcPr>
            <w:tcW w:w="2005" w:type="dxa"/>
            <w:tcBorders>
              <w:top w:val="nil"/>
              <w:left w:val="nil"/>
              <w:bottom w:val="single" w:color="000000" w:sz="4" w:space="0"/>
              <w:right w:val="nil"/>
            </w:tcBorders>
            <w:noWrap/>
            <w:vAlign w:val="center"/>
          </w:tcPr>
          <w:p w14:paraId="7D352F60">
            <w:pPr>
              <w:widowControl/>
              <w:spacing w:line="240" w:lineRule="auto"/>
              <w:ind w:firstLine="0" w:firstLineChars="0"/>
              <w:jc w:val="center"/>
              <w:rPr>
                <w:rFonts w:eastAsia="Times New Roman" w:cs="Times New Roman"/>
                <w:color w:val="000000"/>
              </w:rPr>
            </w:pPr>
            <w:r>
              <w:rPr>
                <w:rFonts w:eastAsia="Times New Roman" w:cs="Times New Roman"/>
                <w:color w:val="000000"/>
              </w:rPr>
              <w:t>0.7992</w:t>
            </w:r>
          </w:p>
        </w:tc>
        <w:tc>
          <w:tcPr>
            <w:tcW w:w="2005" w:type="dxa"/>
            <w:tcBorders>
              <w:top w:val="nil"/>
              <w:left w:val="nil"/>
              <w:bottom w:val="single" w:color="000000" w:sz="4" w:space="0"/>
              <w:right w:val="nil"/>
            </w:tcBorders>
            <w:noWrap/>
            <w:vAlign w:val="center"/>
          </w:tcPr>
          <w:p w14:paraId="7C6772ED">
            <w:pPr>
              <w:widowControl/>
              <w:spacing w:line="240" w:lineRule="auto"/>
              <w:ind w:firstLine="0" w:firstLineChars="0"/>
              <w:jc w:val="center"/>
              <w:rPr>
                <w:rFonts w:eastAsia="Times New Roman" w:cs="Times New Roman"/>
                <w:color w:val="000000"/>
              </w:rPr>
            </w:pPr>
            <w:r>
              <w:rPr>
                <w:rFonts w:eastAsia="Times New Roman" w:cs="Times New Roman"/>
                <w:color w:val="000000"/>
              </w:rPr>
              <w:t>0.9255</w:t>
            </w:r>
          </w:p>
        </w:tc>
      </w:tr>
      <w:tr w14:paraId="3697B793">
        <w:tblPrEx>
          <w:tblCellMar>
            <w:top w:w="0" w:type="dxa"/>
            <w:left w:w="108" w:type="dxa"/>
            <w:bottom w:w="0" w:type="dxa"/>
            <w:right w:w="108" w:type="dxa"/>
          </w:tblCellMar>
        </w:tblPrEx>
        <w:trPr>
          <w:trHeight w:val="317" w:hRule="atLeast"/>
        </w:trPr>
        <w:tc>
          <w:tcPr>
            <w:tcW w:w="3891" w:type="dxa"/>
            <w:vMerge w:val="restart"/>
            <w:tcBorders>
              <w:top w:val="single" w:color="000000" w:sz="4" w:space="0"/>
              <w:left w:val="nil"/>
              <w:bottom w:val="nil"/>
              <w:right w:val="nil"/>
            </w:tcBorders>
            <w:vAlign w:val="center"/>
          </w:tcPr>
          <w:p w14:paraId="4A9E871D">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Intra-particle diffusion  (Ⅱ)</w:t>
            </w:r>
          </w:p>
        </w:tc>
        <w:tc>
          <w:tcPr>
            <w:tcW w:w="1767" w:type="dxa"/>
            <w:tcBorders>
              <w:top w:val="single" w:color="000000" w:sz="4" w:space="0"/>
              <w:left w:val="nil"/>
              <w:bottom w:val="nil"/>
              <w:right w:val="nil"/>
            </w:tcBorders>
            <w:vAlign w:val="center"/>
          </w:tcPr>
          <w:p w14:paraId="3EB24B3C">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 w:val="20"/>
                <w:szCs w:val="20"/>
              </w:rPr>
              <w:t>k</w:t>
            </w:r>
            <w:r>
              <w:rPr>
                <w:rFonts w:eastAsia="Times New Roman" w:cs="Times New Roman"/>
                <w:b/>
                <w:bCs/>
                <w:color w:val="000000"/>
                <w:sz w:val="20"/>
                <w:szCs w:val="20"/>
                <w:vertAlign w:val="subscript"/>
              </w:rPr>
              <w:t>id</w:t>
            </w:r>
          </w:p>
        </w:tc>
        <w:tc>
          <w:tcPr>
            <w:tcW w:w="2005" w:type="dxa"/>
            <w:tcBorders>
              <w:top w:val="nil"/>
              <w:left w:val="nil"/>
              <w:bottom w:val="nil"/>
              <w:right w:val="nil"/>
            </w:tcBorders>
            <w:noWrap/>
            <w:vAlign w:val="center"/>
          </w:tcPr>
          <w:p w14:paraId="58FD259F">
            <w:pPr>
              <w:widowControl/>
              <w:spacing w:line="240" w:lineRule="auto"/>
              <w:ind w:firstLine="0" w:firstLineChars="0"/>
              <w:jc w:val="center"/>
              <w:rPr>
                <w:rFonts w:eastAsia="Times New Roman" w:cs="Times New Roman"/>
                <w:color w:val="000000"/>
              </w:rPr>
            </w:pPr>
            <w:r>
              <w:rPr>
                <w:rFonts w:eastAsia="Times New Roman" w:cs="Times New Roman"/>
                <w:color w:val="000000"/>
              </w:rPr>
              <w:t>32.24</w:t>
            </w:r>
          </w:p>
        </w:tc>
        <w:tc>
          <w:tcPr>
            <w:tcW w:w="2005" w:type="dxa"/>
            <w:tcBorders>
              <w:top w:val="nil"/>
              <w:left w:val="nil"/>
              <w:bottom w:val="nil"/>
              <w:right w:val="nil"/>
            </w:tcBorders>
            <w:noWrap/>
            <w:vAlign w:val="center"/>
          </w:tcPr>
          <w:p w14:paraId="02992307">
            <w:pPr>
              <w:widowControl/>
              <w:spacing w:line="240" w:lineRule="auto"/>
              <w:ind w:firstLine="0" w:firstLineChars="0"/>
              <w:jc w:val="center"/>
              <w:rPr>
                <w:rFonts w:eastAsia="Times New Roman" w:cs="Times New Roman"/>
                <w:color w:val="000000"/>
              </w:rPr>
            </w:pPr>
            <w:r>
              <w:rPr>
                <w:rFonts w:eastAsia="Times New Roman" w:cs="Times New Roman"/>
                <w:color w:val="000000"/>
              </w:rPr>
              <w:t>18.79</w:t>
            </w:r>
          </w:p>
        </w:tc>
        <w:tc>
          <w:tcPr>
            <w:tcW w:w="2005" w:type="dxa"/>
            <w:tcBorders>
              <w:top w:val="nil"/>
              <w:left w:val="nil"/>
              <w:bottom w:val="nil"/>
              <w:right w:val="nil"/>
            </w:tcBorders>
            <w:noWrap/>
            <w:vAlign w:val="center"/>
          </w:tcPr>
          <w:p w14:paraId="47E163FD">
            <w:pPr>
              <w:widowControl/>
              <w:spacing w:line="240" w:lineRule="auto"/>
              <w:ind w:firstLine="0" w:firstLineChars="0"/>
              <w:jc w:val="center"/>
              <w:rPr>
                <w:rFonts w:eastAsia="Times New Roman" w:cs="Times New Roman"/>
                <w:color w:val="000000"/>
              </w:rPr>
            </w:pPr>
            <w:r>
              <w:rPr>
                <w:rFonts w:eastAsia="Times New Roman" w:cs="Times New Roman"/>
                <w:color w:val="000000"/>
              </w:rPr>
              <w:t>3.62</w:t>
            </w:r>
          </w:p>
        </w:tc>
        <w:tc>
          <w:tcPr>
            <w:tcW w:w="2005" w:type="dxa"/>
            <w:tcBorders>
              <w:top w:val="nil"/>
              <w:left w:val="nil"/>
              <w:bottom w:val="nil"/>
              <w:right w:val="nil"/>
            </w:tcBorders>
            <w:noWrap/>
            <w:vAlign w:val="center"/>
          </w:tcPr>
          <w:p w14:paraId="2CC5AD57">
            <w:pPr>
              <w:widowControl/>
              <w:spacing w:line="240" w:lineRule="auto"/>
              <w:ind w:firstLine="0" w:firstLineChars="0"/>
              <w:jc w:val="center"/>
              <w:rPr>
                <w:rFonts w:eastAsia="Times New Roman" w:cs="Times New Roman"/>
                <w:color w:val="000000"/>
              </w:rPr>
            </w:pPr>
            <w:r>
              <w:rPr>
                <w:rFonts w:eastAsia="Times New Roman" w:cs="Times New Roman"/>
                <w:color w:val="000000"/>
              </w:rPr>
              <w:t>5.31</w:t>
            </w:r>
          </w:p>
        </w:tc>
      </w:tr>
      <w:tr w14:paraId="138EE8C2">
        <w:tblPrEx>
          <w:tblCellMar>
            <w:top w:w="0" w:type="dxa"/>
            <w:left w:w="108" w:type="dxa"/>
            <w:bottom w:w="0" w:type="dxa"/>
            <w:right w:w="108" w:type="dxa"/>
          </w:tblCellMar>
        </w:tblPrEx>
        <w:trPr>
          <w:trHeight w:val="317" w:hRule="atLeast"/>
        </w:trPr>
        <w:tc>
          <w:tcPr>
            <w:tcW w:w="3891" w:type="dxa"/>
            <w:vMerge w:val="continue"/>
            <w:tcBorders>
              <w:top w:val="nil"/>
              <w:left w:val="nil"/>
              <w:bottom w:val="nil"/>
              <w:right w:val="nil"/>
            </w:tcBorders>
            <w:vAlign w:val="center"/>
          </w:tcPr>
          <w:p w14:paraId="756A5B7D">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nil"/>
              <w:right w:val="nil"/>
            </w:tcBorders>
            <w:vAlign w:val="center"/>
          </w:tcPr>
          <w:p w14:paraId="0C44C97E">
            <w:pPr>
              <w:widowControl/>
              <w:spacing w:line="240" w:lineRule="auto"/>
              <w:ind w:firstLine="0" w:firstLineChars="0"/>
              <w:jc w:val="center"/>
              <w:rPr>
                <w:rFonts w:eastAsia="Times New Roman" w:cs="Times New Roman"/>
                <w:b/>
                <w:bCs/>
                <w:i/>
                <w:iCs/>
                <w:color w:val="000000"/>
                <w:sz w:val="20"/>
                <w:szCs w:val="20"/>
              </w:rPr>
            </w:pPr>
            <w:r>
              <w:rPr>
                <w:rFonts w:eastAsia="Times New Roman" w:cs="Times New Roman"/>
                <w:b/>
                <w:bCs/>
                <w:i/>
                <w:iCs/>
                <w:color w:val="000000"/>
                <w:sz w:val="20"/>
                <w:szCs w:val="20"/>
              </w:rPr>
              <w:t>C</w:t>
            </w:r>
            <w:r>
              <w:rPr>
                <w:rFonts w:eastAsia="Times New Roman" w:cs="Times New Roman"/>
                <w:b/>
                <w:bCs/>
                <w:color w:val="000000"/>
                <w:sz w:val="20"/>
                <w:szCs w:val="20"/>
              </w:rPr>
              <w:t xml:space="preserve"> (mg·g</w:t>
            </w:r>
            <w:r>
              <w:rPr>
                <w:rFonts w:hint="default" w:ascii="Times New Roman" w:hAnsi="Times New Roman" w:cs="Times New Roman"/>
                <w:b/>
                <w:bCs/>
                <w:sz w:val="20"/>
                <w:szCs w:val="20"/>
                <w:vertAlign w:val="superscript"/>
                <w:lang w:val="en-US" w:eastAsia="zh-CN"/>
              </w:rPr>
              <w:t>−</w:t>
            </w:r>
            <w:r>
              <w:rPr>
                <w:rFonts w:eastAsia="Times New Roman" w:cs="Times New Roman"/>
                <w:b/>
                <w:bCs/>
                <w:color w:val="000000"/>
                <w:sz w:val="20"/>
                <w:szCs w:val="20"/>
                <w:vertAlign w:val="superscript"/>
              </w:rPr>
              <w:t>1</w:t>
            </w:r>
            <w:r>
              <w:rPr>
                <w:rFonts w:eastAsia="Times New Roman" w:cs="Times New Roman"/>
                <w:b/>
                <w:bCs/>
                <w:color w:val="000000"/>
                <w:sz w:val="20"/>
                <w:szCs w:val="20"/>
              </w:rPr>
              <w:t>)</w:t>
            </w:r>
          </w:p>
        </w:tc>
        <w:tc>
          <w:tcPr>
            <w:tcW w:w="2005" w:type="dxa"/>
            <w:tcBorders>
              <w:top w:val="nil"/>
              <w:left w:val="nil"/>
              <w:bottom w:val="nil"/>
              <w:right w:val="nil"/>
            </w:tcBorders>
            <w:noWrap/>
            <w:vAlign w:val="center"/>
          </w:tcPr>
          <w:p w14:paraId="45F29CA6">
            <w:pPr>
              <w:widowControl/>
              <w:spacing w:line="240" w:lineRule="auto"/>
              <w:ind w:firstLine="0" w:firstLineChars="0"/>
              <w:jc w:val="center"/>
              <w:rPr>
                <w:rFonts w:eastAsia="Times New Roman" w:cs="Times New Roman"/>
                <w:color w:val="000000"/>
              </w:rPr>
            </w:pPr>
            <w:r>
              <w:rPr>
                <w:rFonts w:eastAsia="Times New Roman" w:cs="Times New Roman"/>
                <w:color w:val="000000"/>
              </w:rPr>
              <w:t>62.91</w:t>
            </w:r>
          </w:p>
        </w:tc>
        <w:tc>
          <w:tcPr>
            <w:tcW w:w="2005" w:type="dxa"/>
            <w:tcBorders>
              <w:top w:val="nil"/>
              <w:left w:val="nil"/>
              <w:bottom w:val="nil"/>
              <w:right w:val="nil"/>
            </w:tcBorders>
            <w:noWrap/>
            <w:vAlign w:val="center"/>
          </w:tcPr>
          <w:p w14:paraId="077056CA">
            <w:pPr>
              <w:widowControl/>
              <w:spacing w:line="240" w:lineRule="auto"/>
              <w:ind w:firstLine="0" w:firstLineChars="0"/>
              <w:jc w:val="center"/>
              <w:rPr>
                <w:rFonts w:eastAsia="Times New Roman" w:cs="Times New Roman"/>
                <w:color w:val="000000"/>
              </w:rPr>
            </w:pPr>
            <w:r>
              <w:rPr>
                <w:rFonts w:eastAsia="Times New Roman" w:cs="Times New Roman"/>
                <w:color w:val="000000"/>
              </w:rPr>
              <w:t>124.95</w:t>
            </w:r>
          </w:p>
        </w:tc>
        <w:tc>
          <w:tcPr>
            <w:tcW w:w="2005" w:type="dxa"/>
            <w:tcBorders>
              <w:top w:val="nil"/>
              <w:left w:val="nil"/>
              <w:bottom w:val="nil"/>
              <w:right w:val="nil"/>
            </w:tcBorders>
            <w:noWrap/>
            <w:vAlign w:val="center"/>
          </w:tcPr>
          <w:p w14:paraId="7BBE259F">
            <w:pPr>
              <w:widowControl/>
              <w:spacing w:line="240" w:lineRule="auto"/>
              <w:ind w:firstLine="0" w:firstLineChars="0"/>
              <w:jc w:val="center"/>
              <w:rPr>
                <w:rFonts w:eastAsia="Times New Roman" w:cs="Times New Roman"/>
                <w:color w:val="000000"/>
              </w:rPr>
            </w:pPr>
            <w:r>
              <w:rPr>
                <w:rFonts w:eastAsia="Times New Roman" w:cs="Times New Roman"/>
                <w:color w:val="000000"/>
              </w:rPr>
              <w:t>5.36</w:t>
            </w:r>
          </w:p>
        </w:tc>
        <w:tc>
          <w:tcPr>
            <w:tcW w:w="2005" w:type="dxa"/>
            <w:tcBorders>
              <w:top w:val="nil"/>
              <w:left w:val="nil"/>
              <w:bottom w:val="nil"/>
              <w:right w:val="nil"/>
            </w:tcBorders>
            <w:noWrap/>
            <w:vAlign w:val="center"/>
          </w:tcPr>
          <w:p w14:paraId="48B64557">
            <w:pPr>
              <w:widowControl/>
              <w:spacing w:line="240" w:lineRule="auto"/>
              <w:ind w:firstLine="0" w:firstLineChars="0"/>
              <w:jc w:val="center"/>
              <w:rPr>
                <w:rFonts w:eastAsia="Times New Roman" w:cs="Times New Roman"/>
                <w:color w:val="000000"/>
              </w:rPr>
            </w:pPr>
            <w:r>
              <w:rPr>
                <w:rFonts w:eastAsia="Times New Roman" w:cs="Times New Roman"/>
                <w:color w:val="000000"/>
              </w:rPr>
              <w:t>10.78</w:t>
            </w:r>
          </w:p>
        </w:tc>
      </w:tr>
      <w:tr w14:paraId="562CE01F">
        <w:tblPrEx>
          <w:tblCellMar>
            <w:top w:w="0" w:type="dxa"/>
            <w:left w:w="108" w:type="dxa"/>
            <w:bottom w:w="0" w:type="dxa"/>
            <w:right w:w="108" w:type="dxa"/>
          </w:tblCellMar>
        </w:tblPrEx>
        <w:trPr>
          <w:trHeight w:val="328" w:hRule="atLeast"/>
        </w:trPr>
        <w:tc>
          <w:tcPr>
            <w:tcW w:w="3891" w:type="dxa"/>
            <w:vMerge w:val="continue"/>
            <w:tcBorders>
              <w:top w:val="nil"/>
              <w:left w:val="nil"/>
              <w:bottom w:val="single" w:color="000000" w:sz="4" w:space="0"/>
              <w:right w:val="nil"/>
            </w:tcBorders>
            <w:vAlign w:val="center"/>
          </w:tcPr>
          <w:p w14:paraId="6C841F42">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single" w:color="000000" w:sz="4" w:space="0"/>
              <w:right w:val="nil"/>
            </w:tcBorders>
            <w:vAlign w:val="center"/>
          </w:tcPr>
          <w:p w14:paraId="23B01D71">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color w:val="000000"/>
                <w:szCs w:val="24"/>
                <w:vertAlign w:val="subscript"/>
              </w:rPr>
              <w:t>adj</w:t>
            </w:r>
            <w:r>
              <w:rPr>
                <w:rFonts w:eastAsia="Times New Roman" w:cs="Times New Roman"/>
                <w:b/>
                <w:bCs/>
                <w:color w:val="000000"/>
                <w:szCs w:val="24"/>
                <w:vertAlign w:val="superscript"/>
              </w:rPr>
              <w:t>2</w:t>
            </w:r>
          </w:p>
        </w:tc>
        <w:tc>
          <w:tcPr>
            <w:tcW w:w="2005" w:type="dxa"/>
            <w:tcBorders>
              <w:top w:val="nil"/>
              <w:left w:val="nil"/>
              <w:bottom w:val="single" w:color="000000" w:sz="4" w:space="0"/>
              <w:right w:val="nil"/>
            </w:tcBorders>
            <w:noWrap/>
            <w:vAlign w:val="center"/>
          </w:tcPr>
          <w:p w14:paraId="36663245">
            <w:pPr>
              <w:widowControl/>
              <w:spacing w:line="240" w:lineRule="auto"/>
              <w:ind w:firstLine="0" w:firstLineChars="0"/>
              <w:jc w:val="center"/>
              <w:rPr>
                <w:rFonts w:eastAsia="Times New Roman" w:cs="Times New Roman"/>
                <w:color w:val="000000"/>
              </w:rPr>
            </w:pPr>
            <w:r>
              <w:rPr>
                <w:rFonts w:eastAsia="Times New Roman" w:cs="Times New Roman"/>
                <w:color w:val="000000"/>
              </w:rPr>
              <w:t>0.9805</w:t>
            </w:r>
          </w:p>
        </w:tc>
        <w:tc>
          <w:tcPr>
            <w:tcW w:w="2005" w:type="dxa"/>
            <w:tcBorders>
              <w:top w:val="nil"/>
              <w:left w:val="nil"/>
              <w:bottom w:val="single" w:color="000000" w:sz="4" w:space="0"/>
              <w:right w:val="nil"/>
            </w:tcBorders>
            <w:noWrap/>
            <w:vAlign w:val="center"/>
          </w:tcPr>
          <w:p w14:paraId="09A36014">
            <w:pPr>
              <w:widowControl/>
              <w:spacing w:line="240" w:lineRule="auto"/>
              <w:ind w:firstLine="0" w:firstLineChars="0"/>
              <w:jc w:val="center"/>
              <w:rPr>
                <w:rFonts w:eastAsia="Times New Roman" w:cs="Times New Roman"/>
                <w:color w:val="000000"/>
              </w:rPr>
            </w:pPr>
            <w:r>
              <w:rPr>
                <w:rFonts w:eastAsia="Times New Roman" w:cs="Times New Roman"/>
                <w:color w:val="000000"/>
              </w:rPr>
              <w:t>0.9613</w:t>
            </w:r>
          </w:p>
        </w:tc>
        <w:tc>
          <w:tcPr>
            <w:tcW w:w="2005" w:type="dxa"/>
            <w:tcBorders>
              <w:top w:val="nil"/>
              <w:left w:val="nil"/>
              <w:bottom w:val="single" w:color="000000" w:sz="4" w:space="0"/>
              <w:right w:val="nil"/>
            </w:tcBorders>
            <w:noWrap/>
            <w:vAlign w:val="center"/>
          </w:tcPr>
          <w:p w14:paraId="5BA99F07">
            <w:pPr>
              <w:widowControl/>
              <w:spacing w:line="240" w:lineRule="auto"/>
              <w:ind w:firstLine="0" w:firstLineChars="0"/>
              <w:jc w:val="center"/>
              <w:rPr>
                <w:rFonts w:eastAsia="Times New Roman" w:cs="Times New Roman"/>
                <w:color w:val="000000"/>
              </w:rPr>
            </w:pPr>
            <w:r>
              <w:rPr>
                <w:rFonts w:eastAsia="Times New Roman" w:cs="Times New Roman"/>
                <w:color w:val="000000"/>
              </w:rPr>
              <w:t>0.9325</w:t>
            </w:r>
          </w:p>
        </w:tc>
        <w:tc>
          <w:tcPr>
            <w:tcW w:w="2005" w:type="dxa"/>
            <w:tcBorders>
              <w:top w:val="nil"/>
              <w:left w:val="nil"/>
              <w:bottom w:val="single" w:color="000000" w:sz="4" w:space="0"/>
              <w:right w:val="nil"/>
            </w:tcBorders>
            <w:noWrap/>
            <w:vAlign w:val="center"/>
          </w:tcPr>
          <w:p w14:paraId="1546BF7D">
            <w:pPr>
              <w:widowControl/>
              <w:spacing w:line="240" w:lineRule="auto"/>
              <w:ind w:firstLine="0" w:firstLineChars="0"/>
              <w:jc w:val="center"/>
              <w:rPr>
                <w:rFonts w:eastAsia="Times New Roman" w:cs="Times New Roman"/>
                <w:color w:val="000000"/>
              </w:rPr>
            </w:pPr>
            <w:r>
              <w:rPr>
                <w:rFonts w:eastAsia="Times New Roman" w:cs="Times New Roman"/>
                <w:color w:val="000000"/>
              </w:rPr>
              <w:t>0.9654</w:t>
            </w:r>
          </w:p>
        </w:tc>
      </w:tr>
      <w:tr w14:paraId="491D69D2">
        <w:tblPrEx>
          <w:tblCellMar>
            <w:top w:w="0" w:type="dxa"/>
            <w:left w:w="108" w:type="dxa"/>
            <w:bottom w:w="0" w:type="dxa"/>
            <w:right w:w="108" w:type="dxa"/>
          </w:tblCellMar>
        </w:tblPrEx>
        <w:trPr>
          <w:trHeight w:val="317" w:hRule="atLeast"/>
        </w:trPr>
        <w:tc>
          <w:tcPr>
            <w:tcW w:w="3891" w:type="dxa"/>
            <w:vMerge w:val="restart"/>
            <w:tcBorders>
              <w:top w:val="nil"/>
              <w:left w:val="nil"/>
              <w:bottom w:val="nil"/>
              <w:right w:val="nil"/>
            </w:tcBorders>
            <w:vAlign w:val="center"/>
          </w:tcPr>
          <w:p w14:paraId="129EEA91">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Intra-particle diffusion  (Ⅲ)</w:t>
            </w:r>
          </w:p>
        </w:tc>
        <w:tc>
          <w:tcPr>
            <w:tcW w:w="1767" w:type="dxa"/>
            <w:tcBorders>
              <w:top w:val="nil"/>
              <w:left w:val="nil"/>
              <w:bottom w:val="nil"/>
              <w:right w:val="nil"/>
            </w:tcBorders>
            <w:vAlign w:val="center"/>
          </w:tcPr>
          <w:p w14:paraId="75998654">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 w:val="20"/>
                <w:szCs w:val="20"/>
              </w:rPr>
              <w:t>k</w:t>
            </w:r>
            <w:r>
              <w:rPr>
                <w:rFonts w:eastAsia="Times New Roman" w:cs="Times New Roman"/>
                <w:b/>
                <w:bCs/>
                <w:color w:val="000000"/>
                <w:sz w:val="20"/>
                <w:szCs w:val="20"/>
                <w:vertAlign w:val="subscript"/>
              </w:rPr>
              <w:t>id</w:t>
            </w:r>
          </w:p>
        </w:tc>
        <w:tc>
          <w:tcPr>
            <w:tcW w:w="2005" w:type="dxa"/>
            <w:tcBorders>
              <w:top w:val="nil"/>
              <w:left w:val="nil"/>
              <w:bottom w:val="nil"/>
              <w:right w:val="nil"/>
            </w:tcBorders>
            <w:noWrap/>
            <w:vAlign w:val="center"/>
          </w:tcPr>
          <w:p w14:paraId="1DC33390">
            <w:pPr>
              <w:widowControl/>
              <w:spacing w:line="240" w:lineRule="auto"/>
              <w:ind w:firstLine="0" w:firstLineChars="0"/>
              <w:jc w:val="center"/>
              <w:rPr>
                <w:rFonts w:eastAsia="Times New Roman" w:cs="Times New Roman"/>
                <w:color w:val="000000"/>
              </w:rPr>
            </w:pPr>
            <w:r>
              <w:rPr>
                <w:rFonts w:eastAsia="Times New Roman" w:cs="Times New Roman"/>
                <w:color w:val="000000"/>
              </w:rPr>
              <w:t>-3.20</w:t>
            </w:r>
          </w:p>
        </w:tc>
        <w:tc>
          <w:tcPr>
            <w:tcW w:w="2005" w:type="dxa"/>
            <w:tcBorders>
              <w:top w:val="nil"/>
              <w:left w:val="nil"/>
              <w:bottom w:val="nil"/>
              <w:right w:val="nil"/>
            </w:tcBorders>
            <w:noWrap/>
            <w:vAlign w:val="center"/>
          </w:tcPr>
          <w:p w14:paraId="649DD647">
            <w:pPr>
              <w:widowControl/>
              <w:spacing w:line="240" w:lineRule="auto"/>
              <w:ind w:firstLine="0" w:firstLineChars="0"/>
              <w:jc w:val="center"/>
              <w:rPr>
                <w:rFonts w:eastAsia="Times New Roman" w:cs="Times New Roman"/>
                <w:color w:val="000000"/>
              </w:rPr>
            </w:pPr>
            <w:r>
              <w:rPr>
                <w:rFonts w:eastAsia="Times New Roman" w:cs="Times New Roman"/>
                <w:color w:val="000000"/>
              </w:rPr>
              <w:t>-0.55</w:t>
            </w:r>
          </w:p>
        </w:tc>
        <w:tc>
          <w:tcPr>
            <w:tcW w:w="2005" w:type="dxa"/>
            <w:tcBorders>
              <w:top w:val="nil"/>
              <w:left w:val="nil"/>
              <w:bottom w:val="nil"/>
              <w:right w:val="nil"/>
            </w:tcBorders>
            <w:noWrap/>
            <w:vAlign w:val="center"/>
          </w:tcPr>
          <w:p w14:paraId="16326020">
            <w:pPr>
              <w:widowControl/>
              <w:spacing w:line="240" w:lineRule="auto"/>
              <w:ind w:firstLine="0" w:firstLineChars="0"/>
              <w:jc w:val="center"/>
              <w:rPr>
                <w:rFonts w:eastAsia="Times New Roman" w:cs="Times New Roman"/>
                <w:color w:val="000000"/>
              </w:rPr>
            </w:pPr>
            <w:r>
              <w:rPr>
                <w:rFonts w:eastAsia="Times New Roman" w:cs="Times New Roman"/>
                <w:color w:val="000000"/>
              </w:rPr>
              <w:t>1.10</w:t>
            </w:r>
          </w:p>
        </w:tc>
        <w:tc>
          <w:tcPr>
            <w:tcW w:w="2005" w:type="dxa"/>
            <w:tcBorders>
              <w:top w:val="nil"/>
              <w:left w:val="nil"/>
              <w:bottom w:val="nil"/>
              <w:right w:val="nil"/>
            </w:tcBorders>
            <w:noWrap/>
            <w:vAlign w:val="center"/>
          </w:tcPr>
          <w:p w14:paraId="259E688B">
            <w:pPr>
              <w:widowControl/>
              <w:spacing w:line="240" w:lineRule="auto"/>
              <w:ind w:firstLine="0" w:firstLineChars="0"/>
              <w:jc w:val="center"/>
              <w:rPr>
                <w:rFonts w:eastAsia="Times New Roman" w:cs="Times New Roman"/>
                <w:color w:val="000000"/>
              </w:rPr>
            </w:pPr>
            <w:r>
              <w:rPr>
                <w:rFonts w:eastAsia="Times New Roman" w:cs="Times New Roman"/>
                <w:color w:val="000000"/>
              </w:rPr>
              <w:t>2.41</w:t>
            </w:r>
          </w:p>
        </w:tc>
      </w:tr>
      <w:tr w14:paraId="6AA59E4D">
        <w:tblPrEx>
          <w:tblCellMar>
            <w:top w:w="0" w:type="dxa"/>
            <w:left w:w="108" w:type="dxa"/>
            <w:bottom w:w="0" w:type="dxa"/>
            <w:right w:w="108" w:type="dxa"/>
          </w:tblCellMar>
        </w:tblPrEx>
        <w:trPr>
          <w:trHeight w:val="317" w:hRule="atLeast"/>
        </w:trPr>
        <w:tc>
          <w:tcPr>
            <w:tcW w:w="3891" w:type="dxa"/>
            <w:vMerge w:val="continue"/>
            <w:tcBorders>
              <w:top w:val="nil"/>
              <w:left w:val="nil"/>
              <w:bottom w:val="nil"/>
              <w:right w:val="nil"/>
            </w:tcBorders>
            <w:vAlign w:val="center"/>
          </w:tcPr>
          <w:p w14:paraId="08718884">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nil"/>
              <w:right w:val="nil"/>
            </w:tcBorders>
            <w:vAlign w:val="center"/>
          </w:tcPr>
          <w:p w14:paraId="068EE0A9">
            <w:pPr>
              <w:widowControl/>
              <w:spacing w:line="240" w:lineRule="auto"/>
              <w:ind w:firstLine="0" w:firstLineChars="0"/>
              <w:jc w:val="center"/>
              <w:rPr>
                <w:rFonts w:eastAsia="Times New Roman" w:cs="Times New Roman"/>
                <w:b/>
                <w:bCs/>
                <w:i/>
                <w:iCs/>
                <w:color w:val="000000"/>
                <w:sz w:val="20"/>
                <w:szCs w:val="20"/>
              </w:rPr>
            </w:pPr>
            <w:r>
              <w:rPr>
                <w:rFonts w:eastAsia="Times New Roman" w:cs="Times New Roman"/>
                <w:b/>
                <w:bCs/>
                <w:i/>
                <w:iCs/>
                <w:color w:val="000000"/>
                <w:sz w:val="20"/>
                <w:szCs w:val="20"/>
              </w:rPr>
              <w:t>C</w:t>
            </w:r>
            <w:r>
              <w:rPr>
                <w:rFonts w:eastAsia="Times New Roman" w:cs="Times New Roman"/>
                <w:b/>
                <w:bCs/>
                <w:color w:val="000000"/>
                <w:sz w:val="20"/>
                <w:szCs w:val="20"/>
              </w:rPr>
              <w:t xml:space="preserve"> (mg·g</w:t>
            </w:r>
            <w:r>
              <w:rPr>
                <w:rFonts w:hint="default" w:ascii="Times New Roman" w:hAnsi="Times New Roman" w:cs="Times New Roman"/>
                <w:b/>
                <w:bCs/>
                <w:sz w:val="20"/>
                <w:szCs w:val="20"/>
                <w:vertAlign w:val="superscript"/>
                <w:lang w:val="en-US" w:eastAsia="zh-CN"/>
              </w:rPr>
              <w:t>−</w:t>
            </w:r>
            <w:r>
              <w:rPr>
                <w:rFonts w:eastAsia="Times New Roman" w:cs="Times New Roman"/>
                <w:b/>
                <w:bCs/>
                <w:color w:val="000000"/>
                <w:sz w:val="20"/>
                <w:szCs w:val="20"/>
                <w:vertAlign w:val="superscript"/>
              </w:rPr>
              <w:t>1</w:t>
            </w:r>
            <w:r>
              <w:rPr>
                <w:rFonts w:eastAsia="Times New Roman" w:cs="Times New Roman"/>
                <w:b/>
                <w:bCs/>
                <w:color w:val="000000"/>
                <w:sz w:val="20"/>
                <w:szCs w:val="20"/>
              </w:rPr>
              <w:t>)</w:t>
            </w:r>
          </w:p>
        </w:tc>
        <w:tc>
          <w:tcPr>
            <w:tcW w:w="2005" w:type="dxa"/>
            <w:tcBorders>
              <w:top w:val="nil"/>
              <w:left w:val="nil"/>
              <w:bottom w:val="nil"/>
              <w:right w:val="nil"/>
            </w:tcBorders>
            <w:noWrap/>
            <w:vAlign w:val="center"/>
          </w:tcPr>
          <w:p w14:paraId="324D696B">
            <w:pPr>
              <w:widowControl/>
              <w:spacing w:line="240" w:lineRule="auto"/>
              <w:ind w:firstLine="0" w:firstLineChars="0"/>
              <w:jc w:val="center"/>
              <w:rPr>
                <w:rFonts w:eastAsia="Times New Roman" w:cs="Times New Roman"/>
                <w:color w:val="000000"/>
              </w:rPr>
            </w:pPr>
            <w:r>
              <w:rPr>
                <w:rFonts w:eastAsia="Times New Roman" w:cs="Times New Roman"/>
                <w:color w:val="000000"/>
              </w:rPr>
              <w:t>234.17</w:t>
            </w:r>
          </w:p>
        </w:tc>
        <w:tc>
          <w:tcPr>
            <w:tcW w:w="2005" w:type="dxa"/>
            <w:tcBorders>
              <w:top w:val="nil"/>
              <w:left w:val="nil"/>
              <w:bottom w:val="nil"/>
              <w:right w:val="nil"/>
            </w:tcBorders>
            <w:noWrap/>
            <w:vAlign w:val="center"/>
          </w:tcPr>
          <w:p w14:paraId="5ED20649">
            <w:pPr>
              <w:widowControl/>
              <w:spacing w:line="240" w:lineRule="auto"/>
              <w:ind w:firstLine="0" w:firstLineChars="0"/>
              <w:jc w:val="center"/>
              <w:rPr>
                <w:rFonts w:eastAsia="Times New Roman" w:cs="Times New Roman"/>
                <w:color w:val="000000"/>
              </w:rPr>
            </w:pPr>
            <w:r>
              <w:rPr>
                <w:rFonts w:eastAsia="Times New Roman" w:cs="Times New Roman"/>
                <w:color w:val="000000"/>
              </w:rPr>
              <w:t>238.67</w:t>
            </w:r>
          </w:p>
        </w:tc>
        <w:tc>
          <w:tcPr>
            <w:tcW w:w="2005" w:type="dxa"/>
            <w:tcBorders>
              <w:top w:val="nil"/>
              <w:left w:val="nil"/>
              <w:bottom w:val="nil"/>
              <w:right w:val="nil"/>
            </w:tcBorders>
            <w:noWrap/>
            <w:vAlign w:val="center"/>
          </w:tcPr>
          <w:p w14:paraId="3A48053F">
            <w:pPr>
              <w:widowControl/>
              <w:spacing w:line="240" w:lineRule="auto"/>
              <w:ind w:firstLine="0" w:firstLineChars="0"/>
              <w:jc w:val="center"/>
              <w:rPr>
                <w:rFonts w:eastAsia="Times New Roman" w:cs="Times New Roman"/>
                <w:color w:val="000000"/>
              </w:rPr>
            </w:pPr>
            <w:r>
              <w:rPr>
                <w:rFonts w:eastAsia="Times New Roman" w:cs="Times New Roman"/>
                <w:color w:val="000000"/>
              </w:rPr>
              <w:t>24.58</w:t>
            </w:r>
          </w:p>
        </w:tc>
        <w:tc>
          <w:tcPr>
            <w:tcW w:w="2005" w:type="dxa"/>
            <w:tcBorders>
              <w:top w:val="nil"/>
              <w:left w:val="nil"/>
              <w:bottom w:val="nil"/>
              <w:right w:val="nil"/>
            </w:tcBorders>
            <w:noWrap/>
            <w:vAlign w:val="center"/>
          </w:tcPr>
          <w:p w14:paraId="77FE1CD9">
            <w:pPr>
              <w:widowControl/>
              <w:spacing w:line="240" w:lineRule="auto"/>
              <w:ind w:firstLine="0" w:firstLineChars="0"/>
              <w:jc w:val="center"/>
              <w:rPr>
                <w:rFonts w:eastAsia="Times New Roman" w:cs="Times New Roman"/>
                <w:color w:val="000000"/>
              </w:rPr>
            </w:pPr>
            <w:r>
              <w:rPr>
                <w:rFonts w:eastAsia="Times New Roman" w:cs="Times New Roman"/>
                <w:color w:val="000000"/>
              </w:rPr>
              <w:t>24.70</w:t>
            </w:r>
          </w:p>
        </w:tc>
      </w:tr>
      <w:tr w14:paraId="61BBABB9">
        <w:tblPrEx>
          <w:tblCellMar>
            <w:top w:w="0" w:type="dxa"/>
            <w:left w:w="108" w:type="dxa"/>
            <w:bottom w:w="0" w:type="dxa"/>
            <w:right w:w="108" w:type="dxa"/>
          </w:tblCellMar>
        </w:tblPrEx>
        <w:trPr>
          <w:trHeight w:val="350" w:hRule="atLeast"/>
        </w:trPr>
        <w:tc>
          <w:tcPr>
            <w:tcW w:w="3891" w:type="dxa"/>
            <w:vMerge w:val="continue"/>
            <w:tcBorders>
              <w:top w:val="nil"/>
              <w:left w:val="nil"/>
              <w:bottom w:val="single" w:color="auto" w:sz="12" w:space="0"/>
              <w:right w:val="nil"/>
            </w:tcBorders>
            <w:vAlign w:val="center"/>
          </w:tcPr>
          <w:p w14:paraId="6EB6D858">
            <w:pPr>
              <w:widowControl/>
              <w:spacing w:line="240" w:lineRule="auto"/>
              <w:ind w:firstLine="0" w:firstLineChars="0"/>
              <w:jc w:val="center"/>
              <w:rPr>
                <w:rFonts w:eastAsia="Times New Roman" w:cs="Times New Roman"/>
                <w:b/>
                <w:bCs/>
                <w:color w:val="000000"/>
                <w:szCs w:val="24"/>
              </w:rPr>
            </w:pPr>
          </w:p>
        </w:tc>
        <w:tc>
          <w:tcPr>
            <w:tcW w:w="1767" w:type="dxa"/>
            <w:tcBorders>
              <w:top w:val="nil"/>
              <w:left w:val="nil"/>
              <w:bottom w:val="single" w:color="auto" w:sz="12" w:space="0"/>
              <w:right w:val="nil"/>
            </w:tcBorders>
            <w:vAlign w:val="center"/>
          </w:tcPr>
          <w:p w14:paraId="7796A924">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color w:val="000000"/>
                <w:szCs w:val="24"/>
                <w:vertAlign w:val="subscript"/>
              </w:rPr>
              <w:t>adj</w:t>
            </w:r>
            <w:r>
              <w:rPr>
                <w:rFonts w:eastAsia="Times New Roman" w:cs="Times New Roman"/>
                <w:b/>
                <w:bCs/>
                <w:color w:val="000000"/>
                <w:szCs w:val="24"/>
                <w:vertAlign w:val="superscript"/>
              </w:rPr>
              <w:t>2</w:t>
            </w:r>
          </w:p>
        </w:tc>
        <w:tc>
          <w:tcPr>
            <w:tcW w:w="2005" w:type="dxa"/>
            <w:tcBorders>
              <w:top w:val="nil"/>
              <w:left w:val="nil"/>
              <w:bottom w:val="single" w:color="auto" w:sz="12" w:space="0"/>
              <w:right w:val="nil"/>
            </w:tcBorders>
            <w:noWrap/>
            <w:vAlign w:val="center"/>
          </w:tcPr>
          <w:p w14:paraId="69E3CFF9">
            <w:pPr>
              <w:widowControl/>
              <w:spacing w:line="240" w:lineRule="auto"/>
              <w:ind w:firstLine="0" w:firstLineChars="0"/>
              <w:jc w:val="center"/>
              <w:rPr>
                <w:rFonts w:eastAsia="Times New Roman" w:cs="Times New Roman"/>
                <w:color w:val="000000"/>
              </w:rPr>
            </w:pPr>
            <w:r>
              <w:rPr>
                <w:rFonts w:eastAsia="Times New Roman" w:cs="Times New Roman"/>
                <w:color w:val="000000"/>
              </w:rPr>
              <w:t>0.94</w:t>
            </w:r>
          </w:p>
        </w:tc>
        <w:tc>
          <w:tcPr>
            <w:tcW w:w="2005" w:type="dxa"/>
            <w:tcBorders>
              <w:top w:val="nil"/>
              <w:left w:val="nil"/>
              <w:bottom w:val="single" w:color="auto" w:sz="12" w:space="0"/>
              <w:right w:val="nil"/>
            </w:tcBorders>
            <w:noWrap/>
            <w:vAlign w:val="center"/>
          </w:tcPr>
          <w:p w14:paraId="63AE7413">
            <w:pPr>
              <w:widowControl/>
              <w:spacing w:line="240" w:lineRule="auto"/>
              <w:ind w:firstLine="0" w:firstLineChars="0"/>
              <w:jc w:val="center"/>
              <w:rPr>
                <w:rFonts w:eastAsia="Times New Roman" w:cs="Times New Roman"/>
                <w:color w:val="000000"/>
              </w:rPr>
            </w:pPr>
            <w:r>
              <w:rPr>
                <w:rFonts w:eastAsia="Times New Roman" w:cs="Times New Roman"/>
                <w:color w:val="000000"/>
              </w:rPr>
              <w:t>0.67429</w:t>
            </w:r>
          </w:p>
        </w:tc>
        <w:tc>
          <w:tcPr>
            <w:tcW w:w="2005" w:type="dxa"/>
            <w:tcBorders>
              <w:top w:val="nil"/>
              <w:left w:val="nil"/>
              <w:bottom w:val="single" w:color="auto" w:sz="12" w:space="0"/>
              <w:right w:val="nil"/>
            </w:tcBorders>
            <w:noWrap/>
            <w:vAlign w:val="center"/>
          </w:tcPr>
          <w:p w14:paraId="36A7D6F8">
            <w:pPr>
              <w:widowControl/>
              <w:spacing w:line="240" w:lineRule="auto"/>
              <w:ind w:firstLine="0" w:firstLineChars="0"/>
              <w:jc w:val="center"/>
              <w:rPr>
                <w:rFonts w:eastAsia="Times New Roman" w:cs="Times New Roman"/>
                <w:color w:val="000000"/>
              </w:rPr>
            </w:pPr>
            <w:r>
              <w:rPr>
                <w:rFonts w:eastAsia="Times New Roman" w:cs="Times New Roman"/>
                <w:color w:val="000000"/>
              </w:rPr>
              <w:t>0.97946</w:t>
            </w:r>
          </w:p>
        </w:tc>
        <w:tc>
          <w:tcPr>
            <w:tcW w:w="2005" w:type="dxa"/>
            <w:tcBorders>
              <w:top w:val="nil"/>
              <w:left w:val="nil"/>
              <w:bottom w:val="single" w:color="auto" w:sz="12" w:space="0"/>
              <w:right w:val="nil"/>
            </w:tcBorders>
            <w:noWrap/>
            <w:vAlign w:val="center"/>
          </w:tcPr>
          <w:p w14:paraId="5FEEA84E">
            <w:pPr>
              <w:widowControl/>
              <w:spacing w:line="240" w:lineRule="auto"/>
              <w:ind w:firstLine="0" w:firstLineChars="0"/>
              <w:jc w:val="center"/>
              <w:rPr>
                <w:rFonts w:eastAsia="Times New Roman" w:cs="Times New Roman"/>
                <w:color w:val="000000"/>
              </w:rPr>
            </w:pPr>
            <w:r>
              <w:rPr>
                <w:rFonts w:eastAsia="Times New Roman" w:cs="Times New Roman"/>
                <w:color w:val="000000"/>
              </w:rPr>
              <w:t>0.9989</w:t>
            </w:r>
          </w:p>
        </w:tc>
      </w:tr>
      <w:bookmarkEnd w:id="16"/>
      <w:bookmarkEnd w:id="17"/>
    </w:tbl>
    <w:p w14:paraId="77B7CDEB">
      <w:pPr>
        <w:ind w:firstLine="480"/>
        <w:rPr>
          <w:rFonts w:cs="Times New Roman"/>
        </w:rPr>
      </w:pPr>
    </w:p>
    <w:p w14:paraId="616397EC">
      <w:pPr>
        <w:ind w:firstLine="480"/>
        <w:rPr>
          <w:rFonts w:cs="Times New Roman"/>
        </w:rPr>
      </w:pPr>
      <w:r>
        <w:rPr>
          <w:rFonts w:cs="Times New Roman"/>
        </w:rPr>
        <w:br w:type="page"/>
      </w:r>
    </w:p>
    <w:p w14:paraId="44C813C6">
      <w:pPr>
        <w:ind w:firstLine="480"/>
        <w:rPr>
          <w:rFonts w:cs="Times New Roman"/>
        </w:rPr>
        <w:sectPr>
          <w:pgSz w:w="16838" w:h="11906" w:orient="landscape"/>
          <w:pgMar w:top="1440" w:right="1440" w:bottom="1440" w:left="1440" w:header="851" w:footer="992" w:gutter="0"/>
          <w:cols w:space="720" w:num="1"/>
          <w:docGrid w:linePitch="299" w:charSpace="0"/>
        </w:sectPr>
      </w:pPr>
    </w:p>
    <w:p w14:paraId="4AAB6101">
      <w:pPr>
        <w:pStyle w:val="2"/>
        <w:rPr>
          <w:rFonts w:cs="Times New Roman"/>
        </w:rPr>
      </w:pPr>
      <w:bookmarkStart w:id="18" w:name="_Toc228301083"/>
      <w:r>
        <w:rPr>
          <w:b/>
        </w:rPr>
        <w:t>Table</w:t>
      </w:r>
      <w:r>
        <w:rPr>
          <w:rStyle w:val="27"/>
          <w:rFonts w:cs="Times New Roman"/>
          <w:b/>
        </w:rPr>
        <w:t xml:space="preserve"> S4</w:t>
      </w:r>
      <w:r>
        <w:rPr>
          <w:rStyle w:val="27"/>
          <w:rFonts w:cs="Times New Roman"/>
        </w:rPr>
        <w:t xml:space="preserve"> Fitting results of sorption of FL sorption on different PVC MPs by FM, LM and DRM</w:t>
      </w:r>
      <w:bookmarkEnd w:id="18"/>
      <w:r>
        <w:rPr>
          <w:rFonts w:cs="Times New Roman"/>
        </w:rPr>
        <w:t xml:space="preserve"> </w:t>
      </w:r>
    </w:p>
    <w:tbl>
      <w:tblPr>
        <w:tblStyle w:val="21"/>
        <w:tblpPr w:leftFromText="180" w:rightFromText="180" w:vertAnchor="text" w:tblpX="142" w:tblpY="1"/>
        <w:tblOverlap w:val="never"/>
        <w:tblW w:w="13894" w:type="dxa"/>
        <w:tblInd w:w="0" w:type="dxa"/>
        <w:tblLayout w:type="autofit"/>
        <w:tblCellMar>
          <w:top w:w="0" w:type="dxa"/>
          <w:left w:w="108" w:type="dxa"/>
          <w:bottom w:w="0" w:type="dxa"/>
          <w:right w:w="108" w:type="dxa"/>
        </w:tblCellMar>
      </w:tblPr>
      <w:tblGrid>
        <w:gridCol w:w="1839"/>
        <w:gridCol w:w="969"/>
        <w:gridCol w:w="844"/>
        <w:gridCol w:w="1125"/>
        <w:gridCol w:w="1405"/>
        <w:gridCol w:w="1125"/>
        <w:gridCol w:w="875"/>
        <w:gridCol w:w="1640"/>
        <w:gridCol w:w="1660"/>
        <w:gridCol w:w="1582"/>
        <w:gridCol w:w="894"/>
      </w:tblGrid>
      <w:tr w14:paraId="306DBFD3">
        <w:tblPrEx>
          <w:tblCellMar>
            <w:top w:w="0" w:type="dxa"/>
            <w:left w:w="108" w:type="dxa"/>
            <w:bottom w:w="0" w:type="dxa"/>
            <w:right w:w="108" w:type="dxa"/>
          </w:tblCellMar>
        </w:tblPrEx>
        <w:trPr>
          <w:trHeight w:val="679" w:hRule="atLeast"/>
        </w:trPr>
        <w:tc>
          <w:tcPr>
            <w:tcW w:w="1843" w:type="dxa"/>
            <w:vMerge w:val="restart"/>
            <w:tcBorders>
              <w:top w:val="single" w:color="000000" w:sz="12" w:space="0"/>
              <w:left w:val="nil"/>
              <w:bottom w:val="single" w:color="000000" w:sz="8" w:space="0"/>
              <w:right w:val="nil"/>
            </w:tcBorders>
            <w:vAlign w:val="center"/>
          </w:tcPr>
          <w:p w14:paraId="2BB5478B">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MPs</w:t>
            </w:r>
          </w:p>
        </w:tc>
        <w:tc>
          <w:tcPr>
            <w:tcW w:w="1816" w:type="dxa"/>
            <w:gridSpan w:val="2"/>
            <w:vMerge w:val="restart"/>
            <w:tcBorders>
              <w:top w:val="single" w:color="000000" w:sz="12" w:space="0"/>
              <w:left w:val="nil"/>
              <w:bottom w:val="single" w:color="000000" w:sz="8" w:space="0"/>
              <w:right w:val="nil"/>
            </w:tcBorders>
            <w:vAlign w:val="center"/>
          </w:tcPr>
          <w:p w14:paraId="648673B7">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FM fitting parameters</w:t>
            </w:r>
          </w:p>
        </w:tc>
        <w:tc>
          <w:tcPr>
            <w:tcW w:w="1126" w:type="dxa"/>
            <w:vMerge w:val="restart"/>
            <w:tcBorders>
              <w:top w:val="single" w:color="000000" w:sz="12" w:space="0"/>
              <w:left w:val="nil"/>
              <w:bottom w:val="single" w:color="000000" w:sz="8" w:space="0"/>
              <w:right w:val="nil"/>
            </w:tcBorders>
            <w:vAlign w:val="center"/>
          </w:tcPr>
          <w:p w14:paraId="1512139E">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i w:val="0"/>
                <w:iCs w:val="0"/>
                <w:color w:val="000000"/>
                <w:szCs w:val="24"/>
                <w:vertAlign w:val="subscript"/>
              </w:rPr>
              <w:t>adj</w:t>
            </w:r>
            <w:r>
              <w:rPr>
                <w:rFonts w:eastAsia="Times New Roman" w:cs="Times New Roman"/>
                <w:b/>
                <w:bCs/>
                <w:i w:val="0"/>
                <w:iCs w:val="0"/>
                <w:color w:val="000000"/>
                <w:szCs w:val="24"/>
                <w:vertAlign w:val="superscript"/>
              </w:rPr>
              <w:t>2</w:t>
            </w:r>
          </w:p>
        </w:tc>
        <w:tc>
          <w:tcPr>
            <w:tcW w:w="2533" w:type="dxa"/>
            <w:gridSpan w:val="2"/>
            <w:tcBorders>
              <w:top w:val="single" w:color="000000" w:sz="12" w:space="0"/>
              <w:left w:val="nil"/>
              <w:bottom w:val="nil"/>
              <w:right w:val="nil"/>
            </w:tcBorders>
            <w:vAlign w:val="center"/>
          </w:tcPr>
          <w:p w14:paraId="71874998">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LM fitting</w:t>
            </w:r>
          </w:p>
        </w:tc>
        <w:tc>
          <w:tcPr>
            <w:tcW w:w="821" w:type="dxa"/>
            <w:vMerge w:val="restart"/>
            <w:tcBorders>
              <w:top w:val="single" w:color="000000" w:sz="12" w:space="0"/>
              <w:left w:val="nil"/>
              <w:bottom w:val="single" w:color="000000" w:sz="8" w:space="0"/>
              <w:right w:val="nil"/>
            </w:tcBorders>
            <w:vAlign w:val="center"/>
          </w:tcPr>
          <w:p w14:paraId="6E1F4B12">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i w:val="0"/>
                <w:iCs w:val="0"/>
                <w:color w:val="000000"/>
                <w:szCs w:val="24"/>
                <w:vertAlign w:val="subscript"/>
              </w:rPr>
              <w:t>adj</w:t>
            </w:r>
            <w:r>
              <w:rPr>
                <w:rFonts w:eastAsia="Times New Roman" w:cs="Times New Roman"/>
                <w:b/>
                <w:bCs/>
                <w:i w:val="0"/>
                <w:iCs w:val="0"/>
                <w:color w:val="000000"/>
                <w:szCs w:val="24"/>
                <w:vertAlign w:val="superscript"/>
              </w:rPr>
              <w:t>2</w:t>
            </w:r>
          </w:p>
        </w:tc>
        <w:tc>
          <w:tcPr>
            <w:tcW w:w="4860" w:type="dxa"/>
            <w:gridSpan w:val="3"/>
            <w:tcBorders>
              <w:top w:val="single" w:color="000000" w:sz="12" w:space="0"/>
              <w:left w:val="nil"/>
              <w:bottom w:val="single" w:color="000000" w:sz="4" w:space="0"/>
              <w:right w:val="nil"/>
            </w:tcBorders>
            <w:vAlign w:val="center"/>
          </w:tcPr>
          <w:p w14:paraId="418FDF4F">
            <w:pPr>
              <w:widowControl/>
              <w:spacing w:line="240" w:lineRule="auto"/>
              <w:ind w:firstLine="0" w:firstLineChars="0"/>
              <w:jc w:val="center"/>
              <w:rPr>
                <w:rFonts w:eastAsia="Times New Roman" w:cs="Times New Roman"/>
                <w:b/>
                <w:color w:val="000000"/>
                <w:szCs w:val="24"/>
              </w:rPr>
            </w:pPr>
            <w:r>
              <w:rPr>
                <w:rFonts w:eastAsia="Times New Roman" w:cs="Times New Roman"/>
                <w:b/>
                <w:color w:val="000000"/>
                <w:szCs w:val="24"/>
              </w:rPr>
              <w:t>DRM fitting parameters</w:t>
            </w:r>
          </w:p>
        </w:tc>
        <w:tc>
          <w:tcPr>
            <w:tcW w:w="895" w:type="dxa"/>
            <w:vMerge w:val="restart"/>
            <w:tcBorders>
              <w:top w:val="single" w:color="000000" w:sz="12" w:space="0"/>
              <w:left w:val="nil"/>
              <w:right w:val="nil"/>
            </w:tcBorders>
            <w:vAlign w:val="center"/>
          </w:tcPr>
          <w:p w14:paraId="4776B796">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r</w:t>
            </w:r>
            <w:r>
              <w:rPr>
                <w:rFonts w:eastAsia="Times New Roman" w:cs="Times New Roman"/>
                <w:b/>
                <w:bCs/>
                <w:i w:val="0"/>
                <w:iCs w:val="0"/>
                <w:color w:val="000000"/>
                <w:szCs w:val="24"/>
                <w:vertAlign w:val="subscript"/>
              </w:rPr>
              <w:t>adj</w:t>
            </w:r>
            <w:r>
              <w:rPr>
                <w:rFonts w:eastAsia="Times New Roman" w:cs="Times New Roman"/>
                <w:b/>
                <w:bCs/>
                <w:i w:val="0"/>
                <w:iCs w:val="0"/>
                <w:color w:val="000000"/>
                <w:szCs w:val="24"/>
                <w:vertAlign w:val="superscript"/>
              </w:rPr>
              <w:t>2</w:t>
            </w:r>
          </w:p>
        </w:tc>
      </w:tr>
      <w:tr w14:paraId="368D6547">
        <w:tblPrEx>
          <w:tblCellMar>
            <w:top w:w="0" w:type="dxa"/>
            <w:left w:w="108" w:type="dxa"/>
            <w:bottom w:w="0" w:type="dxa"/>
            <w:right w:w="108" w:type="dxa"/>
          </w:tblCellMar>
        </w:tblPrEx>
        <w:trPr>
          <w:trHeight w:val="402" w:hRule="atLeast"/>
        </w:trPr>
        <w:tc>
          <w:tcPr>
            <w:tcW w:w="1843" w:type="dxa"/>
            <w:vMerge w:val="continue"/>
            <w:tcBorders>
              <w:top w:val="single" w:color="auto" w:sz="12" w:space="0"/>
              <w:left w:val="nil"/>
              <w:bottom w:val="single" w:color="000000" w:sz="8" w:space="0"/>
              <w:right w:val="nil"/>
            </w:tcBorders>
            <w:vAlign w:val="center"/>
          </w:tcPr>
          <w:p w14:paraId="7D64BC51">
            <w:pPr>
              <w:widowControl/>
              <w:spacing w:line="240" w:lineRule="auto"/>
              <w:ind w:firstLine="0" w:firstLineChars="0"/>
              <w:jc w:val="center"/>
              <w:rPr>
                <w:rFonts w:eastAsia="Times New Roman" w:cs="Times New Roman"/>
                <w:b/>
                <w:bCs/>
                <w:color w:val="000000"/>
                <w:szCs w:val="24"/>
              </w:rPr>
            </w:pPr>
          </w:p>
        </w:tc>
        <w:tc>
          <w:tcPr>
            <w:tcW w:w="1816" w:type="dxa"/>
            <w:gridSpan w:val="2"/>
            <w:vMerge w:val="continue"/>
            <w:tcBorders>
              <w:top w:val="single" w:color="auto" w:sz="12" w:space="0"/>
              <w:left w:val="nil"/>
              <w:bottom w:val="single" w:color="000000" w:sz="4" w:space="0"/>
              <w:right w:val="nil"/>
            </w:tcBorders>
            <w:vAlign w:val="center"/>
          </w:tcPr>
          <w:p w14:paraId="1C99783F">
            <w:pPr>
              <w:widowControl/>
              <w:spacing w:line="240" w:lineRule="auto"/>
              <w:ind w:firstLine="0" w:firstLineChars="0"/>
              <w:jc w:val="center"/>
              <w:rPr>
                <w:rFonts w:eastAsia="Times New Roman" w:cs="Times New Roman"/>
                <w:b/>
                <w:bCs/>
                <w:color w:val="000000"/>
                <w:szCs w:val="24"/>
              </w:rPr>
            </w:pPr>
          </w:p>
        </w:tc>
        <w:tc>
          <w:tcPr>
            <w:tcW w:w="1126" w:type="dxa"/>
            <w:vMerge w:val="continue"/>
            <w:tcBorders>
              <w:top w:val="single" w:color="auto" w:sz="12" w:space="0"/>
              <w:left w:val="nil"/>
              <w:bottom w:val="single" w:color="000000" w:sz="8" w:space="0"/>
              <w:right w:val="nil"/>
            </w:tcBorders>
            <w:vAlign w:val="center"/>
          </w:tcPr>
          <w:p w14:paraId="46A6D670">
            <w:pPr>
              <w:widowControl/>
              <w:spacing w:line="240" w:lineRule="auto"/>
              <w:ind w:firstLine="0" w:firstLineChars="0"/>
              <w:jc w:val="center"/>
              <w:rPr>
                <w:rFonts w:eastAsia="Times New Roman" w:cs="Times New Roman"/>
                <w:b/>
                <w:bCs/>
                <w:i/>
                <w:iCs/>
                <w:color w:val="000000"/>
                <w:szCs w:val="24"/>
              </w:rPr>
            </w:pPr>
          </w:p>
        </w:tc>
        <w:tc>
          <w:tcPr>
            <w:tcW w:w="2533" w:type="dxa"/>
            <w:gridSpan w:val="2"/>
            <w:tcBorders>
              <w:top w:val="nil"/>
              <w:left w:val="nil"/>
              <w:bottom w:val="single" w:color="000000" w:sz="4" w:space="0"/>
              <w:right w:val="nil"/>
            </w:tcBorders>
            <w:vAlign w:val="center"/>
          </w:tcPr>
          <w:p w14:paraId="097D6075">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parameters</w:t>
            </w:r>
          </w:p>
        </w:tc>
        <w:tc>
          <w:tcPr>
            <w:tcW w:w="821" w:type="dxa"/>
            <w:vMerge w:val="continue"/>
            <w:tcBorders>
              <w:top w:val="single" w:color="auto" w:sz="12" w:space="0"/>
              <w:left w:val="nil"/>
              <w:bottom w:val="single" w:color="000000" w:sz="8" w:space="0"/>
              <w:right w:val="nil"/>
            </w:tcBorders>
            <w:vAlign w:val="center"/>
          </w:tcPr>
          <w:p w14:paraId="29EA0CD9">
            <w:pPr>
              <w:widowControl/>
              <w:spacing w:line="240" w:lineRule="auto"/>
              <w:ind w:firstLine="0" w:firstLineChars="0"/>
              <w:jc w:val="center"/>
              <w:rPr>
                <w:rFonts w:eastAsia="Times New Roman" w:cs="Times New Roman"/>
                <w:b/>
                <w:bCs/>
                <w:i/>
                <w:iCs/>
                <w:color w:val="000000"/>
                <w:szCs w:val="24"/>
              </w:rPr>
            </w:pPr>
          </w:p>
        </w:tc>
        <w:tc>
          <w:tcPr>
            <w:tcW w:w="1642" w:type="dxa"/>
            <w:tcBorders>
              <w:top w:val="single" w:color="000000" w:sz="4" w:space="0"/>
              <w:left w:val="nil"/>
              <w:bottom w:val="nil"/>
              <w:right w:val="nil"/>
            </w:tcBorders>
            <w:vAlign w:val="center"/>
          </w:tcPr>
          <w:p w14:paraId="12FB97FB">
            <w:pPr>
              <w:widowControl/>
              <w:spacing w:line="240" w:lineRule="auto"/>
              <w:ind w:firstLine="0" w:firstLineChars="0"/>
              <w:jc w:val="center"/>
              <w:rPr>
                <w:rFonts w:eastAsia="Times New Roman" w:cs="Times New Roman"/>
                <w:b/>
                <w:i/>
                <w:iCs/>
                <w:color w:val="000000"/>
                <w:szCs w:val="24"/>
              </w:rPr>
            </w:pPr>
            <w:r>
              <w:rPr>
                <w:rFonts w:eastAsia="Times New Roman" w:cs="Times New Roman"/>
                <w:b/>
                <w:i/>
                <w:iCs/>
                <w:color w:val="000000"/>
                <w:szCs w:val="24"/>
              </w:rPr>
              <w:t>Q</w:t>
            </w:r>
            <w:r>
              <w:rPr>
                <w:rFonts w:eastAsia="Times New Roman" w:cs="Times New Roman"/>
                <w:b/>
                <w:color w:val="000000"/>
                <w:szCs w:val="24"/>
                <w:vertAlign w:val="subscript"/>
              </w:rPr>
              <w:t>s</w:t>
            </w:r>
          </w:p>
        </w:tc>
        <w:tc>
          <w:tcPr>
            <w:tcW w:w="1637" w:type="dxa"/>
            <w:tcBorders>
              <w:top w:val="single" w:color="000000" w:sz="4" w:space="0"/>
              <w:left w:val="nil"/>
              <w:bottom w:val="nil"/>
              <w:right w:val="nil"/>
            </w:tcBorders>
            <w:vAlign w:val="center"/>
          </w:tcPr>
          <w:p w14:paraId="59024608">
            <w:pPr>
              <w:widowControl/>
              <w:spacing w:line="240" w:lineRule="auto"/>
              <w:ind w:firstLine="0" w:firstLineChars="0"/>
              <w:jc w:val="center"/>
              <w:rPr>
                <w:rFonts w:eastAsia="Times New Roman" w:cs="Times New Roman"/>
                <w:b/>
                <w:color w:val="000000"/>
                <w:szCs w:val="24"/>
              </w:rPr>
            </w:pPr>
            <w:r>
              <w:rPr>
                <w:rFonts w:eastAsia="Times New Roman" w:cs="Times New Roman"/>
                <w:b/>
                <w:color w:val="000000"/>
                <w:szCs w:val="24"/>
              </w:rPr>
              <w:t>β</w:t>
            </w:r>
          </w:p>
        </w:tc>
        <w:tc>
          <w:tcPr>
            <w:tcW w:w="1581" w:type="dxa"/>
            <w:tcBorders>
              <w:top w:val="single" w:color="000000" w:sz="4" w:space="0"/>
              <w:left w:val="nil"/>
              <w:bottom w:val="nil"/>
              <w:right w:val="nil"/>
            </w:tcBorders>
            <w:vAlign w:val="center"/>
          </w:tcPr>
          <w:p w14:paraId="4745968B">
            <w:pPr>
              <w:widowControl/>
              <w:spacing w:line="240" w:lineRule="auto"/>
              <w:ind w:firstLine="0" w:firstLineChars="0"/>
              <w:jc w:val="center"/>
              <w:rPr>
                <w:rFonts w:eastAsia="Times New Roman" w:cs="Times New Roman"/>
                <w:b/>
                <w:color w:val="000000"/>
                <w:szCs w:val="24"/>
              </w:rPr>
            </w:pPr>
            <w:r>
              <w:rPr>
                <w:rFonts w:eastAsia="Times New Roman" w:cs="Times New Roman"/>
                <w:b/>
                <w:color w:val="000000"/>
                <w:szCs w:val="24"/>
              </w:rPr>
              <w:t>E</w:t>
            </w:r>
          </w:p>
        </w:tc>
        <w:tc>
          <w:tcPr>
            <w:tcW w:w="895" w:type="dxa"/>
            <w:vMerge w:val="continue"/>
            <w:tcBorders>
              <w:left w:val="nil"/>
            </w:tcBorders>
            <w:vAlign w:val="center"/>
          </w:tcPr>
          <w:p w14:paraId="53AD3314">
            <w:pPr>
              <w:widowControl/>
              <w:spacing w:line="240" w:lineRule="auto"/>
              <w:ind w:firstLine="0" w:firstLineChars="0"/>
              <w:jc w:val="center"/>
              <w:rPr>
                <w:rFonts w:eastAsia="Times New Roman" w:cs="Times New Roman"/>
                <w:b/>
                <w:bCs/>
                <w:i/>
                <w:iCs/>
                <w:color w:val="000000"/>
                <w:szCs w:val="24"/>
              </w:rPr>
            </w:pPr>
          </w:p>
        </w:tc>
      </w:tr>
      <w:tr w14:paraId="6A7EB206">
        <w:tblPrEx>
          <w:tblCellMar>
            <w:top w:w="0" w:type="dxa"/>
            <w:left w:w="108" w:type="dxa"/>
            <w:bottom w:w="0" w:type="dxa"/>
            <w:right w:w="108" w:type="dxa"/>
          </w:tblCellMar>
        </w:tblPrEx>
        <w:trPr>
          <w:trHeight w:val="402" w:hRule="atLeast"/>
        </w:trPr>
        <w:tc>
          <w:tcPr>
            <w:tcW w:w="1843" w:type="dxa"/>
            <w:vMerge w:val="continue"/>
            <w:tcBorders>
              <w:top w:val="single" w:color="auto" w:sz="12" w:space="0"/>
              <w:left w:val="nil"/>
              <w:bottom w:val="single" w:color="000000" w:sz="4" w:space="0"/>
              <w:right w:val="nil"/>
            </w:tcBorders>
            <w:vAlign w:val="center"/>
          </w:tcPr>
          <w:p w14:paraId="6973148E">
            <w:pPr>
              <w:widowControl/>
              <w:spacing w:line="240" w:lineRule="auto"/>
              <w:ind w:firstLine="0" w:firstLineChars="0"/>
              <w:jc w:val="center"/>
              <w:rPr>
                <w:rFonts w:eastAsia="Times New Roman" w:cs="Times New Roman"/>
                <w:b/>
                <w:bCs/>
                <w:color w:val="000000"/>
                <w:szCs w:val="24"/>
              </w:rPr>
            </w:pPr>
          </w:p>
        </w:tc>
        <w:tc>
          <w:tcPr>
            <w:tcW w:w="971" w:type="dxa"/>
            <w:tcBorders>
              <w:top w:val="single" w:color="000000" w:sz="4" w:space="0"/>
              <w:left w:val="nil"/>
              <w:bottom w:val="single" w:color="000000" w:sz="4" w:space="0"/>
              <w:right w:val="nil"/>
            </w:tcBorders>
            <w:vAlign w:val="center"/>
          </w:tcPr>
          <w:p w14:paraId="7EE87B86">
            <w:pPr>
              <w:widowControl/>
              <w:spacing w:line="240" w:lineRule="auto"/>
              <w:ind w:firstLine="0" w:firstLineChars="0"/>
              <w:jc w:val="center"/>
              <w:rPr>
                <w:rFonts w:eastAsia="Times New Roman" w:cs="Times New Roman"/>
                <w:b/>
                <w:bCs/>
                <w:i/>
                <w:iCs/>
                <w:color w:val="000000"/>
                <w:szCs w:val="24"/>
              </w:rPr>
            </w:pPr>
            <w:r>
              <w:rPr>
                <w:rFonts w:eastAsia="Times New Roman" w:cs="Times New Roman"/>
                <w:b/>
                <w:bCs/>
                <w:i/>
                <w:iCs/>
                <w:color w:val="000000"/>
                <w:szCs w:val="24"/>
              </w:rPr>
              <w:t>K</w:t>
            </w:r>
            <w:r>
              <w:rPr>
                <w:rFonts w:eastAsia="Times New Roman" w:cs="Times New Roman"/>
                <w:b/>
                <w:bCs/>
                <w:color w:val="000000"/>
                <w:szCs w:val="24"/>
                <w:vertAlign w:val="subscript"/>
              </w:rPr>
              <w:t>f</w:t>
            </w:r>
          </w:p>
        </w:tc>
        <w:tc>
          <w:tcPr>
            <w:tcW w:w="845" w:type="dxa"/>
            <w:tcBorders>
              <w:top w:val="single" w:color="000000" w:sz="4" w:space="0"/>
              <w:left w:val="nil"/>
              <w:bottom w:val="single" w:color="000000" w:sz="4" w:space="0"/>
              <w:right w:val="nil"/>
            </w:tcBorders>
            <w:vAlign w:val="center"/>
          </w:tcPr>
          <w:p w14:paraId="37D7D21F">
            <w:pPr>
              <w:widowControl/>
              <w:spacing w:line="240" w:lineRule="auto"/>
              <w:ind w:firstLine="0" w:firstLineChars="0"/>
              <w:jc w:val="center"/>
              <w:rPr>
                <w:rFonts w:eastAsia="Times New Roman" w:cs="Times New Roman"/>
                <w:b/>
                <w:bCs/>
                <w:color w:val="000000"/>
                <w:szCs w:val="24"/>
              </w:rPr>
            </w:pPr>
            <w:r>
              <w:rPr>
                <w:rFonts w:eastAsia="Times New Roman" w:cs="Times New Roman"/>
                <w:b/>
                <w:bCs/>
                <w:i/>
                <w:iCs/>
                <w:color w:val="000000"/>
                <w:szCs w:val="24"/>
              </w:rPr>
              <w:t>n</w:t>
            </w:r>
          </w:p>
        </w:tc>
        <w:tc>
          <w:tcPr>
            <w:tcW w:w="1126" w:type="dxa"/>
            <w:vMerge w:val="continue"/>
            <w:tcBorders>
              <w:top w:val="single" w:color="auto" w:sz="12" w:space="0"/>
              <w:left w:val="nil"/>
              <w:bottom w:val="single" w:color="000000" w:sz="4" w:space="0"/>
              <w:right w:val="nil"/>
            </w:tcBorders>
            <w:vAlign w:val="center"/>
          </w:tcPr>
          <w:p w14:paraId="6DA4AE46">
            <w:pPr>
              <w:widowControl/>
              <w:spacing w:line="240" w:lineRule="auto"/>
              <w:ind w:firstLine="0" w:firstLineChars="0"/>
              <w:jc w:val="center"/>
              <w:rPr>
                <w:rFonts w:eastAsia="Times New Roman" w:cs="Times New Roman"/>
                <w:b/>
                <w:bCs/>
                <w:i/>
                <w:iCs/>
                <w:color w:val="000000"/>
                <w:szCs w:val="24"/>
              </w:rPr>
            </w:pPr>
          </w:p>
        </w:tc>
        <w:tc>
          <w:tcPr>
            <w:tcW w:w="1407" w:type="dxa"/>
            <w:tcBorders>
              <w:top w:val="single" w:color="000000" w:sz="4" w:space="0"/>
              <w:left w:val="nil"/>
              <w:bottom w:val="single" w:color="000000" w:sz="4" w:space="0"/>
              <w:right w:val="nil"/>
            </w:tcBorders>
            <w:vAlign w:val="center"/>
          </w:tcPr>
          <w:p w14:paraId="61BEAA6A">
            <w:pPr>
              <w:widowControl/>
              <w:spacing w:line="240" w:lineRule="auto"/>
              <w:ind w:firstLine="0" w:firstLineChars="0"/>
              <w:jc w:val="center"/>
              <w:rPr>
                <w:rFonts w:eastAsia="Times New Roman" w:cs="Times New Roman"/>
                <w:b/>
                <w:bCs/>
                <w:i/>
                <w:iCs/>
                <w:color w:val="000000"/>
                <w:szCs w:val="24"/>
              </w:rPr>
            </w:pPr>
            <w:r>
              <w:rPr>
                <w:rFonts w:hint="eastAsia" w:cs="Times New Roman" w:eastAsiaTheme="minorEastAsia"/>
                <w:b/>
                <w:bCs/>
                <w:i/>
                <w:iCs/>
                <w:color w:val="000000"/>
                <w:szCs w:val="24"/>
              </w:rPr>
              <w:t>q</w:t>
            </w:r>
            <w:r>
              <w:rPr>
                <w:rFonts w:eastAsia="Times New Roman" w:cs="Times New Roman"/>
                <w:b/>
                <w:bCs/>
                <w:color w:val="000000"/>
                <w:szCs w:val="24"/>
                <w:vertAlign w:val="subscript"/>
              </w:rPr>
              <w:t>0</w:t>
            </w:r>
          </w:p>
        </w:tc>
        <w:tc>
          <w:tcPr>
            <w:tcW w:w="1126" w:type="dxa"/>
            <w:tcBorders>
              <w:top w:val="single" w:color="000000" w:sz="4" w:space="0"/>
              <w:left w:val="nil"/>
              <w:bottom w:val="single" w:color="000000" w:sz="4" w:space="0"/>
              <w:right w:val="nil"/>
            </w:tcBorders>
            <w:vAlign w:val="center"/>
          </w:tcPr>
          <w:p w14:paraId="6A9C8F6E">
            <w:pPr>
              <w:widowControl/>
              <w:spacing w:line="240" w:lineRule="auto"/>
              <w:ind w:firstLine="0" w:firstLineChars="0"/>
              <w:jc w:val="center"/>
              <w:rPr>
                <w:rFonts w:eastAsia="Times New Roman" w:cs="Times New Roman"/>
                <w:b/>
                <w:bCs/>
                <w:color w:val="000000"/>
                <w:szCs w:val="24"/>
              </w:rPr>
            </w:pPr>
            <w:r>
              <w:rPr>
                <w:rFonts w:eastAsia="Times New Roman" w:cs="Times New Roman"/>
                <w:b/>
                <w:bCs/>
                <w:color w:val="000000"/>
                <w:szCs w:val="24"/>
              </w:rPr>
              <w:t>1/b</w:t>
            </w:r>
          </w:p>
        </w:tc>
        <w:tc>
          <w:tcPr>
            <w:tcW w:w="821" w:type="dxa"/>
            <w:vMerge w:val="continue"/>
            <w:tcBorders>
              <w:top w:val="single" w:color="auto" w:sz="12" w:space="0"/>
              <w:left w:val="nil"/>
              <w:bottom w:val="single" w:color="000000" w:sz="4" w:space="0"/>
              <w:right w:val="nil"/>
            </w:tcBorders>
            <w:vAlign w:val="center"/>
          </w:tcPr>
          <w:p w14:paraId="13375085">
            <w:pPr>
              <w:widowControl/>
              <w:spacing w:line="240" w:lineRule="auto"/>
              <w:ind w:firstLine="0" w:firstLineChars="0"/>
              <w:jc w:val="center"/>
              <w:rPr>
                <w:rFonts w:eastAsia="Times New Roman" w:cs="Times New Roman"/>
                <w:b/>
                <w:bCs/>
                <w:i/>
                <w:iCs/>
                <w:color w:val="000000"/>
                <w:szCs w:val="24"/>
              </w:rPr>
            </w:pPr>
          </w:p>
        </w:tc>
        <w:tc>
          <w:tcPr>
            <w:tcW w:w="1642" w:type="dxa"/>
            <w:tcBorders>
              <w:top w:val="nil"/>
              <w:left w:val="nil"/>
              <w:bottom w:val="single" w:color="000000" w:sz="4" w:space="0"/>
              <w:right w:val="nil"/>
            </w:tcBorders>
            <w:vAlign w:val="center"/>
          </w:tcPr>
          <w:p w14:paraId="4C18C4D3">
            <w:pPr>
              <w:widowControl/>
              <w:spacing w:line="240" w:lineRule="auto"/>
              <w:ind w:firstLine="0" w:firstLineChars="0"/>
              <w:jc w:val="center"/>
              <w:rPr>
                <w:rFonts w:eastAsia="宋体" w:cs="Times New Roman"/>
                <w:b/>
                <w:color w:val="000000"/>
                <w:szCs w:val="24"/>
              </w:rPr>
            </w:pPr>
            <w:r>
              <w:rPr>
                <w:rFonts w:eastAsia="宋体" w:cs="Times New Roman"/>
                <w:b/>
                <w:color w:val="000000"/>
                <w:szCs w:val="24"/>
              </w:rPr>
              <w:t>（μmol·g</w:t>
            </w:r>
            <w:r>
              <w:rPr>
                <w:rFonts w:hint="default" w:ascii="Times New Roman" w:hAnsi="Times New Roman" w:cs="Times New Roman"/>
                <w:b/>
                <w:bCs/>
                <w:sz w:val="24"/>
                <w:szCs w:val="24"/>
                <w:vertAlign w:val="superscript"/>
                <w:lang w:val="en-US" w:eastAsia="zh-CN"/>
              </w:rPr>
              <w:t>−</w:t>
            </w:r>
            <w:r>
              <w:rPr>
                <w:rFonts w:eastAsia="宋体" w:cs="Times New Roman"/>
                <w:b/>
                <w:color w:val="000000"/>
                <w:szCs w:val="24"/>
                <w:vertAlign w:val="superscript"/>
              </w:rPr>
              <w:t>1</w:t>
            </w:r>
            <w:r>
              <w:rPr>
                <w:rFonts w:eastAsia="宋体" w:cs="Times New Roman"/>
                <w:b/>
                <w:color w:val="000000"/>
                <w:szCs w:val="24"/>
              </w:rPr>
              <w:t>）</w:t>
            </w:r>
          </w:p>
        </w:tc>
        <w:tc>
          <w:tcPr>
            <w:tcW w:w="1637" w:type="dxa"/>
            <w:tcBorders>
              <w:top w:val="nil"/>
              <w:left w:val="nil"/>
              <w:bottom w:val="single" w:color="000000" w:sz="4" w:space="0"/>
              <w:right w:val="nil"/>
            </w:tcBorders>
            <w:vAlign w:val="center"/>
          </w:tcPr>
          <w:p w14:paraId="6D43A991">
            <w:pPr>
              <w:widowControl/>
              <w:spacing w:line="240" w:lineRule="auto"/>
              <w:ind w:firstLine="0" w:firstLineChars="0"/>
              <w:jc w:val="center"/>
              <w:rPr>
                <w:rFonts w:eastAsia="宋体" w:cs="Times New Roman"/>
                <w:b/>
                <w:color w:val="000000"/>
                <w:szCs w:val="24"/>
              </w:rPr>
            </w:pPr>
            <w:r>
              <w:rPr>
                <w:rFonts w:eastAsia="宋体" w:cs="Times New Roman"/>
                <w:b/>
                <w:color w:val="000000"/>
                <w:szCs w:val="24"/>
              </w:rPr>
              <w:t>（mol</w:t>
            </w:r>
            <w:r>
              <w:rPr>
                <w:rFonts w:eastAsia="宋体" w:cs="Times New Roman"/>
                <w:b/>
                <w:color w:val="000000"/>
                <w:szCs w:val="24"/>
                <w:vertAlign w:val="superscript"/>
              </w:rPr>
              <w:t>2</w:t>
            </w:r>
            <w:r>
              <w:rPr>
                <w:rFonts w:eastAsia="宋体" w:cs="Times New Roman"/>
                <w:b/>
                <w:color w:val="000000"/>
                <w:szCs w:val="24"/>
              </w:rPr>
              <w:t>·kJ</w:t>
            </w:r>
            <w:r>
              <w:rPr>
                <w:rFonts w:hint="default" w:ascii="Times New Roman" w:hAnsi="Times New Roman" w:cs="Times New Roman"/>
                <w:b/>
                <w:bCs/>
                <w:sz w:val="24"/>
                <w:szCs w:val="24"/>
                <w:vertAlign w:val="superscript"/>
                <w:lang w:val="en-US" w:eastAsia="zh-CN"/>
              </w:rPr>
              <w:t>−</w:t>
            </w:r>
            <w:r>
              <w:rPr>
                <w:rFonts w:eastAsia="宋体" w:cs="Times New Roman"/>
                <w:b/>
                <w:color w:val="000000"/>
                <w:szCs w:val="24"/>
                <w:vertAlign w:val="superscript"/>
              </w:rPr>
              <w:t>2</w:t>
            </w:r>
            <w:r>
              <w:rPr>
                <w:rFonts w:eastAsia="宋体" w:cs="Times New Roman"/>
                <w:b/>
                <w:color w:val="000000"/>
                <w:szCs w:val="24"/>
              </w:rPr>
              <w:t>）</w:t>
            </w:r>
          </w:p>
        </w:tc>
        <w:tc>
          <w:tcPr>
            <w:tcW w:w="1581" w:type="dxa"/>
            <w:tcBorders>
              <w:top w:val="nil"/>
              <w:left w:val="nil"/>
              <w:bottom w:val="single" w:color="000000" w:sz="4" w:space="0"/>
              <w:right w:val="nil"/>
            </w:tcBorders>
            <w:vAlign w:val="center"/>
          </w:tcPr>
          <w:p w14:paraId="57CD147D">
            <w:pPr>
              <w:widowControl/>
              <w:spacing w:line="240" w:lineRule="auto"/>
              <w:ind w:firstLine="0" w:firstLineChars="0"/>
              <w:jc w:val="center"/>
              <w:rPr>
                <w:rFonts w:eastAsia="宋体" w:cs="Times New Roman"/>
                <w:b/>
                <w:color w:val="000000"/>
                <w:szCs w:val="24"/>
              </w:rPr>
            </w:pPr>
            <w:r>
              <w:rPr>
                <w:rFonts w:eastAsia="宋体" w:cs="Times New Roman"/>
                <w:b/>
                <w:color w:val="000000"/>
                <w:szCs w:val="24"/>
              </w:rPr>
              <w:t>（kJ·mol</w:t>
            </w:r>
            <w:r>
              <w:rPr>
                <w:rFonts w:hint="default" w:ascii="Times New Roman" w:hAnsi="Times New Roman" w:cs="Times New Roman"/>
                <w:b/>
                <w:bCs/>
                <w:sz w:val="24"/>
                <w:szCs w:val="24"/>
                <w:vertAlign w:val="superscript"/>
                <w:lang w:val="en-US" w:eastAsia="zh-CN"/>
              </w:rPr>
              <w:t>−</w:t>
            </w:r>
            <w:r>
              <w:rPr>
                <w:rFonts w:eastAsia="宋体" w:cs="Times New Roman"/>
                <w:b/>
                <w:color w:val="000000"/>
                <w:szCs w:val="24"/>
                <w:vertAlign w:val="superscript"/>
              </w:rPr>
              <w:t>1</w:t>
            </w:r>
            <w:r>
              <w:rPr>
                <w:rFonts w:eastAsia="宋体" w:cs="Times New Roman"/>
                <w:b/>
                <w:color w:val="000000"/>
                <w:szCs w:val="24"/>
              </w:rPr>
              <w:t>）</w:t>
            </w:r>
          </w:p>
        </w:tc>
        <w:tc>
          <w:tcPr>
            <w:tcW w:w="895" w:type="dxa"/>
            <w:vMerge w:val="continue"/>
            <w:tcBorders>
              <w:left w:val="nil"/>
              <w:bottom w:val="single" w:color="000000" w:sz="4" w:space="0"/>
              <w:right w:val="nil"/>
            </w:tcBorders>
            <w:vAlign w:val="center"/>
          </w:tcPr>
          <w:p w14:paraId="7197E024">
            <w:pPr>
              <w:widowControl/>
              <w:spacing w:line="240" w:lineRule="auto"/>
              <w:ind w:firstLine="0" w:firstLineChars="0"/>
              <w:jc w:val="center"/>
              <w:rPr>
                <w:rFonts w:eastAsia="Times New Roman" w:cs="Times New Roman"/>
                <w:b/>
                <w:bCs/>
                <w:i/>
                <w:iCs/>
                <w:color w:val="000000"/>
                <w:szCs w:val="24"/>
              </w:rPr>
            </w:pPr>
          </w:p>
        </w:tc>
      </w:tr>
      <w:tr w14:paraId="180D61AA">
        <w:tblPrEx>
          <w:tblCellMar>
            <w:top w:w="0" w:type="dxa"/>
            <w:left w:w="108" w:type="dxa"/>
            <w:bottom w:w="0" w:type="dxa"/>
            <w:right w:w="108" w:type="dxa"/>
          </w:tblCellMar>
        </w:tblPrEx>
        <w:trPr>
          <w:trHeight w:val="402" w:hRule="atLeast"/>
        </w:trPr>
        <w:tc>
          <w:tcPr>
            <w:tcW w:w="1843" w:type="dxa"/>
            <w:tcBorders>
              <w:top w:val="single" w:color="000000" w:sz="4" w:space="0"/>
              <w:left w:val="nil"/>
              <w:bottom w:val="nil"/>
              <w:right w:val="nil"/>
            </w:tcBorders>
            <w:noWrap/>
            <w:vAlign w:val="center"/>
          </w:tcPr>
          <w:p w14:paraId="19806E38">
            <w:pPr>
              <w:widowControl/>
              <w:spacing w:line="240" w:lineRule="auto"/>
              <w:ind w:firstLine="0" w:firstLineChars="0"/>
              <w:jc w:val="center"/>
              <w:rPr>
                <w:rFonts w:eastAsia="Times New Roman" w:cs="Times New Roman"/>
                <w:color w:val="000000"/>
              </w:rPr>
            </w:pPr>
            <w:r>
              <w:rPr>
                <w:rFonts w:eastAsia="Times New Roman" w:cs="Times New Roman"/>
                <w:color w:val="000000"/>
              </w:rPr>
              <w:t xml:space="preserve">Pristine 1 </w:t>
            </w:r>
            <w:r>
              <w:rPr>
                <w:rFonts w:cs="Times New Roman"/>
                <w:color w:val="000000"/>
              </w:rPr>
              <w:t>µ</w:t>
            </w:r>
            <w:r>
              <w:rPr>
                <w:rFonts w:eastAsia="Times New Roman" w:cs="Times New Roman"/>
                <w:color w:val="000000"/>
              </w:rPr>
              <w:t>m</w:t>
            </w:r>
          </w:p>
        </w:tc>
        <w:tc>
          <w:tcPr>
            <w:tcW w:w="971" w:type="dxa"/>
            <w:tcBorders>
              <w:top w:val="single" w:color="000000" w:sz="4" w:space="0"/>
              <w:left w:val="nil"/>
              <w:bottom w:val="nil"/>
              <w:right w:val="nil"/>
            </w:tcBorders>
            <w:noWrap/>
            <w:vAlign w:val="center"/>
          </w:tcPr>
          <w:p w14:paraId="6F110C3E">
            <w:pPr>
              <w:widowControl/>
              <w:spacing w:line="240" w:lineRule="auto"/>
              <w:ind w:firstLine="0" w:firstLineChars="0"/>
              <w:jc w:val="center"/>
              <w:rPr>
                <w:rFonts w:eastAsia="Times New Roman" w:cs="Times New Roman"/>
                <w:color w:val="000000"/>
              </w:rPr>
            </w:pPr>
            <w:r>
              <w:rPr>
                <w:rFonts w:eastAsia="Times New Roman" w:cs="Times New Roman"/>
                <w:color w:val="000000"/>
              </w:rPr>
              <w:t>43.47</w:t>
            </w:r>
          </w:p>
        </w:tc>
        <w:tc>
          <w:tcPr>
            <w:tcW w:w="845" w:type="dxa"/>
            <w:tcBorders>
              <w:top w:val="single" w:color="000000" w:sz="4" w:space="0"/>
              <w:left w:val="nil"/>
              <w:bottom w:val="nil"/>
              <w:right w:val="nil"/>
            </w:tcBorders>
            <w:noWrap/>
            <w:vAlign w:val="center"/>
          </w:tcPr>
          <w:p w14:paraId="7C0FA5AC">
            <w:pPr>
              <w:widowControl/>
              <w:spacing w:line="240" w:lineRule="auto"/>
              <w:ind w:firstLine="0" w:firstLineChars="0"/>
              <w:jc w:val="center"/>
              <w:rPr>
                <w:rFonts w:eastAsia="Times New Roman" w:cs="Times New Roman"/>
                <w:color w:val="000000"/>
              </w:rPr>
            </w:pPr>
            <w:r>
              <w:rPr>
                <w:rFonts w:eastAsia="Times New Roman" w:cs="Times New Roman"/>
                <w:color w:val="000000"/>
              </w:rPr>
              <w:t>0.77</w:t>
            </w:r>
          </w:p>
        </w:tc>
        <w:tc>
          <w:tcPr>
            <w:tcW w:w="1126" w:type="dxa"/>
            <w:tcBorders>
              <w:top w:val="single" w:color="000000" w:sz="4" w:space="0"/>
              <w:left w:val="nil"/>
              <w:bottom w:val="nil"/>
              <w:right w:val="nil"/>
            </w:tcBorders>
            <w:noWrap/>
            <w:vAlign w:val="center"/>
          </w:tcPr>
          <w:p w14:paraId="7F53C120">
            <w:pPr>
              <w:widowControl/>
              <w:spacing w:line="240" w:lineRule="auto"/>
              <w:ind w:firstLine="0" w:firstLineChars="0"/>
              <w:jc w:val="center"/>
              <w:rPr>
                <w:rFonts w:eastAsia="Times New Roman" w:cs="Times New Roman"/>
                <w:color w:val="000000"/>
              </w:rPr>
            </w:pPr>
            <w:r>
              <w:rPr>
                <w:rFonts w:eastAsia="Times New Roman" w:cs="Times New Roman"/>
                <w:color w:val="000000"/>
              </w:rPr>
              <w:t>0.9615</w:t>
            </w:r>
          </w:p>
        </w:tc>
        <w:tc>
          <w:tcPr>
            <w:tcW w:w="1407" w:type="dxa"/>
            <w:tcBorders>
              <w:top w:val="single" w:color="000000" w:sz="4" w:space="0"/>
              <w:left w:val="nil"/>
              <w:bottom w:val="nil"/>
              <w:right w:val="nil"/>
            </w:tcBorders>
            <w:noWrap/>
            <w:vAlign w:val="center"/>
          </w:tcPr>
          <w:p w14:paraId="4B24DC64">
            <w:pPr>
              <w:widowControl/>
              <w:spacing w:line="240" w:lineRule="auto"/>
              <w:ind w:firstLine="0" w:firstLineChars="0"/>
              <w:jc w:val="center"/>
              <w:rPr>
                <w:rFonts w:eastAsia="宋体" w:cs="Times New Roman"/>
                <w:color w:val="000000"/>
              </w:rPr>
            </w:pPr>
            <w:r>
              <w:rPr>
                <w:rFonts w:eastAsia="宋体" w:cs="Times New Roman"/>
                <w:color w:val="000000"/>
              </w:rPr>
              <w:t>291.55</w:t>
            </w:r>
          </w:p>
        </w:tc>
        <w:tc>
          <w:tcPr>
            <w:tcW w:w="1126" w:type="dxa"/>
            <w:tcBorders>
              <w:top w:val="single" w:color="000000" w:sz="4" w:space="0"/>
              <w:left w:val="nil"/>
              <w:bottom w:val="nil"/>
              <w:right w:val="nil"/>
            </w:tcBorders>
            <w:noWrap/>
            <w:vAlign w:val="center"/>
          </w:tcPr>
          <w:p w14:paraId="6027B43B">
            <w:pPr>
              <w:widowControl/>
              <w:spacing w:line="240" w:lineRule="auto"/>
              <w:ind w:firstLine="0" w:firstLineChars="0"/>
              <w:jc w:val="center"/>
              <w:rPr>
                <w:rFonts w:eastAsia="Times New Roman" w:cs="Times New Roman"/>
                <w:color w:val="000000"/>
              </w:rPr>
            </w:pPr>
            <w:r>
              <w:rPr>
                <w:rFonts w:eastAsia="Times New Roman" w:cs="Times New Roman"/>
                <w:color w:val="000000"/>
              </w:rPr>
              <w:t>7.56</w:t>
            </w:r>
          </w:p>
        </w:tc>
        <w:tc>
          <w:tcPr>
            <w:tcW w:w="821" w:type="dxa"/>
            <w:tcBorders>
              <w:top w:val="single" w:color="000000" w:sz="4" w:space="0"/>
              <w:left w:val="nil"/>
              <w:bottom w:val="nil"/>
              <w:right w:val="nil"/>
            </w:tcBorders>
            <w:noWrap/>
            <w:vAlign w:val="center"/>
          </w:tcPr>
          <w:p w14:paraId="6E3A1558">
            <w:pPr>
              <w:widowControl/>
              <w:spacing w:line="240" w:lineRule="auto"/>
              <w:ind w:firstLine="0" w:firstLineChars="0"/>
              <w:jc w:val="center"/>
              <w:rPr>
                <w:rFonts w:eastAsia="Times New Roman" w:cs="Times New Roman"/>
                <w:color w:val="000000"/>
              </w:rPr>
            </w:pPr>
            <w:r>
              <w:rPr>
                <w:rFonts w:eastAsia="Times New Roman" w:cs="Times New Roman"/>
                <w:color w:val="000000"/>
              </w:rPr>
              <w:t>0.9831</w:t>
            </w:r>
          </w:p>
        </w:tc>
        <w:tc>
          <w:tcPr>
            <w:tcW w:w="1642" w:type="dxa"/>
            <w:tcBorders>
              <w:top w:val="single" w:color="000000" w:sz="4" w:space="0"/>
              <w:left w:val="nil"/>
              <w:bottom w:val="nil"/>
              <w:right w:val="nil"/>
            </w:tcBorders>
            <w:noWrap/>
            <w:vAlign w:val="center"/>
          </w:tcPr>
          <w:p w14:paraId="4551CFF9">
            <w:pPr>
              <w:widowControl/>
              <w:spacing w:line="240" w:lineRule="auto"/>
              <w:ind w:firstLine="0" w:firstLineChars="0"/>
              <w:jc w:val="center"/>
              <w:rPr>
                <w:rFonts w:eastAsia="Times New Roman" w:cs="Times New Roman"/>
                <w:color w:val="000000"/>
              </w:rPr>
            </w:pPr>
            <w:r>
              <w:rPr>
                <w:rFonts w:eastAsia="Times New Roman" w:cs="Times New Roman"/>
                <w:color w:val="000000"/>
              </w:rPr>
              <w:t>172.19</w:t>
            </w:r>
          </w:p>
        </w:tc>
        <w:tc>
          <w:tcPr>
            <w:tcW w:w="1637" w:type="dxa"/>
            <w:tcBorders>
              <w:top w:val="single" w:color="000000" w:sz="4" w:space="0"/>
              <w:left w:val="nil"/>
              <w:bottom w:val="nil"/>
              <w:right w:val="nil"/>
            </w:tcBorders>
            <w:noWrap/>
            <w:vAlign w:val="center"/>
          </w:tcPr>
          <w:p w14:paraId="6EA458CC">
            <w:pPr>
              <w:widowControl/>
              <w:spacing w:line="240" w:lineRule="auto"/>
              <w:ind w:firstLine="0" w:firstLineChars="0"/>
              <w:jc w:val="center"/>
              <w:rPr>
                <w:rFonts w:eastAsia="Times New Roman" w:cs="Times New Roman"/>
                <w:color w:val="000000"/>
              </w:rPr>
            </w:pPr>
            <w:r>
              <w:rPr>
                <w:rFonts w:eastAsia="Times New Roman" w:cs="Times New Roman"/>
                <w:color w:val="000000"/>
              </w:rPr>
              <w:t>6.22E-07</w:t>
            </w:r>
          </w:p>
        </w:tc>
        <w:tc>
          <w:tcPr>
            <w:tcW w:w="1581" w:type="dxa"/>
            <w:tcBorders>
              <w:top w:val="single" w:color="000000" w:sz="4" w:space="0"/>
              <w:left w:val="nil"/>
              <w:bottom w:val="nil"/>
              <w:right w:val="nil"/>
            </w:tcBorders>
            <w:noWrap/>
            <w:vAlign w:val="center"/>
          </w:tcPr>
          <w:p w14:paraId="31EF860B">
            <w:pPr>
              <w:widowControl/>
              <w:spacing w:line="240" w:lineRule="auto"/>
              <w:ind w:firstLine="0" w:firstLineChars="0"/>
              <w:jc w:val="center"/>
              <w:rPr>
                <w:rFonts w:eastAsia="Times New Roman" w:cs="Times New Roman"/>
                <w:color w:val="000000"/>
              </w:rPr>
            </w:pPr>
            <w:r>
              <w:rPr>
                <w:rFonts w:eastAsia="Times New Roman" w:cs="Times New Roman"/>
                <w:color w:val="000000"/>
              </w:rPr>
              <w:t>8.96</w:t>
            </w:r>
          </w:p>
        </w:tc>
        <w:tc>
          <w:tcPr>
            <w:tcW w:w="895" w:type="dxa"/>
            <w:tcBorders>
              <w:top w:val="single" w:color="000000" w:sz="4" w:space="0"/>
              <w:left w:val="nil"/>
              <w:bottom w:val="nil"/>
              <w:right w:val="nil"/>
            </w:tcBorders>
            <w:noWrap/>
            <w:vAlign w:val="center"/>
          </w:tcPr>
          <w:p w14:paraId="4CF61841">
            <w:pPr>
              <w:widowControl/>
              <w:spacing w:line="240" w:lineRule="auto"/>
              <w:ind w:firstLine="0" w:firstLineChars="0"/>
              <w:jc w:val="center"/>
              <w:rPr>
                <w:rFonts w:eastAsia="Times New Roman" w:cs="Times New Roman"/>
                <w:color w:val="000000"/>
              </w:rPr>
            </w:pPr>
            <w:r>
              <w:rPr>
                <w:rFonts w:eastAsia="Times New Roman" w:cs="Times New Roman"/>
                <w:color w:val="000000"/>
              </w:rPr>
              <w:t>0.9867</w:t>
            </w:r>
          </w:p>
        </w:tc>
      </w:tr>
      <w:tr w14:paraId="6A78D89E">
        <w:tblPrEx>
          <w:tblCellMar>
            <w:top w:w="0" w:type="dxa"/>
            <w:left w:w="108" w:type="dxa"/>
            <w:bottom w:w="0" w:type="dxa"/>
            <w:right w:w="108" w:type="dxa"/>
          </w:tblCellMar>
        </w:tblPrEx>
        <w:trPr>
          <w:trHeight w:val="402" w:hRule="atLeast"/>
        </w:trPr>
        <w:tc>
          <w:tcPr>
            <w:tcW w:w="1843" w:type="dxa"/>
            <w:tcBorders>
              <w:top w:val="nil"/>
              <w:left w:val="nil"/>
              <w:bottom w:val="nil"/>
              <w:right w:val="nil"/>
            </w:tcBorders>
            <w:noWrap/>
            <w:vAlign w:val="center"/>
          </w:tcPr>
          <w:p w14:paraId="54686763">
            <w:pPr>
              <w:widowControl/>
              <w:spacing w:line="240" w:lineRule="auto"/>
              <w:ind w:firstLine="0" w:firstLineChars="0"/>
              <w:jc w:val="center"/>
              <w:rPr>
                <w:rFonts w:eastAsia="Times New Roman" w:cs="Times New Roman"/>
                <w:color w:val="000000"/>
              </w:rPr>
            </w:pPr>
            <w:r>
              <w:rPr>
                <w:rFonts w:eastAsia="Times New Roman" w:cs="Times New Roman"/>
                <w:color w:val="000000"/>
              </w:rPr>
              <w:t>Aged 1 µm</w:t>
            </w:r>
          </w:p>
        </w:tc>
        <w:tc>
          <w:tcPr>
            <w:tcW w:w="971" w:type="dxa"/>
            <w:tcBorders>
              <w:top w:val="nil"/>
              <w:left w:val="nil"/>
              <w:bottom w:val="nil"/>
              <w:right w:val="nil"/>
            </w:tcBorders>
            <w:noWrap/>
            <w:vAlign w:val="center"/>
          </w:tcPr>
          <w:p w14:paraId="44531662">
            <w:pPr>
              <w:widowControl/>
              <w:spacing w:line="240" w:lineRule="auto"/>
              <w:ind w:firstLine="0" w:firstLineChars="0"/>
              <w:jc w:val="center"/>
              <w:rPr>
                <w:rFonts w:eastAsia="Times New Roman" w:cs="Times New Roman"/>
                <w:color w:val="000000"/>
              </w:rPr>
            </w:pPr>
            <w:r>
              <w:rPr>
                <w:rFonts w:eastAsia="Times New Roman" w:cs="Times New Roman"/>
                <w:color w:val="000000"/>
              </w:rPr>
              <w:t>66.35</w:t>
            </w:r>
          </w:p>
        </w:tc>
        <w:tc>
          <w:tcPr>
            <w:tcW w:w="845" w:type="dxa"/>
            <w:tcBorders>
              <w:top w:val="nil"/>
              <w:left w:val="nil"/>
              <w:bottom w:val="nil"/>
              <w:right w:val="nil"/>
            </w:tcBorders>
            <w:noWrap/>
            <w:vAlign w:val="center"/>
          </w:tcPr>
          <w:p w14:paraId="428E8A23">
            <w:pPr>
              <w:widowControl/>
              <w:spacing w:line="240" w:lineRule="auto"/>
              <w:ind w:firstLine="0" w:firstLineChars="0"/>
              <w:jc w:val="center"/>
              <w:rPr>
                <w:rFonts w:eastAsia="Times New Roman" w:cs="Times New Roman"/>
                <w:color w:val="000000"/>
              </w:rPr>
            </w:pPr>
            <w:r>
              <w:rPr>
                <w:rFonts w:eastAsia="Times New Roman" w:cs="Times New Roman"/>
                <w:color w:val="000000"/>
              </w:rPr>
              <w:t>0.60</w:t>
            </w:r>
          </w:p>
        </w:tc>
        <w:tc>
          <w:tcPr>
            <w:tcW w:w="1126" w:type="dxa"/>
            <w:tcBorders>
              <w:top w:val="nil"/>
              <w:left w:val="nil"/>
              <w:bottom w:val="nil"/>
              <w:right w:val="nil"/>
            </w:tcBorders>
            <w:noWrap/>
            <w:vAlign w:val="center"/>
          </w:tcPr>
          <w:p w14:paraId="71564710">
            <w:pPr>
              <w:widowControl/>
              <w:spacing w:line="240" w:lineRule="auto"/>
              <w:ind w:firstLine="0" w:firstLineChars="0"/>
              <w:jc w:val="center"/>
              <w:rPr>
                <w:rFonts w:eastAsia="Times New Roman" w:cs="Times New Roman"/>
                <w:color w:val="000000"/>
              </w:rPr>
            </w:pPr>
            <w:r>
              <w:rPr>
                <w:rFonts w:eastAsia="Times New Roman" w:cs="Times New Roman"/>
                <w:color w:val="000000"/>
              </w:rPr>
              <w:t>0.9018</w:t>
            </w:r>
          </w:p>
        </w:tc>
        <w:tc>
          <w:tcPr>
            <w:tcW w:w="1407" w:type="dxa"/>
            <w:tcBorders>
              <w:top w:val="nil"/>
              <w:left w:val="nil"/>
              <w:bottom w:val="nil"/>
              <w:right w:val="nil"/>
            </w:tcBorders>
            <w:noWrap/>
            <w:vAlign w:val="center"/>
          </w:tcPr>
          <w:p w14:paraId="15F135AA">
            <w:pPr>
              <w:widowControl/>
              <w:spacing w:line="240" w:lineRule="auto"/>
              <w:ind w:firstLine="0" w:firstLineChars="0"/>
              <w:jc w:val="center"/>
              <w:rPr>
                <w:rFonts w:eastAsia="Times New Roman" w:cs="Times New Roman"/>
                <w:color w:val="000000"/>
              </w:rPr>
            </w:pPr>
            <w:r>
              <w:rPr>
                <w:rFonts w:eastAsia="Times New Roman" w:cs="Times New Roman"/>
                <w:color w:val="000000"/>
              </w:rPr>
              <w:t>344.25</w:t>
            </w:r>
          </w:p>
        </w:tc>
        <w:tc>
          <w:tcPr>
            <w:tcW w:w="1126" w:type="dxa"/>
            <w:tcBorders>
              <w:top w:val="nil"/>
              <w:left w:val="nil"/>
              <w:bottom w:val="nil"/>
              <w:right w:val="nil"/>
            </w:tcBorders>
            <w:noWrap/>
            <w:vAlign w:val="center"/>
          </w:tcPr>
          <w:p w14:paraId="61A4702E">
            <w:pPr>
              <w:widowControl/>
              <w:spacing w:line="240" w:lineRule="auto"/>
              <w:ind w:firstLine="0" w:firstLineChars="0"/>
              <w:jc w:val="center"/>
              <w:rPr>
                <w:rFonts w:eastAsia="Times New Roman" w:cs="Times New Roman"/>
                <w:color w:val="000000"/>
              </w:rPr>
            </w:pPr>
            <w:r>
              <w:rPr>
                <w:rFonts w:eastAsia="Times New Roman" w:cs="Times New Roman"/>
                <w:color w:val="000000"/>
              </w:rPr>
              <w:t>3.91</w:t>
            </w:r>
          </w:p>
        </w:tc>
        <w:tc>
          <w:tcPr>
            <w:tcW w:w="821" w:type="dxa"/>
            <w:tcBorders>
              <w:top w:val="nil"/>
              <w:left w:val="nil"/>
              <w:bottom w:val="nil"/>
              <w:right w:val="nil"/>
            </w:tcBorders>
            <w:noWrap/>
            <w:vAlign w:val="center"/>
          </w:tcPr>
          <w:p w14:paraId="7C70821A">
            <w:pPr>
              <w:widowControl/>
              <w:spacing w:line="240" w:lineRule="auto"/>
              <w:ind w:firstLine="0" w:firstLineChars="0"/>
              <w:jc w:val="center"/>
              <w:rPr>
                <w:rFonts w:eastAsia="Times New Roman" w:cs="Times New Roman"/>
                <w:color w:val="000000"/>
              </w:rPr>
            </w:pPr>
            <w:r>
              <w:rPr>
                <w:rFonts w:eastAsia="Times New Roman" w:cs="Times New Roman"/>
                <w:color w:val="000000"/>
              </w:rPr>
              <w:t>0.7626</w:t>
            </w:r>
          </w:p>
        </w:tc>
        <w:tc>
          <w:tcPr>
            <w:tcW w:w="1642" w:type="dxa"/>
            <w:tcBorders>
              <w:top w:val="nil"/>
              <w:left w:val="nil"/>
              <w:bottom w:val="nil"/>
              <w:right w:val="nil"/>
            </w:tcBorders>
            <w:noWrap/>
            <w:vAlign w:val="center"/>
          </w:tcPr>
          <w:p w14:paraId="033C2725">
            <w:pPr>
              <w:widowControl/>
              <w:spacing w:line="240" w:lineRule="auto"/>
              <w:ind w:firstLine="0" w:firstLineChars="0"/>
              <w:jc w:val="center"/>
              <w:rPr>
                <w:rFonts w:eastAsia="Times New Roman" w:cs="Times New Roman"/>
                <w:color w:val="000000"/>
              </w:rPr>
            </w:pPr>
            <w:r>
              <w:rPr>
                <w:rFonts w:eastAsia="Times New Roman" w:cs="Times New Roman"/>
                <w:color w:val="000000"/>
              </w:rPr>
              <w:t>211.63</w:t>
            </w:r>
          </w:p>
        </w:tc>
        <w:tc>
          <w:tcPr>
            <w:tcW w:w="1637" w:type="dxa"/>
            <w:tcBorders>
              <w:top w:val="nil"/>
              <w:left w:val="nil"/>
              <w:bottom w:val="nil"/>
              <w:right w:val="nil"/>
            </w:tcBorders>
            <w:noWrap/>
            <w:vAlign w:val="center"/>
          </w:tcPr>
          <w:p w14:paraId="35B6681F">
            <w:pPr>
              <w:widowControl/>
              <w:spacing w:line="240" w:lineRule="auto"/>
              <w:ind w:firstLine="0" w:firstLineChars="0"/>
              <w:jc w:val="center"/>
              <w:rPr>
                <w:rFonts w:eastAsia="Times New Roman" w:cs="Times New Roman"/>
                <w:color w:val="000000"/>
              </w:rPr>
            </w:pPr>
            <w:r>
              <w:rPr>
                <w:rFonts w:eastAsia="Times New Roman" w:cs="Times New Roman"/>
                <w:color w:val="000000"/>
              </w:rPr>
              <w:t>6.07E-07</w:t>
            </w:r>
          </w:p>
        </w:tc>
        <w:tc>
          <w:tcPr>
            <w:tcW w:w="1581" w:type="dxa"/>
            <w:tcBorders>
              <w:top w:val="nil"/>
              <w:left w:val="nil"/>
              <w:bottom w:val="nil"/>
              <w:right w:val="nil"/>
            </w:tcBorders>
            <w:noWrap/>
            <w:vAlign w:val="center"/>
          </w:tcPr>
          <w:p w14:paraId="31C53126">
            <w:pPr>
              <w:widowControl/>
              <w:spacing w:line="240" w:lineRule="auto"/>
              <w:ind w:firstLine="0" w:firstLineChars="0"/>
              <w:jc w:val="center"/>
              <w:rPr>
                <w:rFonts w:eastAsia="Times New Roman" w:cs="Times New Roman"/>
                <w:color w:val="000000"/>
              </w:rPr>
            </w:pPr>
            <w:r>
              <w:rPr>
                <w:rFonts w:eastAsia="Times New Roman" w:cs="Times New Roman"/>
                <w:color w:val="000000"/>
              </w:rPr>
              <w:t>9.08</w:t>
            </w:r>
          </w:p>
        </w:tc>
        <w:tc>
          <w:tcPr>
            <w:tcW w:w="895" w:type="dxa"/>
            <w:tcBorders>
              <w:top w:val="nil"/>
              <w:left w:val="nil"/>
              <w:bottom w:val="nil"/>
              <w:right w:val="nil"/>
            </w:tcBorders>
            <w:noWrap/>
            <w:vAlign w:val="center"/>
          </w:tcPr>
          <w:p w14:paraId="74FB5F02">
            <w:pPr>
              <w:widowControl/>
              <w:spacing w:line="240" w:lineRule="auto"/>
              <w:ind w:firstLine="0" w:firstLineChars="0"/>
              <w:jc w:val="center"/>
              <w:rPr>
                <w:rFonts w:eastAsia="Times New Roman" w:cs="Times New Roman"/>
                <w:color w:val="000000"/>
              </w:rPr>
            </w:pPr>
            <w:r>
              <w:rPr>
                <w:rFonts w:eastAsia="Times New Roman" w:cs="Times New Roman"/>
                <w:color w:val="000000"/>
              </w:rPr>
              <w:t>0.9759</w:t>
            </w:r>
          </w:p>
        </w:tc>
      </w:tr>
      <w:tr w14:paraId="003DF0DD">
        <w:tblPrEx>
          <w:tblCellMar>
            <w:top w:w="0" w:type="dxa"/>
            <w:left w:w="108" w:type="dxa"/>
            <w:bottom w:w="0" w:type="dxa"/>
            <w:right w:w="108" w:type="dxa"/>
          </w:tblCellMar>
        </w:tblPrEx>
        <w:trPr>
          <w:trHeight w:val="402" w:hRule="atLeast"/>
        </w:trPr>
        <w:tc>
          <w:tcPr>
            <w:tcW w:w="1843" w:type="dxa"/>
            <w:tcBorders>
              <w:top w:val="nil"/>
              <w:left w:val="nil"/>
              <w:bottom w:val="nil"/>
              <w:right w:val="nil"/>
            </w:tcBorders>
            <w:noWrap/>
            <w:vAlign w:val="center"/>
          </w:tcPr>
          <w:p w14:paraId="391B2035">
            <w:pPr>
              <w:widowControl/>
              <w:spacing w:line="240" w:lineRule="auto"/>
              <w:ind w:firstLine="0" w:firstLineChars="0"/>
              <w:jc w:val="center"/>
              <w:rPr>
                <w:rFonts w:eastAsia="Times New Roman" w:cs="Times New Roman"/>
                <w:color w:val="000000"/>
              </w:rPr>
            </w:pPr>
            <w:r>
              <w:rPr>
                <w:rFonts w:eastAsia="Times New Roman" w:cs="Times New Roman"/>
                <w:color w:val="000000"/>
              </w:rPr>
              <w:t xml:space="preserve">Pristine 150 </w:t>
            </w:r>
            <w:r>
              <w:rPr>
                <w:rFonts w:cs="Times New Roman"/>
                <w:color w:val="000000"/>
              </w:rPr>
              <w:t>µ</w:t>
            </w:r>
            <w:r>
              <w:rPr>
                <w:rFonts w:eastAsia="Times New Roman" w:cs="Times New Roman"/>
                <w:color w:val="000000"/>
              </w:rPr>
              <w:t>m</w:t>
            </w:r>
          </w:p>
        </w:tc>
        <w:tc>
          <w:tcPr>
            <w:tcW w:w="971" w:type="dxa"/>
            <w:tcBorders>
              <w:top w:val="nil"/>
              <w:left w:val="nil"/>
              <w:bottom w:val="nil"/>
              <w:right w:val="nil"/>
            </w:tcBorders>
            <w:noWrap/>
            <w:vAlign w:val="center"/>
          </w:tcPr>
          <w:p w14:paraId="60AF5FED">
            <w:pPr>
              <w:widowControl/>
              <w:spacing w:line="240" w:lineRule="auto"/>
              <w:ind w:firstLine="0" w:firstLineChars="0"/>
              <w:jc w:val="center"/>
              <w:rPr>
                <w:rFonts w:eastAsia="Times New Roman" w:cs="Times New Roman"/>
                <w:color w:val="000000"/>
              </w:rPr>
            </w:pPr>
            <w:r>
              <w:rPr>
                <w:rFonts w:eastAsia="Times New Roman" w:cs="Times New Roman"/>
                <w:color w:val="000000"/>
              </w:rPr>
              <w:t>11.04</w:t>
            </w:r>
          </w:p>
        </w:tc>
        <w:tc>
          <w:tcPr>
            <w:tcW w:w="845" w:type="dxa"/>
            <w:tcBorders>
              <w:top w:val="nil"/>
              <w:left w:val="nil"/>
              <w:bottom w:val="nil"/>
              <w:right w:val="nil"/>
            </w:tcBorders>
            <w:noWrap/>
            <w:vAlign w:val="center"/>
          </w:tcPr>
          <w:p w14:paraId="42FFFCA9">
            <w:pPr>
              <w:widowControl/>
              <w:spacing w:line="240" w:lineRule="auto"/>
              <w:ind w:firstLine="0" w:firstLineChars="0"/>
              <w:jc w:val="center"/>
              <w:rPr>
                <w:rFonts w:eastAsia="Times New Roman" w:cs="Times New Roman"/>
                <w:color w:val="000000"/>
              </w:rPr>
            </w:pPr>
            <w:r>
              <w:rPr>
                <w:rFonts w:eastAsia="Times New Roman" w:cs="Times New Roman"/>
                <w:color w:val="000000"/>
              </w:rPr>
              <w:t>0.57</w:t>
            </w:r>
          </w:p>
        </w:tc>
        <w:tc>
          <w:tcPr>
            <w:tcW w:w="1126" w:type="dxa"/>
            <w:tcBorders>
              <w:top w:val="nil"/>
              <w:left w:val="nil"/>
              <w:bottom w:val="nil"/>
              <w:right w:val="nil"/>
            </w:tcBorders>
            <w:noWrap/>
            <w:vAlign w:val="center"/>
          </w:tcPr>
          <w:p w14:paraId="718CB902">
            <w:pPr>
              <w:widowControl/>
              <w:spacing w:line="240" w:lineRule="auto"/>
              <w:ind w:firstLine="0" w:firstLineChars="0"/>
              <w:jc w:val="center"/>
              <w:rPr>
                <w:rFonts w:eastAsia="Times New Roman" w:cs="Times New Roman"/>
                <w:color w:val="000000"/>
              </w:rPr>
            </w:pPr>
            <w:r>
              <w:rPr>
                <w:rFonts w:eastAsia="Times New Roman" w:cs="Times New Roman"/>
                <w:color w:val="000000"/>
              </w:rPr>
              <w:t>0.9481</w:t>
            </w:r>
          </w:p>
        </w:tc>
        <w:tc>
          <w:tcPr>
            <w:tcW w:w="1407" w:type="dxa"/>
            <w:tcBorders>
              <w:top w:val="nil"/>
              <w:left w:val="nil"/>
              <w:bottom w:val="nil"/>
              <w:right w:val="nil"/>
            </w:tcBorders>
            <w:noWrap/>
            <w:vAlign w:val="center"/>
          </w:tcPr>
          <w:p w14:paraId="3EA264DB">
            <w:pPr>
              <w:widowControl/>
              <w:spacing w:line="240" w:lineRule="auto"/>
              <w:ind w:firstLine="0" w:firstLineChars="0"/>
              <w:jc w:val="center"/>
              <w:rPr>
                <w:rFonts w:eastAsia="Times New Roman" w:cs="Times New Roman"/>
                <w:color w:val="000000"/>
              </w:rPr>
            </w:pPr>
            <w:r>
              <w:rPr>
                <w:rFonts w:eastAsia="Times New Roman" w:cs="Times New Roman"/>
                <w:color w:val="000000"/>
              </w:rPr>
              <w:t>26.37</w:t>
            </w:r>
          </w:p>
        </w:tc>
        <w:tc>
          <w:tcPr>
            <w:tcW w:w="1126" w:type="dxa"/>
            <w:tcBorders>
              <w:top w:val="nil"/>
              <w:left w:val="nil"/>
              <w:bottom w:val="nil"/>
              <w:right w:val="nil"/>
            </w:tcBorders>
            <w:noWrap/>
            <w:vAlign w:val="center"/>
          </w:tcPr>
          <w:p w14:paraId="77040B62">
            <w:pPr>
              <w:widowControl/>
              <w:spacing w:line="240" w:lineRule="auto"/>
              <w:ind w:firstLine="0" w:firstLineChars="0"/>
              <w:jc w:val="center"/>
              <w:rPr>
                <w:rFonts w:eastAsia="Times New Roman" w:cs="Times New Roman"/>
                <w:color w:val="000000"/>
              </w:rPr>
            </w:pPr>
            <w:r>
              <w:rPr>
                <w:rFonts w:eastAsia="Times New Roman" w:cs="Times New Roman"/>
                <w:color w:val="000000"/>
              </w:rPr>
              <w:t>1.19</w:t>
            </w:r>
          </w:p>
        </w:tc>
        <w:tc>
          <w:tcPr>
            <w:tcW w:w="821" w:type="dxa"/>
            <w:tcBorders>
              <w:top w:val="nil"/>
              <w:left w:val="nil"/>
              <w:bottom w:val="nil"/>
              <w:right w:val="nil"/>
            </w:tcBorders>
            <w:noWrap/>
            <w:vAlign w:val="center"/>
          </w:tcPr>
          <w:p w14:paraId="7135A908">
            <w:pPr>
              <w:widowControl/>
              <w:spacing w:line="240" w:lineRule="auto"/>
              <w:ind w:firstLine="0" w:firstLineChars="0"/>
              <w:jc w:val="center"/>
              <w:rPr>
                <w:rFonts w:eastAsia="Times New Roman" w:cs="Times New Roman"/>
                <w:color w:val="000000"/>
              </w:rPr>
            </w:pPr>
            <w:r>
              <w:rPr>
                <w:rFonts w:eastAsia="Times New Roman" w:cs="Times New Roman"/>
                <w:color w:val="000000"/>
              </w:rPr>
              <w:t>0.8134</w:t>
            </w:r>
          </w:p>
        </w:tc>
        <w:tc>
          <w:tcPr>
            <w:tcW w:w="1642" w:type="dxa"/>
            <w:tcBorders>
              <w:top w:val="nil"/>
              <w:left w:val="nil"/>
              <w:bottom w:val="nil"/>
              <w:right w:val="nil"/>
            </w:tcBorders>
            <w:noWrap/>
            <w:vAlign w:val="center"/>
          </w:tcPr>
          <w:p w14:paraId="32A2909E">
            <w:pPr>
              <w:widowControl/>
              <w:spacing w:line="240" w:lineRule="auto"/>
              <w:ind w:firstLine="0" w:firstLineChars="0"/>
              <w:jc w:val="center"/>
              <w:rPr>
                <w:rFonts w:eastAsia="Times New Roman" w:cs="Times New Roman"/>
                <w:color w:val="000000"/>
              </w:rPr>
            </w:pPr>
            <w:r>
              <w:rPr>
                <w:rFonts w:eastAsia="Times New Roman" w:cs="Times New Roman"/>
                <w:color w:val="000000"/>
              </w:rPr>
              <w:t>35.31</w:t>
            </w:r>
          </w:p>
        </w:tc>
        <w:tc>
          <w:tcPr>
            <w:tcW w:w="1637" w:type="dxa"/>
            <w:tcBorders>
              <w:top w:val="nil"/>
              <w:left w:val="nil"/>
              <w:bottom w:val="nil"/>
              <w:right w:val="nil"/>
            </w:tcBorders>
            <w:noWrap/>
            <w:vAlign w:val="center"/>
          </w:tcPr>
          <w:p w14:paraId="2192C8DA">
            <w:pPr>
              <w:widowControl/>
              <w:spacing w:line="240" w:lineRule="auto"/>
              <w:ind w:firstLine="0" w:firstLineChars="0"/>
              <w:jc w:val="center"/>
              <w:rPr>
                <w:rFonts w:eastAsia="Times New Roman" w:cs="Times New Roman"/>
                <w:color w:val="000000"/>
              </w:rPr>
            </w:pPr>
            <w:r>
              <w:rPr>
                <w:rFonts w:eastAsia="Times New Roman" w:cs="Times New Roman"/>
                <w:color w:val="000000"/>
              </w:rPr>
              <w:t>5.52E-07</w:t>
            </w:r>
          </w:p>
        </w:tc>
        <w:tc>
          <w:tcPr>
            <w:tcW w:w="1581" w:type="dxa"/>
            <w:tcBorders>
              <w:top w:val="nil"/>
              <w:left w:val="nil"/>
              <w:bottom w:val="nil"/>
              <w:right w:val="nil"/>
            </w:tcBorders>
            <w:noWrap/>
            <w:vAlign w:val="center"/>
          </w:tcPr>
          <w:p w14:paraId="173029AA">
            <w:pPr>
              <w:widowControl/>
              <w:spacing w:line="240" w:lineRule="auto"/>
              <w:ind w:firstLine="0" w:firstLineChars="0"/>
              <w:jc w:val="center"/>
              <w:rPr>
                <w:rFonts w:eastAsia="Times New Roman" w:cs="Times New Roman"/>
                <w:color w:val="000000"/>
              </w:rPr>
            </w:pPr>
            <w:r>
              <w:rPr>
                <w:rFonts w:eastAsia="Times New Roman" w:cs="Times New Roman"/>
                <w:color w:val="000000"/>
              </w:rPr>
              <w:t>9.52</w:t>
            </w:r>
          </w:p>
        </w:tc>
        <w:tc>
          <w:tcPr>
            <w:tcW w:w="895" w:type="dxa"/>
            <w:tcBorders>
              <w:top w:val="nil"/>
              <w:left w:val="nil"/>
              <w:bottom w:val="nil"/>
              <w:right w:val="nil"/>
            </w:tcBorders>
            <w:noWrap/>
            <w:vAlign w:val="center"/>
          </w:tcPr>
          <w:p w14:paraId="2DBB29C3">
            <w:pPr>
              <w:widowControl/>
              <w:spacing w:line="240" w:lineRule="auto"/>
              <w:ind w:firstLine="0" w:firstLineChars="0"/>
              <w:jc w:val="center"/>
              <w:rPr>
                <w:rFonts w:eastAsia="Times New Roman" w:cs="Times New Roman"/>
                <w:color w:val="000000"/>
              </w:rPr>
            </w:pPr>
            <w:r>
              <w:rPr>
                <w:rFonts w:eastAsia="Times New Roman" w:cs="Times New Roman"/>
                <w:color w:val="000000"/>
              </w:rPr>
              <w:t>0.9620</w:t>
            </w:r>
          </w:p>
        </w:tc>
      </w:tr>
      <w:tr w14:paraId="7674A6B1">
        <w:tblPrEx>
          <w:tblCellMar>
            <w:top w:w="0" w:type="dxa"/>
            <w:left w:w="108" w:type="dxa"/>
            <w:bottom w:w="0" w:type="dxa"/>
            <w:right w:w="108" w:type="dxa"/>
          </w:tblCellMar>
        </w:tblPrEx>
        <w:trPr>
          <w:trHeight w:val="402" w:hRule="atLeast"/>
        </w:trPr>
        <w:tc>
          <w:tcPr>
            <w:tcW w:w="1843" w:type="dxa"/>
            <w:tcBorders>
              <w:top w:val="nil"/>
              <w:left w:val="nil"/>
              <w:bottom w:val="single" w:color="000000" w:sz="12" w:space="0"/>
              <w:right w:val="nil"/>
            </w:tcBorders>
            <w:noWrap/>
            <w:vAlign w:val="center"/>
          </w:tcPr>
          <w:p w14:paraId="634E0BA6">
            <w:pPr>
              <w:widowControl/>
              <w:spacing w:line="240" w:lineRule="auto"/>
              <w:ind w:firstLine="0" w:firstLineChars="0"/>
              <w:jc w:val="center"/>
              <w:rPr>
                <w:rFonts w:eastAsia="Times New Roman" w:cs="Times New Roman"/>
                <w:color w:val="000000"/>
              </w:rPr>
            </w:pPr>
            <w:r>
              <w:rPr>
                <w:rFonts w:eastAsia="Times New Roman" w:cs="Times New Roman"/>
                <w:color w:val="000000"/>
              </w:rPr>
              <w:t>Aged 150 µm</w:t>
            </w:r>
          </w:p>
        </w:tc>
        <w:tc>
          <w:tcPr>
            <w:tcW w:w="971" w:type="dxa"/>
            <w:tcBorders>
              <w:top w:val="nil"/>
              <w:left w:val="nil"/>
              <w:bottom w:val="single" w:color="000000" w:sz="12" w:space="0"/>
              <w:right w:val="nil"/>
            </w:tcBorders>
            <w:noWrap/>
            <w:vAlign w:val="center"/>
          </w:tcPr>
          <w:p w14:paraId="4421D671">
            <w:pPr>
              <w:widowControl/>
              <w:spacing w:line="240" w:lineRule="auto"/>
              <w:ind w:firstLine="0" w:firstLineChars="0"/>
              <w:jc w:val="center"/>
              <w:rPr>
                <w:rFonts w:eastAsia="Times New Roman" w:cs="Times New Roman"/>
                <w:color w:val="000000"/>
              </w:rPr>
            </w:pPr>
            <w:r>
              <w:rPr>
                <w:rFonts w:eastAsia="Times New Roman" w:cs="Times New Roman"/>
                <w:color w:val="000000"/>
              </w:rPr>
              <w:t>14.50</w:t>
            </w:r>
          </w:p>
        </w:tc>
        <w:tc>
          <w:tcPr>
            <w:tcW w:w="845" w:type="dxa"/>
            <w:tcBorders>
              <w:top w:val="nil"/>
              <w:left w:val="nil"/>
              <w:bottom w:val="single" w:color="000000" w:sz="12" w:space="0"/>
              <w:right w:val="nil"/>
            </w:tcBorders>
            <w:noWrap/>
            <w:vAlign w:val="center"/>
          </w:tcPr>
          <w:p w14:paraId="612C8DEE">
            <w:pPr>
              <w:widowControl/>
              <w:spacing w:line="240" w:lineRule="auto"/>
              <w:ind w:firstLine="0" w:firstLineChars="0"/>
              <w:jc w:val="center"/>
              <w:rPr>
                <w:rFonts w:eastAsia="Times New Roman" w:cs="Times New Roman"/>
                <w:color w:val="000000"/>
              </w:rPr>
            </w:pPr>
            <w:r>
              <w:rPr>
                <w:rFonts w:eastAsia="Times New Roman" w:cs="Times New Roman"/>
                <w:color w:val="000000"/>
              </w:rPr>
              <w:t>0.57</w:t>
            </w:r>
          </w:p>
        </w:tc>
        <w:tc>
          <w:tcPr>
            <w:tcW w:w="1126" w:type="dxa"/>
            <w:tcBorders>
              <w:top w:val="nil"/>
              <w:left w:val="nil"/>
              <w:bottom w:val="single" w:color="000000" w:sz="12" w:space="0"/>
              <w:right w:val="nil"/>
            </w:tcBorders>
            <w:noWrap/>
            <w:vAlign w:val="center"/>
          </w:tcPr>
          <w:p w14:paraId="054DDE59">
            <w:pPr>
              <w:widowControl/>
              <w:spacing w:line="240" w:lineRule="auto"/>
              <w:ind w:firstLine="0" w:firstLineChars="0"/>
              <w:jc w:val="center"/>
              <w:rPr>
                <w:rFonts w:eastAsia="Times New Roman" w:cs="Times New Roman"/>
                <w:color w:val="000000"/>
              </w:rPr>
            </w:pPr>
            <w:r>
              <w:rPr>
                <w:rFonts w:eastAsia="Times New Roman" w:cs="Times New Roman"/>
                <w:color w:val="000000"/>
              </w:rPr>
              <w:t>0.9679</w:t>
            </w:r>
          </w:p>
        </w:tc>
        <w:tc>
          <w:tcPr>
            <w:tcW w:w="1407" w:type="dxa"/>
            <w:tcBorders>
              <w:top w:val="nil"/>
              <w:left w:val="nil"/>
              <w:bottom w:val="single" w:color="000000" w:sz="12" w:space="0"/>
              <w:right w:val="nil"/>
            </w:tcBorders>
            <w:noWrap/>
            <w:vAlign w:val="center"/>
          </w:tcPr>
          <w:p w14:paraId="1757AB9D">
            <w:pPr>
              <w:widowControl/>
              <w:spacing w:line="240" w:lineRule="auto"/>
              <w:ind w:firstLine="0" w:firstLineChars="0"/>
              <w:jc w:val="center"/>
              <w:rPr>
                <w:rFonts w:eastAsia="Times New Roman" w:cs="Times New Roman"/>
                <w:color w:val="000000"/>
              </w:rPr>
            </w:pPr>
            <w:r>
              <w:rPr>
                <w:rFonts w:eastAsia="Times New Roman" w:cs="Times New Roman"/>
                <w:color w:val="000000"/>
              </w:rPr>
              <w:t>34.00</w:t>
            </w:r>
          </w:p>
        </w:tc>
        <w:tc>
          <w:tcPr>
            <w:tcW w:w="1126" w:type="dxa"/>
            <w:tcBorders>
              <w:top w:val="nil"/>
              <w:left w:val="nil"/>
              <w:bottom w:val="single" w:color="000000" w:sz="12" w:space="0"/>
              <w:right w:val="nil"/>
            </w:tcBorders>
            <w:noWrap/>
            <w:vAlign w:val="center"/>
          </w:tcPr>
          <w:p w14:paraId="195F711E">
            <w:pPr>
              <w:widowControl/>
              <w:spacing w:line="240" w:lineRule="auto"/>
              <w:ind w:firstLine="0" w:firstLineChars="0"/>
              <w:jc w:val="center"/>
              <w:rPr>
                <w:rFonts w:eastAsia="Times New Roman" w:cs="Times New Roman"/>
                <w:color w:val="000000"/>
              </w:rPr>
            </w:pPr>
            <w:r>
              <w:rPr>
                <w:rFonts w:eastAsia="Times New Roman" w:cs="Times New Roman"/>
                <w:color w:val="000000"/>
              </w:rPr>
              <w:t>1.20</w:t>
            </w:r>
          </w:p>
        </w:tc>
        <w:tc>
          <w:tcPr>
            <w:tcW w:w="821" w:type="dxa"/>
            <w:tcBorders>
              <w:top w:val="nil"/>
              <w:left w:val="nil"/>
              <w:bottom w:val="single" w:color="000000" w:sz="12" w:space="0"/>
              <w:right w:val="nil"/>
            </w:tcBorders>
            <w:noWrap/>
            <w:vAlign w:val="center"/>
          </w:tcPr>
          <w:p w14:paraId="7D833F85">
            <w:pPr>
              <w:widowControl/>
              <w:spacing w:line="240" w:lineRule="auto"/>
              <w:ind w:firstLine="0" w:firstLineChars="0"/>
              <w:jc w:val="center"/>
              <w:rPr>
                <w:rFonts w:eastAsia="Times New Roman" w:cs="Times New Roman"/>
                <w:color w:val="000000"/>
              </w:rPr>
            </w:pPr>
            <w:r>
              <w:rPr>
                <w:rFonts w:eastAsia="Times New Roman" w:cs="Times New Roman"/>
                <w:color w:val="000000"/>
              </w:rPr>
              <w:t>0.8440</w:t>
            </w:r>
          </w:p>
        </w:tc>
        <w:tc>
          <w:tcPr>
            <w:tcW w:w="1642" w:type="dxa"/>
            <w:tcBorders>
              <w:top w:val="nil"/>
              <w:left w:val="nil"/>
              <w:bottom w:val="single" w:color="000000" w:sz="12" w:space="0"/>
              <w:right w:val="nil"/>
            </w:tcBorders>
            <w:noWrap/>
            <w:vAlign w:val="center"/>
          </w:tcPr>
          <w:p w14:paraId="2F28D74A">
            <w:pPr>
              <w:widowControl/>
              <w:spacing w:line="240" w:lineRule="auto"/>
              <w:ind w:firstLine="0" w:firstLineChars="0"/>
              <w:jc w:val="center"/>
              <w:rPr>
                <w:rFonts w:eastAsia="Times New Roman" w:cs="Times New Roman"/>
                <w:color w:val="000000"/>
              </w:rPr>
            </w:pPr>
            <w:r>
              <w:rPr>
                <w:rFonts w:eastAsia="Times New Roman" w:cs="Times New Roman"/>
                <w:color w:val="000000"/>
              </w:rPr>
              <w:t>39.09</w:t>
            </w:r>
          </w:p>
        </w:tc>
        <w:tc>
          <w:tcPr>
            <w:tcW w:w="1637" w:type="dxa"/>
            <w:tcBorders>
              <w:top w:val="nil"/>
              <w:left w:val="nil"/>
              <w:bottom w:val="single" w:color="000000" w:sz="12" w:space="0"/>
              <w:right w:val="nil"/>
            </w:tcBorders>
            <w:noWrap/>
            <w:vAlign w:val="center"/>
          </w:tcPr>
          <w:p w14:paraId="4CD80308">
            <w:pPr>
              <w:widowControl/>
              <w:spacing w:line="240" w:lineRule="auto"/>
              <w:ind w:firstLine="0" w:firstLineChars="0"/>
              <w:jc w:val="center"/>
              <w:rPr>
                <w:rFonts w:eastAsia="Times New Roman" w:cs="Times New Roman"/>
                <w:color w:val="000000"/>
              </w:rPr>
            </w:pPr>
            <w:r>
              <w:rPr>
                <w:rFonts w:eastAsia="Times New Roman" w:cs="Times New Roman"/>
                <w:color w:val="000000"/>
              </w:rPr>
              <w:t>4.50E-07</w:t>
            </w:r>
          </w:p>
        </w:tc>
        <w:tc>
          <w:tcPr>
            <w:tcW w:w="1581" w:type="dxa"/>
            <w:tcBorders>
              <w:top w:val="nil"/>
              <w:left w:val="nil"/>
              <w:bottom w:val="single" w:color="000000" w:sz="12" w:space="0"/>
              <w:right w:val="nil"/>
            </w:tcBorders>
            <w:noWrap/>
            <w:vAlign w:val="center"/>
          </w:tcPr>
          <w:p w14:paraId="15F918E2">
            <w:pPr>
              <w:widowControl/>
              <w:spacing w:line="240" w:lineRule="auto"/>
              <w:ind w:firstLine="0" w:firstLineChars="0"/>
              <w:jc w:val="center"/>
              <w:rPr>
                <w:rFonts w:eastAsia="Times New Roman" w:cs="Times New Roman"/>
                <w:color w:val="000000"/>
              </w:rPr>
            </w:pPr>
            <w:r>
              <w:rPr>
                <w:rFonts w:eastAsia="Times New Roman" w:cs="Times New Roman"/>
                <w:color w:val="000000"/>
              </w:rPr>
              <w:t>10.54</w:t>
            </w:r>
          </w:p>
        </w:tc>
        <w:tc>
          <w:tcPr>
            <w:tcW w:w="895" w:type="dxa"/>
            <w:tcBorders>
              <w:top w:val="nil"/>
              <w:left w:val="nil"/>
              <w:bottom w:val="single" w:color="000000" w:sz="12" w:space="0"/>
              <w:right w:val="nil"/>
            </w:tcBorders>
            <w:noWrap/>
            <w:vAlign w:val="center"/>
          </w:tcPr>
          <w:p w14:paraId="103C5AD0">
            <w:pPr>
              <w:widowControl/>
              <w:spacing w:line="240" w:lineRule="auto"/>
              <w:ind w:firstLine="0" w:firstLineChars="0"/>
              <w:jc w:val="center"/>
              <w:rPr>
                <w:rFonts w:eastAsia="Times New Roman" w:cs="Times New Roman"/>
                <w:color w:val="000000"/>
              </w:rPr>
            </w:pPr>
            <w:r>
              <w:rPr>
                <w:rFonts w:eastAsia="Times New Roman" w:cs="Times New Roman"/>
                <w:color w:val="000000"/>
              </w:rPr>
              <w:t>0.8552</w:t>
            </w:r>
          </w:p>
        </w:tc>
      </w:tr>
    </w:tbl>
    <w:p w14:paraId="742BB8ED">
      <w:pPr>
        <w:ind w:firstLine="480"/>
        <w:rPr>
          <w:rFonts w:cs="Times New Roman"/>
        </w:rPr>
      </w:pPr>
      <w:r>
        <w:rPr>
          <w:rFonts w:cs="Times New Roman"/>
        </w:rPr>
        <w:br w:type="textWrapping" w:clear="all"/>
      </w:r>
    </w:p>
    <w:p w14:paraId="4C625A34">
      <w:pPr>
        <w:widowControl/>
        <w:ind w:firstLine="480"/>
        <w:rPr>
          <w:rFonts w:cs="Times New Roman"/>
          <w:b/>
          <w:bCs/>
          <w:szCs w:val="24"/>
        </w:rPr>
        <w:sectPr>
          <w:pgSz w:w="16838" w:h="11906" w:orient="landscape"/>
          <w:pgMar w:top="1440" w:right="1440" w:bottom="1440" w:left="1440" w:header="851" w:footer="992" w:gutter="0"/>
          <w:cols w:space="720" w:num="1"/>
          <w:docGrid w:linePitch="299" w:charSpace="0"/>
        </w:sectPr>
      </w:pPr>
    </w:p>
    <w:p w14:paraId="742B4B56">
      <w:pPr>
        <w:pStyle w:val="2"/>
        <w:rPr>
          <w:rFonts w:cs="Times New Roman"/>
          <w:sz w:val="21"/>
          <w:szCs w:val="21"/>
        </w:rPr>
      </w:pPr>
      <w:bookmarkStart w:id="19" w:name="_Toc228301084"/>
      <w:r>
        <w:rPr>
          <w:rFonts w:cs="Times New Roman"/>
          <w:b/>
          <w:bCs/>
        </w:rPr>
        <w:t xml:space="preserve">Table S5 </w:t>
      </w:r>
      <w:r>
        <w:rPr>
          <w:rFonts w:cs="Times New Roman"/>
        </w:rPr>
        <w:t>Release ratio and hysteresis index of FL on various PVC MPs after the third desorption</w:t>
      </w:r>
      <w:bookmarkEnd w:id="19"/>
    </w:p>
    <w:tbl>
      <w:tblPr>
        <w:tblStyle w:val="21"/>
        <w:tblW w:w="14100" w:type="dxa"/>
        <w:tblInd w:w="-142" w:type="dxa"/>
        <w:tblLayout w:type="fixed"/>
        <w:tblCellMar>
          <w:top w:w="0" w:type="dxa"/>
          <w:left w:w="108" w:type="dxa"/>
          <w:bottom w:w="0" w:type="dxa"/>
          <w:right w:w="108" w:type="dxa"/>
        </w:tblCellMar>
      </w:tblPr>
      <w:tblGrid>
        <w:gridCol w:w="1398"/>
        <w:gridCol w:w="1833"/>
        <w:gridCol w:w="873"/>
        <w:gridCol w:w="962"/>
        <w:gridCol w:w="964"/>
        <w:gridCol w:w="962"/>
        <w:gridCol w:w="962"/>
        <w:gridCol w:w="964"/>
        <w:gridCol w:w="1112"/>
        <w:gridCol w:w="1112"/>
        <w:gridCol w:w="1242"/>
        <w:gridCol w:w="1480"/>
        <w:gridCol w:w="236"/>
      </w:tblGrid>
      <w:tr w14:paraId="687A2D61">
        <w:tblPrEx>
          <w:tblCellMar>
            <w:top w:w="0" w:type="dxa"/>
            <w:left w:w="108" w:type="dxa"/>
            <w:bottom w:w="0" w:type="dxa"/>
            <w:right w:w="108" w:type="dxa"/>
          </w:tblCellMar>
        </w:tblPrEx>
        <w:trPr>
          <w:gridAfter w:val="1"/>
          <w:wAfter w:w="235" w:type="dxa"/>
          <w:trHeight w:val="505" w:hRule="atLeast"/>
        </w:trPr>
        <w:tc>
          <w:tcPr>
            <w:tcW w:w="1399" w:type="dxa"/>
            <w:vMerge w:val="restart"/>
            <w:tcBorders>
              <w:top w:val="single" w:color="000000" w:sz="12" w:space="0"/>
              <w:left w:val="nil"/>
              <w:bottom w:val="single" w:color="000000" w:sz="4" w:space="0"/>
              <w:right w:val="nil"/>
            </w:tcBorders>
            <w:vAlign w:val="center"/>
          </w:tcPr>
          <w:p w14:paraId="3BF62943">
            <w:pPr>
              <w:widowControl/>
              <w:spacing w:line="240" w:lineRule="auto"/>
              <w:ind w:firstLine="0" w:firstLineChars="0"/>
              <w:jc w:val="center"/>
              <w:rPr>
                <w:rFonts w:eastAsia="Times New Roman" w:cs="Times New Roman"/>
                <w:b/>
                <w:bCs/>
                <w:color w:val="000000"/>
              </w:rPr>
            </w:pPr>
            <w:r>
              <w:rPr>
                <w:rFonts w:eastAsia="Times New Roman" w:cs="Times New Roman"/>
                <w:b/>
                <w:bCs/>
                <w:color w:val="000000"/>
              </w:rPr>
              <w:t>Absorbate</w:t>
            </w:r>
          </w:p>
        </w:tc>
        <w:tc>
          <w:tcPr>
            <w:tcW w:w="1833" w:type="dxa"/>
            <w:vMerge w:val="restart"/>
            <w:tcBorders>
              <w:top w:val="single" w:color="000000" w:sz="12" w:space="0"/>
              <w:left w:val="nil"/>
              <w:bottom w:val="single" w:color="000000" w:sz="4" w:space="0"/>
              <w:right w:val="nil"/>
            </w:tcBorders>
            <w:vAlign w:val="center"/>
          </w:tcPr>
          <w:p w14:paraId="6D99D577">
            <w:pPr>
              <w:widowControl/>
              <w:spacing w:line="240" w:lineRule="auto"/>
              <w:ind w:firstLine="0" w:firstLineChars="0"/>
              <w:jc w:val="center"/>
              <w:rPr>
                <w:rFonts w:eastAsia="Times New Roman" w:cs="Times New Roman"/>
                <w:b/>
                <w:bCs/>
                <w:color w:val="000000"/>
              </w:rPr>
            </w:pPr>
            <w:r>
              <w:rPr>
                <w:rFonts w:eastAsia="Times New Roman" w:cs="Times New Roman"/>
                <w:b/>
                <w:bCs/>
                <w:color w:val="000000"/>
              </w:rPr>
              <w:t>Adsorbent</w:t>
            </w:r>
          </w:p>
        </w:tc>
        <w:tc>
          <w:tcPr>
            <w:tcW w:w="2799" w:type="dxa"/>
            <w:gridSpan w:val="3"/>
            <w:vMerge w:val="restart"/>
            <w:tcBorders>
              <w:top w:val="single" w:color="000000" w:sz="12" w:space="0"/>
              <w:left w:val="nil"/>
              <w:bottom w:val="single" w:color="000000" w:sz="4" w:space="0"/>
              <w:right w:val="nil"/>
            </w:tcBorders>
            <w:vAlign w:val="center"/>
          </w:tcPr>
          <w:p w14:paraId="419F262C">
            <w:pPr>
              <w:widowControl/>
              <w:spacing w:line="240" w:lineRule="auto"/>
              <w:ind w:firstLine="0" w:firstLineChars="0"/>
              <w:jc w:val="center"/>
              <w:rPr>
                <w:rFonts w:eastAsia="Times New Roman" w:cs="Times New Roman"/>
                <w:b/>
                <w:bCs/>
                <w:color w:val="000000"/>
              </w:rPr>
            </w:pPr>
            <w:r>
              <w:rPr>
                <w:rFonts w:eastAsia="Times New Roman" w:cs="Times New Roman"/>
                <w:b/>
                <w:bCs/>
                <w:color w:val="000000"/>
              </w:rPr>
              <w:t>Sorption</w:t>
            </w:r>
          </w:p>
        </w:tc>
        <w:tc>
          <w:tcPr>
            <w:tcW w:w="2888" w:type="dxa"/>
            <w:gridSpan w:val="3"/>
            <w:vMerge w:val="restart"/>
            <w:tcBorders>
              <w:top w:val="single" w:color="000000" w:sz="12" w:space="0"/>
              <w:left w:val="nil"/>
              <w:bottom w:val="single" w:color="000000" w:sz="4" w:space="0"/>
              <w:right w:val="nil"/>
            </w:tcBorders>
            <w:vAlign w:val="center"/>
          </w:tcPr>
          <w:p w14:paraId="11884E36">
            <w:pPr>
              <w:widowControl/>
              <w:spacing w:line="240" w:lineRule="auto"/>
              <w:ind w:firstLine="0" w:firstLineChars="0"/>
              <w:jc w:val="center"/>
              <w:rPr>
                <w:rFonts w:eastAsia="Times New Roman" w:cs="Times New Roman"/>
                <w:b/>
                <w:bCs/>
                <w:color w:val="000000"/>
              </w:rPr>
            </w:pPr>
            <w:r>
              <w:rPr>
                <w:rFonts w:eastAsia="Times New Roman" w:cs="Times New Roman"/>
                <w:b/>
                <w:bCs/>
                <w:color w:val="000000"/>
              </w:rPr>
              <w:t>Desorption 3</w:t>
            </w:r>
          </w:p>
        </w:tc>
        <w:tc>
          <w:tcPr>
            <w:tcW w:w="2224" w:type="dxa"/>
            <w:gridSpan w:val="2"/>
            <w:vMerge w:val="restart"/>
            <w:tcBorders>
              <w:top w:val="single" w:color="000000" w:sz="12" w:space="0"/>
              <w:left w:val="nil"/>
              <w:right w:val="nil"/>
            </w:tcBorders>
            <w:vAlign w:val="center"/>
          </w:tcPr>
          <w:p w14:paraId="352D3A7F">
            <w:pPr>
              <w:widowControl/>
              <w:spacing w:line="240" w:lineRule="auto"/>
              <w:ind w:firstLine="0" w:firstLineChars="0"/>
              <w:jc w:val="center"/>
              <w:rPr>
                <w:rFonts w:cs="Times New Roman" w:eastAsiaTheme="minorEastAsia"/>
                <w:b/>
                <w:bCs/>
                <w:color w:val="000000"/>
                <w:vertAlign w:val="superscript"/>
              </w:rPr>
            </w:pPr>
            <w:r>
              <w:rPr>
                <w:rFonts w:eastAsia="Times New Roman" w:cs="Times New Roman"/>
                <w:b/>
                <w:bCs/>
                <w:color w:val="000000"/>
              </w:rPr>
              <w:t>Release ratio</w:t>
            </w:r>
            <w:r>
              <w:rPr>
                <w:rFonts w:cs="Times New Roman" w:eastAsiaTheme="minorEastAsia"/>
                <w:b/>
                <w:bCs/>
                <w:color w:val="000000"/>
                <w:vertAlign w:val="superscript"/>
              </w:rPr>
              <w:t>a</w:t>
            </w:r>
          </w:p>
          <w:p w14:paraId="2329DB8D">
            <w:pPr>
              <w:widowControl/>
              <w:spacing w:line="240" w:lineRule="auto"/>
              <w:ind w:firstLine="0" w:firstLineChars="0"/>
              <w:jc w:val="center"/>
              <w:rPr>
                <w:rFonts w:cs="Times New Roman" w:eastAsiaTheme="minorEastAsia"/>
                <w:b/>
                <w:bCs/>
                <w:color w:val="000000"/>
              </w:rPr>
            </w:pPr>
            <w:r>
              <w:rPr>
                <w:rFonts w:eastAsia="Times New Roman" w:cs="Times New Roman"/>
                <w:b/>
                <w:bCs/>
                <w:color w:val="000000"/>
              </w:rPr>
              <w:t>(</w:t>
            </w:r>
            <w:r>
              <w:rPr>
                <w:rFonts w:eastAsia="Times New Roman" w:cs="Times New Roman"/>
                <w:b/>
                <w:bCs/>
                <w:i/>
                <w:iCs/>
                <w:color w:val="000000"/>
              </w:rPr>
              <w:t>R</w:t>
            </w:r>
            <w:r>
              <w:rPr>
                <w:rFonts w:eastAsia="Times New Roman" w:cs="Times New Roman"/>
                <w:b/>
                <w:bCs/>
                <w:i/>
                <w:iCs/>
                <w:color w:val="000000"/>
                <w:vertAlign w:val="subscript"/>
              </w:rPr>
              <w:t>r</w:t>
            </w:r>
            <w:r>
              <w:rPr>
                <w:rFonts w:eastAsia="Times New Roman" w:cs="Times New Roman"/>
                <w:b/>
                <w:bCs/>
                <w:color w:val="000000"/>
              </w:rPr>
              <w:t>,</w:t>
            </w:r>
            <w:r>
              <w:rPr>
                <w:rFonts w:eastAsia="Times New Roman" w:cs="Times New Roman"/>
                <w:b/>
                <w:bCs/>
                <w:i/>
                <w:iCs/>
                <w:color w:val="000000"/>
                <w:vertAlign w:val="subscript"/>
              </w:rPr>
              <w:t xml:space="preserve"> </w:t>
            </w:r>
            <w:r>
              <w:rPr>
                <w:rFonts w:eastAsia="Times New Roman" w:cs="Times New Roman"/>
                <w:b/>
                <w:bCs/>
                <w:color w:val="000000"/>
              </w:rPr>
              <w:t>%)</w:t>
            </w:r>
          </w:p>
        </w:tc>
        <w:tc>
          <w:tcPr>
            <w:tcW w:w="2722" w:type="dxa"/>
            <w:gridSpan w:val="2"/>
            <w:vMerge w:val="restart"/>
            <w:tcBorders>
              <w:top w:val="single" w:color="000000" w:sz="12" w:space="0"/>
              <w:left w:val="nil"/>
              <w:right w:val="nil"/>
            </w:tcBorders>
            <w:vAlign w:val="center"/>
          </w:tcPr>
          <w:p w14:paraId="17D879A8">
            <w:pPr>
              <w:widowControl/>
              <w:spacing w:line="240" w:lineRule="auto"/>
              <w:ind w:firstLine="0" w:firstLineChars="0"/>
              <w:jc w:val="center"/>
              <w:rPr>
                <w:rFonts w:cs="Times New Roman" w:eastAsiaTheme="minorEastAsia"/>
                <w:b/>
                <w:bCs/>
                <w:color w:val="000000"/>
              </w:rPr>
            </w:pPr>
            <w:bookmarkStart w:id="20" w:name="_Hlk193271524"/>
            <w:r>
              <w:rPr>
                <w:rFonts w:eastAsia="Times New Roman" w:cs="Times New Roman"/>
                <w:b/>
                <w:bCs/>
                <w:color w:val="000000"/>
              </w:rPr>
              <w:t>Hysteresis index</w:t>
            </w:r>
            <w:bookmarkEnd w:id="20"/>
            <w:r>
              <w:rPr>
                <w:rFonts w:cs="Times New Roman" w:eastAsiaTheme="minorEastAsia"/>
                <w:b/>
                <w:bCs/>
                <w:color w:val="000000"/>
                <w:vertAlign w:val="superscript"/>
              </w:rPr>
              <w:t>b</w:t>
            </w:r>
          </w:p>
          <w:p w14:paraId="66BFD5CE">
            <w:pPr>
              <w:widowControl/>
              <w:spacing w:line="240" w:lineRule="auto"/>
              <w:ind w:firstLine="0" w:firstLineChars="0"/>
              <w:jc w:val="center"/>
              <w:rPr>
                <w:rFonts w:eastAsia="Times New Roman" w:cs="Times New Roman"/>
                <w:b/>
                <w:bCs/>
                <w:color w:val="000000"/>
              </w:rPr>
            </w:pPr>
            <w:r>
              <w:rPr>
                <w:rFonts w:eastAsia="Times New Roman" w:cs="Times New Roman"/>
                <w:b/>
                <w:bCs/>
                <w:color w:val="000000"/>
              </w:rPr>
              <w:t>(</w:t>
            </w:r>
            <w:r>
              <w:rPr>
                <w:rFonts w:eastAsia="Times New Roman" w:cs="Times New Roman"/>
                <w:b/>
                <w:bCs/>
                <w:i/>
                <w:iCs/>
                <w:color w:val="000000"/>
              </w:rPr>
              <w:t>HI</w:t>
            </w:r>
            <w:r>
              <w:rPr>
                <w:rFonts w:eastAsia="Times New Roman" w:cs="Times New Roman"/>
                <w:b/>
                <w:bCs/>
                <w:color w:val="000000"/>
              </w:rPr>
              <w:t>)</w:t>
            </w:r>
          </w:p>
        </w:tc>
      </w:tr>
      <w:tr w14:paraId="16ACAE77">
        <w:tblPrEx>
          <w:tblCellMar>
            <w:top w:w="0" w:type="dxa"/>
            <w:left w:w="108" w:type="dxa"/>
            <w:bottom w:w="0" w:type="dxa"/>
            <w:right w:w="108" w:type="dxa"/>
          </w:tblCellMar>
        </w:tblPrEx>
        <w:trPr>
          <w:trHeight w:val="324" w:hRule="atLeast"/>
        </w:trPr>
        <w:tc>
          <w:tcPr>
            <w:tcW w:w="1399" w:type="dxa"/>
            <w:vMerge w:val="continue"/>
            <w:tcBorders>
              <w:top w:val="single" w:color="auto" w:sz="4" w:space="0"/>
              <w:left w:val="nil"/>
              <w:bottom w:val="single" w:color="000000" w:sz="4" w:space="0"/>
              <w:right w:val="nil"/>
            </w:tcBorders>
            <w:vAlign w:val="center"/>
          </w:tcPr>
          <w:p w14:paraId="322BD182">
            <w:pPr>
              <w:widowControl/>
              <w:spacing w:line="240" w:lineRule="auto"/>
              <w:ind w:firstLine="0" w:firstLineChars="0"/>
              <w:jc w:val="center"/>
              <w:rPr>
                <w:rFonts w:eastAsia="Times New Roman" w:cs="Times New Roman"/>
                <w:b/>
                <w:bCs/>
                <w:color w:val="000000"/>
              </w:rPr>
            </w:pPr>
          </w:p>
        </w:tc>
        <w:tc>
          <w:tcPr>
            <w:tcW w:w="1833" w:type="dxa"/>
            <w:vMerge w:val="continue"/>
            <w:tcBorders>
              <w:top w:val="single" w:color="auto" w:sz="4" w:space="0"/>
              <w:left w:val="nil"/>
              <w:bottom w:val="single" w:color="000000" w:sz="4" w:space="0"/>
              <w:right w:val="nil"/>
            </w:tcBorders>
            <w:vAlign w:val="center"/>
          </w:tcPr>
          <w:p w14:paraId="561137F3">
            <w:pPr>
              <w:widowControl/>
              <w:spacing w:line="240" w:lineRule="auto"/>
              <w:ind w:firstLine="0" w:firstLineChars="0"/>
              <w:jc w:val="center"/>
              <w:rPr>
                <w:rFonts w:eastAsia="Times New Roman" w:cs="Times New Roman"/>
                <w:b/>
                <w:bCs/>
                <w:color w:val="000000"/>
              </w:rPr>
            </w:pPr>
          </w:p>
        </w:tc>
        <w:tc>
          <w:tcPr>
            <w:tcW w:w="2799" w:type="dxa"/>
            <w:gridSpan w:val="3"/>
            <w:vMerge w:val="continue"/>
            <w:tcBorders>
              <w:top w:val="single" w:color="auto" w:sz="4" w:space="0"/>
              <w:left w:val="nil"/>
              <w:bottom w:val="single" w:color="000000" w:sz="4" w:space="0"/>
              <w:right w:val="nil"/>
            </w:tcBorders>
            <w:vAlign w:val="center"/>
          </w:tcPr>
          <w:p w14:paraId="6D9C494E">
            <w:pPr>
              <w:widowControl/>
              <w:spacing w:line="240" w:lineRule="auto"/>
              <w:ind w:firstLine="0" w:firstLineChars="0"/>
              <w:jc w:val="center"/>
              <w:rPr>
                <w:rFonts w:eastAsia="Times New Roman" w:cs="Times New Roman"/>
                <w:b/>
                <w:bCs/>
                <w:color w:val="000000"/>
              </w:rPr>
            </w:pPr>
          </w:p>
        </w:tc>
        <w:tc>
          <w:tcPr>
            <w:tcW w:w="2888" w:type="dxa"/>
            <w:gridSpan w:val="3"/>
            <w:vMerge w:val="continue"/>
            <w:tcBorders>
              <w:top w:val="single" w:color="auto" w:sz="4" w:space="0"/>
              <w:left w:val="nil"/>
              <w:bottom w:val="single" w:color="000000" w:sz="4" w:space="0"/>
              <w:right w:val="nil"/>
            </w:tcBorders>
            <w:vAlign w:val="center"/>
          </w:tcPr>
          <w:p w14:paraId="1FB521FC">
            <w:pPr>
              <w:widowControl/>
              <w:spacing w:line="240" w:lineRule="auto"/>
              <w:ind w:firstLine="0" w:firstLineChars="0"/>
              <w:jc w:val="center"/>
              <w:rPr>
                <w:rFonts w:eastAsia="Times New Roman" w:cs="Times New Roman"/>
                <w:b/>
                <w:bCs/>
                <w:color w:val="000000"/>
              </w:rPr>
            </w:pPr>
          </w:p>
        </w:tc>
        <w:tc>
          <w:tcPr>
            <w:tcW w:w="2224" w:type="dxa"/>
            <w:gridSpan w:val="2"/>
            <w:vMerge w:val="continue"/>
            <w:tcBorders>
              <w:left w:val="nil"/>
              <w:bottom w:val="single" w:color="000000" w:sz="4" w:space="0"/>
              <w:right w:val="nil"/>
            </w:tcBorders>
            <w:vAlign w:val="center"/>
          </w:tcPr>
          <w:p w14:paraId="02E582B6">
            <w:pPr>
              <w:widowControl/>
              <w:spacing w:line="240" w:lineRule="auto"/>
              <w:ind w:firstLine="0" w:firstLineChars="0"/>
              <w:jc w:val="center"/>
              <w:rPr>
                <w:rFonts w:eastAsia="Times New Roman" w:cs="Times New Roman"/>
                <w:b/>
                <w:bCs/>
                <w:color w:val="000000"/>
              </w:rPr>
            </w:pPr>
          </w:p>
        </w:tc>
        <w:tc>
          <w:tcPr>
            <w:tcW w:w="2722" w:type="dxa"/>
            <w:gridSpan w:val="2"/>
            <w:vMerge w:val="continue"/>
            <w:tcBorders>
              <w:left w:val="nil"/>
              <w:bottom w:val="single" w:color="000000" w:sz="4" w:space="0"/>
              <w:right w:val="nil"/>
            </w:tcBorders>
            <w:vAlign w:val="center"/>
          </w:tcPr>
          <w:p w14:paraId="39D44281">
            <w:pPr>
              <w:widowControl/>
              <w:spacing w:line="240" w:lineRule="auto"/>
              <w:ind w:firstLine="0" w:firstLineChars="0"/>
              <w:jc w:val="center"/>
              <w:rPr>
                <w:rFonts w:eastAsia="Times New Roman" w:cs="Times New Roman"/>
                <w:b/>
                <w:bCs/>
                <w:color w:val="000000"/>
              </w:rPr>
            </w:pPr>
          </w:p>
        </w:tc>
        <w:tc>
          <w:tcPr>
            <w:tcW w:w="235" w:type="dxa"/>
            <w:tcBorders>
              <w:top w:val="nil"/>
              <w:left w:val="nil"/>
              <w:bottom w:val="nil"/>
              <w:right w:val="nil"/>
            </w:tcBorders>
            <w:noWrap/>
            <w:vAlign w:val="center"/>
          </w:tcPr>
          <w:p w14:paraId="1F082629">
            <w:pPr>
              <w:widowControl/>
              <w:spacing w:line="240" w:lineRule="auto"/>
              <w:ind w:firstLine="0" w:firstLineChars="0"/>
              <w:jc w:val="center"/>
              <w:rPr>
                <w:rFonts w:eastAsia="Times New Roman" w:cs="Times New Roman"/>
                <w:b/>
                <w:bCs/>
                <w:color w:val="000000"/>
              </w:rPr>
            </w:pPr>
          </w:p>
        </w:tc>
      </w:tr>
      <w:tr w14:paraId="56C32EFC">
        <w:tblPrEx>
          <w:tblCellMar>
            <w:top w:w="0" w:type="dxa"/>
            <w:left w:w="108" w:type="dxa"/>
            <w:bottom w:w="0" w:type="dxa"/>
            <w:right w:w="108" w:type="dxa"/>
          </w:tblCellMar>
        </w:tblPrEx>
        <w:trPr>
          <w:trHeight w:val="405" w:hRule="atLeast"/>
        </w:trPr>
        <w:tc>
          <w:tcPr>
            <w:tcW w:w="1399" w:type="dxa"/>
            <w:vMerge w:val="continue"/>
            <w:tcBorders>
              <w:top w:val="single" w:color="auto" w:sz="4" w:space="0"/>
              <w:left w:val="nil"/>
              <w:bottom w:val="single" w:color="000000" w:sz="4" w:space="0"/>
              <w:right w:val="nil"/>
            </w:tcBorders>
            <w:vAlign w:val="center"/>
          </w:tcPr>
          <w:p w14:paraId="79ADCE37">
            <w:pPr>
              <w:widowControl/>
              <w:spacing w:line="240" w:lineRule="auto"/>
              <w:ind w:firstLine="0" w:firstLineChars="0"/>
              <w:jc w:val="center"/>
              <w:rPr>
                <w:rFonts w:eastAsia="Times New Roman" w:cs="Times New Roman"/>
                <w:b/>
                <w:bCs/>
                <w:color w:val="000000"/>
              </w:rPr>
            </w:pPr>
          </w:p>
        </w:tc>
        <w:tc>
          <w:tcPr>
            <w:tcW w:w="1833" w:type="dxa"/>
            <w:vMerge w:val="continue"/>
            <w:tcBorders>
              <w:top w:val="single" w:color="auto" w:sz="4" w:space="0"/>
              <w:left w:val="nil"/>
              <w:bottom w:val="single" w:color="000000" w:sz="4" w:space="0"/>
              <w:right w:val="nil"/>
            </w:tcBorders>
            <w:vAlign w:val="center"/>
          </w:tcPr>
          <w:p w14:paraId="1BCCFCA8">
            <w:pPr>
              <w:widowControl/>
              <w:spacing w:line="240" w:lineRule="auto"/>
              <w:ind w:firstLine="0" w:firstLineChars="0"/>
              <w:jc w:val="center"/>
              <w:rPr>
                <w:rFonts w:eastAsia="Times New Roman" w:cs="Times New Roman"/>
                <w:b/>
                <w:bCs/>
                <w:color w:val="000000"/>
              </w:rPr>
            </w:pPr>
          </w:p>
        </w:tc>
        <w:tc>
          <w:tcPr>
            <w:tcW w:w="873" w:type="dxa"/>
            <w:tcBorders>
              <w:top w:val="nil"/>
              <w:left w:val="nil"/>
              <w:bottom w:val="single" w:color="000000" w:sz="4" w:space="0"/>
              <w:right w:val="nil"/>
            </w:tcBorders>
            <w:vAlign w:val="center"/>
          </w:tcPr>
          <w:p w14:paraId="2205896E">
            <w:pPr>
              <w:widowControl/>
              <w:spacing w:line="240" w:lineRule="auto"/>
              <w:ind w:firstLine="0" w:firstLineChars="0"/>
              <w:jc w:val="center"/>
              <w:rPr>
                <w:rFonts w:eastAsia="Times New Roman" w:cs="Times New Roman"/>
                <w:b/>
                <w:bCs/>
                <w:i/>
                <w:iCs/>
                <w:color w:val="000000"/>
              </w:rPr>
            </w:pPr>
            <w:r>
              <w:rPr>
                <w:rFonts w:eastAsia="Times New Roman" w:cs="Times New Roman"/>
                <w:b/>
                <w:bCs/>
                <w:i/>
                <w:iCs/>
                <w:color w:val="000000"/>
              </w:rPr>
              <w:t>K</w:t>
            </w:r>
            <w:r>
              <w:rPr>
                <w:rFonts w:eastAsia="Times New Roman" w:cs="Times New Roman"/>
                <w:b/>
                <w:bCs/>
                <w:color w:val="000000"/>
                <w:vertAlign w:val="subscript"/>
              </w:rPr>
              <w:t>f</w:t>
            </w:r>
          </w:p>
        </w:tc>
        <w:tc>
          <w:tcPr>
            <w:tcW w:w="962" w:type="dxa"/>
            <w:tcBorders>
              <w:top w:val="nil"/>
              <w:left w:val="nil"/>
              <w:bottom w:val="single" w:color="000000" w:sz="4" w:space="0"/>
              <w:right w:val="nil"/>
            </w:tcBorders>
            <w:vAlign w:val="center"/>
          </w:tcPr>
          <w:p w14:paraId="497616FA">
            <w:pPr>
              <w:widowControl/>
              <w:spacing w:line="240" w:lineRule="auto"/>
              <w:ind w:firstLine="0" w:firstLineChars="0"/>
              <w:jc w:val="center"/>
              <w:rPr>
                <w:rFonts w:eastAsia="Times New Roman" w:cs="Times New Roman"/>
                <w:b/>
                <w:bCs/>
                <w:color w:val="000000"/>
              </w:rPr>
            </w:pPr>
            <w:r>
              <w:rPr>
                <w:rFonts w:eastAsia="Times New Roman" w:cs="Times New Roman"/>
                <w:b/>
                <w:bCs/>
                <w:i/>
                <w:iCs/>
                <w:color w:val="000000"/>
              </w:rPr>
              <w:t>n</w:t>
            </w:r>
          </w:p>
        </w:tc>
        <w:tc>
          <w:tcPr>
            <w:tcW w:w="964" w:type="dxa"/>
            <w:tcBorders>
              <w:top w:val="nil"/>
              <w:left w:val="nil"/>
              <w:bottom w:val="single" w:color="000000" w:sz="4" w:space="0"/>
              <w:right w:val="nil"/>
            </w:tcBorders>
            <w:vAlign w:val="center"/>
          </w:tcPr>
          <w:p w14:paraId="525C62BD">
            <w:pPr>
              <w:widowControl/>
              <w:spacing w:line="240" w:lineRule="auto"/>
              <w:ind w:firstLine="0" w:firstLineChars="0"/>
              <w:jc w:val="center"/>
              <w:rPr>
                <w:rFonts w:eastAsia="Times New Roman" w:cs="Times New Roman"/>
                <w:b/>
                <w:bCs/>
                <w:i/>
                <w:iCs/>
                <w:color w:val="000000"/>
              </w:rPr>
            </w:pPr>
            <w:r>
              <w:rPr>
                <w:rFonts w:eastAsia="Times New Roman" w:cs="Times New Roman"/>
                <w:b/>
                <w:bCs/>
                <w:i/>
                <w:iCs/>
                <w:color w:val="000000"/>
              </w:rPr>
              <w:t>r</w:t>
            </w:r>
            <w:r>
              <w:rPr>
                <w:rFonts w:eastAsia="Times New Roman" w:cs="Times New Roman"/>
                <w:b/>
                <w:bCs/>
                <w:i w:val="0"/>
                <w:iCs w:val="0"/>
                <w:color w:val="000000"/>
                <w:vertAlign w:val="subscript"/>
              </w:rPr>
              <w:t>adj</w:t>
            </w:r>
            <w:r>
              <w:rPr>
                <w:rFonts w:eastAsia="Times New Roman" w:cs="Times New Roman"/>
                <w:b/>
                <w:bCs/>
                <w:i w:val="0"/>
                <w:iCs w:val="0"/>
                <w:color w:val="000000"/>
                <w:vertAlign w:val="superscript"/>
              </w:rPr>
              <w:t>2</w:t>
            </w:r>
          </w:p>
        </w:tc>
        <w:tc>
          <w:tcPr>
            <w:tcW w:w="962" w:type="dxa"/>
            <w:tcBorders>
              <w:top w:val="nil"/>
              <w:left w:val="nil"/>
              <w:bottom w:val="single" w:color="000000" w:sz="4" w:space="0"/>
              <w:right w:val="nil"/>
            </w:tcBorders>
            <w:vAlign w:val="center"/>
          </w:tcPr>
          <w:p w14:paraId="3D44D868">
            <w:pPr>
              <w:widowControl/>
              <w:spacing w:line="240" w:lineRule="auto"/>
              <w:ind w:firstLine="0" w:firstLineChars="0"/>
              <w:jc w:val="center"/>
              <w:rPr>
                <w:rFonts w:eastAsia="Times New Roman" w:cs="Times New Roman"/>
                <w:b/>
                <w:bCs/>
                <w:i/>
                <w:iCs/>
                <w:color w:val="000000"/>
              </w:rPr>
            </w:pPr>
            <w:r>
              <w:rPr>
                <w:rFonts w:eastAsia="Times New Roman" w:cs="Times New Roman"/>
                <w:b/>
                <w:bCs/>
                <w:i/>
                <w:iCs/>
                <w:color w:val="000000"/>
              </w:rPr>
              <w:t>K</w:t>
            </w:r>
            <w:r>
              <w:rPr>
                <w:rFonts w:eastAsia="Times New Roman" w:cs="Times New Roman"/>
                <w:b/>
                <w:bCs/>
                <w:color w:val="000000"/>
                <w:vertAlign w:val="subscript"/>
              </w:rPr>
              <w:t>f</w:t>
            </w:r>
          </w:p>
        </w:tc>
        <w:tc>
          <w:tcPr>
            <w:tcW w:w="962" w:type="dxa"/>
            <w:tcBorders>
              <w:top w:val="nil"/>
              <w:left w:val="nil"/>
              <w:bottom w:val="single" w:color="000000" w:sz="4" w:space="0"/>
              <w:right w:val="nil"/>
            </w:tcBorders>
            <w:vAlign w:val="center"/>
          </w:tcPr>
          <w:p w14:paraId="152EEF44">
            <w:pPr>
              <w:widowControl/>
              <w:spacing w:line="240" w:lineRule="auto"/>
              <w:ind w:firstLine="0" w:firstLineChars="0"/>
              <w:jc w:val="center"/>
              <w:rPr>
                <w:rFonts w:eastAsia="Times New Roman" w:cs="Times New Roman"/>
                <w:b/>
                <w:bCs/>
                <w:color w:val="000000"/>
              </w:rPr>
            </w:pPr>
            <w:r>
              <w:rPr>
                <w:rFonts w:eastAsia="Times New Roman" w:cs="Times New Roman"/>
                <w:b/>
                <w:bCs/>
                <w:i/>
                <w:iCs/>
                <w:color w:val="000000"/>
              </w:rPr>
              <w:t>n</w:t>
            </w:r>
          </w:p>
        </w:tc>
        <w:tc>
          <w:tcPr>
            <w:tcW w:w="964" w:type="dxa"/>
            <w:tcBorders>
              <w:top w:val="nil"/>
              <w:left w:val="nil"/>
              <w:bottom w:val="single" w:color="000000" w:sz="4" w:space="0"/>
              <w:right w:val="nil"/>
            </w:tcBorders>
            <w:vAlign w:val="center"/>
          </w:tcPr>
          <w:p w14:paraId="449DC33E">
            <w:pPr>
              <w:widowControl/>
              <w:spacing w:line="240" w:lineRule="auto"/>
              <w:ind w:firstLine="0" w:firstLineChars="0"/>
              <w:jc w:val="center"/>
              <w:rPr>
                <w:rFonts w:eastAsia="Times New Roman" w:cs="Times New Roman"/>
                <w:b/>
                <w:bCs/>
                <w:i/>
                <w:iCs/>
                <w:color w:val="000000"/>
              </w:rPr>
            </w:pPr>
            <w:r>
              <w:rPr>
                <w:rFonts w:eastAsia="Times New Roman" w:cs="Times New Roman"/>
                <w:b/>
                <w:bCs/>
                <w:i/>
                <w:iCs/>
                <w:color w:val="000000"/>
              </w:rPr>
              <w:t>r</w:t>
            </w:r>
            <w:r>
              <w:rPr>
                <w:rFonts w:eastAsia="Times New Roman" w:cs="Times New Roman"/>
                <w:b/>
                <w:bCs/>
                <w:i w:val="0"/>
                <w:iCs w:val="0"/>
                <w:color w:val="000000"/>
                <w:vertAlign w:val="subscript"/>
              </w:rPr>
              <w:t>adj</w:t>
            </w:r>
            <w:r>
              <w:rPr>
                <w:rFonts w:eastAsia="Times New Roman" w:cs="Times New Roman"/>
                <w:b/>
                <w:bCs/>
                <w:i w:val="0"/>
                <w:iCs w:val="0"/>
                <w:color w:val="000000"/>
                <w:vertAlign w:val="superscript"/>
              </w:rPr>
              <w:t>2</w:t>
            </w:r>
          </w:p>
        </w:tc>
        <w:tc>
          <w:tcPr>
            <w:tcW w:w="1112" w:type="dxa"/>
            <w:tcBorders>
              <w:top w:val="nil"/>
              <w:left w:val="nil"/>
              <w:bottom w:val="single" w:color="000000" w:sz="4" w:space="0"/>
              <w:right w:val="nil"/>
            </w:tcBorders>
            <w:vAlign w:val="center"/>
          </w:tcPr>
          <w:p w14:paraId="7357FC8F">
            <w:pPr>
              <w:widowControl/>
              <w:spacing w:line="240" w:lineRule="auto"/>
              <w:ind w:firstLine="0" w:firstLineChars="0"/>
              <w:jc w:val="center"/>
              <w:rPr>
                <w:rFonts w:eastAsia="Times New Roman" w:cs="Times New Roman"/>
                <w:color w:val="000000"/>
              </w:rPr>
            </w:pPr>
            <w:r>
              <w:rPr>
                <w:rFonts w:eastAsia="Times New Roman" w:cs="Times New Roman"/>
                <w:color w:val="000000"/>
              </w:rPr>
              <w:t>0.96 mg·L</w:t>
            </w:r>
            <w:r>
              <w:rPr>
                <w:rFonts w:hint="default" w:ascii="Times New Roman" w:hAnsi="Times New Roman" w:cs="Times New Roman"/>
                <w:b w:val="0"/>
                <w:bCs w:val="0"/>
                <w:sz w:val="24"/>
                <w:szCs w:val="24"/>
                <w:vertAlign w:val="superscript"/>
                <w:lang w:val="en-US" w:eastAsia="zh-CN"/>
              </w:rPr>
              <w:t>−</w:t>
            </w:r>
            <w:r>
              <w:rPr>
                <w:rFonts w:eastAsia="Times New Roman" w:cs="Times New Roman"/>
                <w:color w:val="000000"/>
                <w:vertAlign w:val="superscript"/>
              </w:rPr>
              <w:t>1</w:t>
            </w:r>
          </w:p>
        </w:tc>
        <w:tc>
          <w:tcPr>
            <w:tcW w:w="1112" w:type="dxa"/>
            <w:tcBorders>
              <w:top w:val="nil"/>
              <w:left w:val="nil"/>
              <w:bottom w:val="single" w:color="000000" w:sz="4" w:space="0"/>
              <w:right w:val="nil"/>
            </w:tcBorders>
            <w:vAlign w:val="center"/>
          </w:tcPr>
          <w:p w14:paraId="1180EE64">
            <w:pPr>
              <w:widowControl/>
              <w:spacing w:line="240" w:lineRule="auto"/>
              <w:ind w:firstLine="0" w:firstLineChars="0"/>
              <w:jc w:val="center"/>
              <w:rPr>
                <w:rFonts w:cs="Times New Roman" w:eastAsiaTheme="minorEastAsia"/>
                <w:color w:val="000000"/>
              </w:rPr>
            </w:pPr>
            <w:r>
              <w:rPr>
                <w:rFonts w:eastAsia="Times New Roman" w:cs="Times New Roman"/>
                <w:color w:val="000000"/>
              </w:rPr>
              <w:t>9.6</w:t>
            </w:r>
          </w:p>
          <w:p w14:paraId="1A46304C">
            <w:pPr>
              <w:widowControl/>
              <w:spacing w:line="240" w:lineRule="auto"/>
              <w:ind w:firstLine="0" w:firstLineChars="0"/>
              <w:jc w:val="center"/>
              <w:rPr>
                <w:rFonts w:eastAsia="Times New Roman" w:cs="Times New Roman"/>
                <w:color w:val="000000"/>
              </w:rPr>
            </w:pPr>
            <w:r>
              <w:rPr>
                <w:rFonts w:eastAsia="Times New Roman" w:cs="Times New Roman"/>
                <w:color w:val="000000"/>
              </w:rPr>
              <w:t>mg·L</w:t>
            </w:r>
            <w:r>
              <w:rPr>
                <w:rFonts w:hint="default" w:ascii="Times New Roman" w:hAnsi="Times New Roman" w:cs="Times New Roman"/>
                <w:b w:val="0"/>
                <w:bCs w:val="0"/>
                <w:sz w:val="24"/>
                <w:szCs w:val="24"/>
                <w:vertAlign w:val="superscript"/>
                <w:lang w:val="en-US" w:eastAsia="zh-CN"/>
              </w:rPr>
              <w:t>−</w:t>
            </w:r>
            <w:r>
              <w:rPr>
                <w:rFonts w:eastAsia="Times New Roman" w:cs="Times New Roman"/>
                <w:color w:val="000000"/>
                <w:vertAlign w:val="superscript"/>
              </w:rPr>
              <w:t>1</w:t>
            </w:r>
          </w:p>
        </w:tc>
        <w:tc>
          <w:tcPr>
            <w:tcW w:w="1242" w:type="dxa"/>
            <w:tcBorders>
              <w:top w:val="nil"/>
              <w:left w:val="nil"/>
              <w:bottom w:val="single" w:color="000000" w:sz="4" w:space="0"/>
              <w:right w:val="nil"/>
            </w:tcBorders>
            <w:vAlign w:val="center"/>
          </w:tcPr>
          <w:p w14:paraId="11B78F68">
            <w:pPr>
              <w:widowControl/>
              <w:spacing w:line="240" w:lineRule="auto"/>
              <w:ind w:firstLine="0" w:firstLineChars="0"/>
              <w:jc w:val="center"/>
              <w:rPr>
                <w:rFonts w:cs="Times New Roman" w:eastAsiaTheme="minorEastAsia"/>
                <w:color w:val="000000"/>
              </w:rPr>
            </w:pPr>
            <w:r>
              <w:rPr>
                <w:rFonts w:eastAsia="Times New Roman" w:cs="Times New Roman"/>
                <w:color w:val="000000"/>
              </w:rPr>
              <w:t>0.96</w:t>
            </w:r>
          </w:p>
          <w:p w14:paraId="4A053A4F">
            <w:pPr>
              <w:widowControl/>
              <w:spacing w:line="240" w:lineRule="auto"/>
              <w:ind w:firstLine="0" w:firstLineChars="0"/>
              <w:jc w:val="center"/>
              <w:rPr>
                <w:rFonts w:eastAsia="Times New Roman" w:cs="Times New Roman"/>
                <w:color w:val="000000"/>
              </w:rPr>
            </w:pPr>
            <w:r>
              <w:rPr>
                <w:rFonts w:eastAsia="Times New Roman" w:cs="Times New Roman"/>
                <w:color w:val="000000"/>
              </w:rPr>
              <w:t>mg·L</w:t>
            </w:r>
            <w:r>
              <w:rPr>
                <w:rFonts w:hint="default" w:ascii="Times New Roman" w:hAnsi="Times New Roman" w:cs="Times New Roman"/>
                <w:b w:val="0"/>
                <w:bCs w:val="0"/>
                <w:sz w:val="24"/>
                <w:szCs w:val="24"/>
                <w:vertAlign w:val="superscript"/>
                <w:lang w:val="en-US" w:eastAsia="zh-CN"/>
              </w:rPr>
              <w:t>−</w:t>
            </w:r>
            <w:r>
              <w:rPr>
                <w:rFonts w:eastAsia="Times New Roman" w:cs="Times New Roman"/>
                <w:color w:val="000000"/>
                <w:vertAlign w:val="superscript"/>
              </w:rPr>
              <w:t>1</w:t>
            </w:r>
          </w:p>
        </w:tc>
        <w:tc>
          <w:tcPr>
            <w:tcW w:w="1480" w:type="dxa"/>
            <w:tcBorders>
              <w:top w:val="nil"/>
              <w:left w:val="nil"/>
              <w:bottom w:val="single" w:color="000000" w:sz="4" w:space="0"/>
              <w:right w:val="nil"/>
            </w:tcBorders>
            <w:vAlign w:val="center"/>
          </w:tcPr>
          <w:p w14:paraId="459AC503">
            <w:pPr>
              <w:widowControl/>
              <w:spacing w:line="240" w:lineRule="auto"/>
              <w:ind w:firstLine="0" w:firstLineChars="0"/>
              <w:jc w:val="center"/>
              <w:rPr>
                <w:rFonts w:cs="Times New Roman" w:eastAsiaTheme="minorEastAsia"/>
                <w:color w:val="000000"/>
              </w:rPr>
            </w:pPr>
            <w:r>
              <w:rPr>
                <w:rFonts w:eastAsia="Times New Roman" w:cs="Times New Roman"/>
                <w:color w:val="000000"/>
              </w:rPr>
              <w:t>9.6</w:t>
            </w:r>
          </w:p>
          <w:p w14:paraId="5D84D589">
            <w:pPr>
              <w:widowControl/>
              <w:spacing w:line="240" w:lineRule="auto"/>
              <w:ind w:firstLine="0" w:firstLineChars="0"/>
              <w:jc w:val="center"/>
              <w:rPr>
                <w:rFonts w:eastAsia="Times New Roman" w:cs="Times New Roman"/>
                <w:color w:val="000000"/>
              </w:rPr>
            </w:pPr>
            <w:r>
              <w:rPr>
                <w:rFonts w:eastAsia="Times New Roman" w:cs="Times New Roman"/>
                <w:color w:val="000000"/>
              </w:rPr>
              <w:t>mg·L</w:t>
            </w:r>
            <w:r>
              <w:rPr>
                <w:rFonts w:hint="default" w:ascii="Times New Roman" w:hAnsi="Times New Roman" w:cs="Times New Roman"/>
                <w:b w:val="0"/>
                <w:bCs w:val="0"/>
                <w:sz w:val="24"/>
                <w:szCs w:val="24"/>
                <w:vertAlign w:val="superscript"/>
                <w:lang w:val="en-US" w:eastAsia="zh-CN"/>
              </w:rPr>
              <w:t>−</w:t>
            </w:r>
            <w:r>
              <w:rPr>
                <w:rFonts w:eastAsia="Times New Roman" w:cs="Times New Roman"/>
                <w:color w:val="000000"/>
                <w:vertAlign w:val="superscript"/>
              </w:rPr>
              <w:t>1</w:t>
            </w:r>
          </w:p>
        </w:tc>
        <w:tc>
          <w:tcPr>
            <w:tcW w:w="235" w:type="dxa"/>
            <w:vAlign w:val="center"/>
          </w:tcPr>
          <w:p w14:paraId="4C00D39E">
            <w:pPr>
              <w:widowControl/>
              <w:spacing w:line="240" w:lineRule="auto"/>
              <w:ind w:firstLine="0" w:firstLineChars="0"/>
              <w:jc w:val="center"/>
              <w:rPr>
                <w:rFonts w:eastAsia="Times New Roman" w:cs="Times New Roman"/>
                <w:sz w:val="20"/>
                <w:szCs w:val="20"/>
              </w:rPr>
            </w:pPr>
          </w:p>
        </w:tc>
      </w:tr>
      <w:tr w14:paraId="0691A67B">
        <w:tblPrEx>
          <w:tblCellMar>
            <w:top w:w="0" w:type="dxa"/>
            <w:left w:w="108" w:type="dxa"/>
            <w:bottom w:w="0" w:type="dxa"/>
            <w:right w:w="108" w:type="dxa"/>
          </w:tblCellMar>
        </w:tblPrEx>
        <w:trPr>
          <w:trHeight w:val="340" w:hRule="atLeast"/>
        </w:trPr>
        <w:tc>
          <w:tcPr>
            <w:tcW w:w="1399" w:type="dxa"/>
            <w:vMerge w:val="restart"/>
            <w:tcBorders>
              <w:top w:val="single" w:color="000000" w:sz="4" w:space="0"/>
              <w:left w:val="nil"/>
              <w:bottom w:val="single" w:color="000000" w:sz="8" w:space="0"/>
              <w:right w:val="nil"/>
            </w:tcBorders>
            <w:vAlign w:val="center"/>
          </w:tcPr>
          <w:p w14:paraId="18EE6A8B">
            <w:pPr>
              <w:widowControl/>
              <w:spacing w:line="240" w:lineRule="auto"/>
              <w:ind w:firstLine="0" w:firstLineChars="0"/>
              <w:jc w:val="center"/>
              <w:rPr>
                <w:rFonts w:eastAsia="Times New Roman" w:cs="Times New Roman"/>
                <w:color w:val="000000"/>
              </w:rPr>
            </w:pPr>
            <w:r>
              <w:rPr>
                <w:rFonts w:eastAsia="Times New Roman" w:cs="Times New Roman"/>
                <w:color w:val="000000"/>
              </w:rPr>
              <w:t>FL</w:t>
            </w:r>
          </w:p>
        </w:tc>
        <w:tc>
          <w:tcPr>
            <w:tcW w:w="1833" w:type="dxa"/>
            <w:tcBorders>
              <w:top w:val="single" w:color="000000" w:sz="4" w:space="0"/>
              <w:left w:val="nil"/>
              <w:bottom w:val="nil"/>
              <w:right w:val="nil"/>
            </w:tcBorders>
            <w:noWrap/>
            <w:vAlign w:val="center"/>
          </w:tcPr>
          <w:p w14:paraId="0D7A06AE">
            <w:pPr>
              <w:widowControl/>
              <w:spacing w:line="240" w:lineRule="auto"/>
              <w:ind w:firstLine="0" w:firstLineChars="0"/>
              <w:jc w:val="center"/>
              <w:rPr>
                <w:rFonts w:eastAsia="Times New Roman" w:cs="Times New Roman"/>
                <w:color w:val="000000"/>
              </w:rPr>
            </w:pPr>
            <w:r>
              <w:rPr>
                <w:rFonts w:eastAsia="Times New Roman" w:cs="Times New Roman"/>
                <w:color w:val="000000"/>
              </w:rPr>
              <w:t>Pristine 1 µm</w:t>
            </w:r>
          </w:p>
        </w:tc>
        <w:tc>
          <w:tcPr>
            <w:tcW w:w="873" w:type="dxa"/>
            <w:tcBorders>
              <w:top w:val="single" w:color="000000" w:sz="4" w:space="0"/>
              <w:left w:val="nil"/>
              <w:bottom w:val="nil"/>
              <w:right w:val="nil"/>
            </w:tcBorders>
            <w:noWrap/>
            <w:vAlign w:val="center"/>
          </w:tcPr>
          <w:p w14:paraId="1D5EECD2">
            <w:pPr>
              <w:widowControl/>
              <w:spacing w:line="240" w:lineRule="auto"/>
              <w:ind w:firstLine="0" w:firstLineChars="0"/>
              <w:jc w:val="center"/>
              <w:rPr>
                <w:rFonts w:eastAsia="Times New Roman" w:cs="Times New Roman"/>
                <w:color w:val="000000"/>
              </w:rPr>
            </w:pPr>
            <w:r>
              <w:rPr>
                <w:rFonts w:cs="Times New Roman"/>
                <w:color w:val="000000"/>
              </w:rPr>
              <w:t>46.10</w:t>
            </w:r>
          </w:p>
        </w:tc>
        <w:tc>
          <w:tcPr>
            <w:tcW w:w="962" w:type="dxa"/>
            <w:tcBorders>
              <w:top w:val="single" w:color="000000" w:sz="4" w:space="0"/>
              <w:left w:val="nil"/>
              <w:bottom w:val="nil"/>
              <w:right w:val="nil"/>
            </w:tcBorders>
            <w:noWrap/>
            <w:vAlign w:val="center"/>
          </w:tcPr>
          <w:p w14:paraId="5DB00330">
            <w:pPr>
              <w:widowControl/>
              <w:spacing w:line="240" w:lineRule="auto"/>
              <w:ind w:firstLine="0" w:firstLineChars="0"/>
              <w:jc w:val="center"/>
              <w:rPr>
                <w:rFonts w:eastAsia="Times New Roman" w:cs="Times New Roman"/>
                <w:color w:val="000000"/>
              </w:rPr>
            </w:pPr>
            <w:r>
              <w:rPr>
                <w:rFonts w:cs="Times New Roman"/>
                <w:color w:val="000000"/>
              </w:rPr>
              <w:t>0.74</w:t>
            </w:r>
          </w:p>
        </w:tc>
        <w:tc>
          <w:tcPr>
            <w:tcW w:w="964" w:type="dxa"/>
            <w:tcBorders>
              <w:top w:val="single" w:color="000000" w:sz="4" w:space="0"/>
              <w:left w:val="nil"/>
              <w:bottom w:val="nil"/>
              <w:right w:val="nil"/>
            </w:tcBorders>
            <w:noWrap/>
            <w:vAlign w:val="center"/>
          </w:tcPr>
          <w:p w14:paraId="44772C8B">
            <w:pPr>
              <w:widowControl/>
              <w:spacing w:line="240" w:lineRule="auto"/>
              <w:ind w:firstLine="0" w:firstLineChars="0"/>
              <w:jc w:val="center"/>
              <w:rPr>
                <w:rFonts w:eastAsia="Times New Roman" w:cs="Times New Roman"/>
                <w:color w:val="000000"/>
              </w:rPr>
            </w:pPr>
            <w:r>
              <w:rPr>
                <w:rFonts w:cs="Times New Roman"/>
                <w:color w:val="000000"/>
              </w:rPr>
              <w:t>0.9631</w:t>
            </w:r>
          </w:p>
        </w:tc>
        <w:tc>
          <w:tcPr>
            <w:tcW w:w="962" w:type="dxa"/>
            <w:tcBorders>
              <w:top w:val="single" w:color="000000" w:sz="4" w:space="0"/>
              <w:left w:val="nil"/>
              <w:bottom w:val="nil"/>
              <w:right w:val="nil"/>
            </w:tcBorders>
            <w:noWrap/>
            <w:vAlign w:val="center"/>
          </w:tcPr>
          <w:p w14:paraId="2AF49DC0">
            <w:pPr>
              <w:widowControl/>
              <w:spacing w:line="240" w:lineRule="auto"/>
              <w:ind w:firstLine="0" w:firstLineChars="0"/>
              <w:jc w:val="center"/>
              <w:rPr>
                <w:rFonts w:eastAsia="Times New Roman" w:cs="Times New Roman"/>
                <w:color w:val="000000"/>
              </w:rPr>
            </w:pPr>
            <w:r>
              <w:rPr>
                <w:rFonts w:cs="Times New Roman"/>
                <w:color w:val="000000"/>
              </w:rPr>
              <w:t>128.73</w:t>
            </w:r>
          </w:p>
        </w:tc>
        <w:tc>
          <w:tcPr>
            <w:tcW w:w="962" w:type="dxa"/>
            <w:tcBorders>
              <w:top w:val="single" w:color="000000" w:sz="4" w:space="0"/>
              <w:left w:val="nil"/>
              <w:bottom w:val="nil"/>
              <w:right w:val="nil"/>
            </w:tcBorders>
            <w:noWrap/>
            <w:vAlign w:val="center"/>
          </w:tcPr>
          <w:p w14:paraId="05548CA5">
            <w:pPr>
              <w:widowControl/>
              <w:spacing w:line="240" w:lineRule="auto"/>
              <w:ind w:firstLine="0" w:firstLineChars="0"/>
              <w:jc w:val="center"/>
              <w:rPr>
                <w:rFonts w:eastAsia="Times New Roman" w:cs="Times New Roman"/>
                <w:color w:val="000000"/>
              </w:rPr>
            </w:pPr>
            <w:r>
              <w:rPr>
                <w:rFonts w:cs="Times New Roman"/>
                <w:color w:val="000000"/>
              </w:rPr>
              <w:t>0.53</w:t>
            </w:r>
          </w:p>
        </w:tc>
        <w:tc>
          <w:tcPr>
            <w:tcW w:w="964" w:type="dxa"/>
            <w:tcBorders>
              <w:top w:val="single" w:color="000000" w:sz="4" w:space="0"/>
              <w:left w:val="nil"/>
              <w:bottom w:val="nil"/>
              <w:right w:val="nil"/>
            </w:tcBorders>
            <w:noWrap/>
            <w:vAlign w:val="center"/>
          </w:tcPr>
          <w:p w14:paraId="17A44AC5">
            <w:pPr>
              <w:widowControl/>
              <w:spacing w:line="240" w:lineRule="auto"/>
              <w:ind w:firstLine="0" w:firstLineChars="0"/>
              <w:jc w:val="center"/>
              <w:rPr>
                <w:rFonts w:eastAsia="Times New Roman" w:cs="Times New Roman"/>
                <w:color w:val="000000"/>
              </w:rPr>
            </w:pPr>
            <w:r>
              <w:rPr>
                <w:rFonts w:cs="Times New Roman"/>
                <w:color w:val="000000"/>
              </w:rPr>
              <w:t>0.9972</w:t>
            </w:r>
          </w:p>
        </w:tc>
        <w:tc>
          <w:tcPr>
            <w:tcW w:w="1112" w:type="dxa"/>
            <w:tcBorders>
              <w:top w:val="single" w:color="000000" w:sz="4" w:space="0"/>
              <w:left w:val="nil"/>
              <w:bottom w:val="nil"/>
              <w:right w:val="nil"/>
            </w:tcBorders>
            <w:noWrap/>
            <w:vAlign w:val="center"/>
          </w:tcPr>
          <w:p w14:paraId="14D51D38">
            <w:pPr>
              <w:widowControl/>
              <w:spacing w:line="240" w:lineRule="auto"/>
              <w:ind w:firstLine="0" w:firstLineChars="0"/>
              <w:jc w:val="center"/>
              <w:rPr>
                <w:rFonts w:eastAsia="Times New Roman" w:cs="Times New Roman"/>
                <w:color w:val="000000"/>
              </w:rPr>
            </w:pPr>
            <w:r>
              <w:rPr>
                <w:rFonts w:cs="Times New Roman"/>
                <w:color w:val="000000"/>
              </w:rPr>
              <w:t>0.1411</w:t>
            </w:r>
          </w:p>
        </w:tc>
        <w:tc>
          <w:tcPr>
            <w:tcW w:w="1112" w:type="dxa"/>
            <w:tcBorders>
              <w:top w:val="single" w:color="000000" w:sz="4" w:space="0"/>
              <w:left w:val="nil"/>
              <w:bottom w:val="nil"/>
              <w:right w:val="nil"/>
            </w:tcBorders>
            <w:noWrap/>
            <w:vAlign w:val="center"/>
          </w:tcPr>
          <w:p w14:paraId="4ECEA2EB">
            <w:pPr>
              <w:widowControl/>
              <w:spacing w:line="240" w:lineRule="auto"/>
              <w:ind w:firstLine="0" w:firstLineChars="0"/>
              <w:jc w:val="center"/>
              <w:rPr>
                <w:rFonts w:eastAsia="Times New Roman" w:cs="Times New Roman"/>
                <w:color w:val="000000"/>
              </w:rPr>
            </w:pPr>
            <w:r>
              <w:rPr>
                <w:rFonts w:cs="Times New Roman"/>
                <w:color w:val="000000"/>
              </w:rPr>
              <w:t>0.2898</w:t>
            </w:r>
          </w:p>
        </w:tc>
        <w:tc>
          <w:tcPr>
            <w:tcW w:w="1242" w:type="dxa"/>
            <w:tcBorders>
              <w:top w:val="single" w:color="000000" w:sz="4" w:space="0"/>
              <w:left w:val="nil"/>
              <w:bottom w:val="nil"/>
              <w:right w:val="nil"/>
            </w:tcBorders>
            <w:noWrap/>
            <w:vAlign w:val="center"/>
          </w:tcPr>
          <w:p w14:paraId="684CE656">
            <w:pPr>
              <w:widowControl/>
              <w:spacing w:line="240" w:lineRule="auto"/>
              <w:ind w:firstLine="0" w:firstLineChars="0"/>
              <w:jc w:val="center"/>
              <w:rPr>
                <w:rFonts w:eastAsia="Times New Roman" w:cs="Times New Roman"/>
                <w:color w:val="000000"/>
              </w:rPr>
            </w:pPr>
            <w:r>
              <w:rPr>
                <w:rFonts w:cs="Times New Roman"/>
                <w:color w:val="000000"/>
              </w:rPr>
              <w:t>0.1067</w:t>
            </w:r>
          </w:p>
        </w:tc>
        <w:tc>
          <w:tcPr>
            <w:tcW w:w="1480" w:type="dxa"/>
            <w:tcBorders>
              <w:top w:val="single" w:color="000000" w:sz="4" w:space="0"/>
              <w:left w:val="nil"/>
              <w:bottom w:val="nil"/>
              <w:right w:val="nil"/>
            </w:tcBorders>
            <w:noWrap/>
            <w:vAlign w:val="center"/>
          </w:tcPr>
          <w:p w14:paraId="692D70B1">
            <w:pPr>
              <w:widowControl/>
              <w:spacing w:line="240" w:lineRule="auto"/>
              <w:ind w:firstLine="0" w:firstLineChars="0"/>
              <w:jc w:val="center"/>
              <w:rPr>
                <w:rFonts w:eastAsia="Times New Roman" w:cs="Times New Roman"/>
                <w:color w:val="000000"/>
              </w:rPr>
            </w:pPr>
            <w:r>
              <w:rPr>
                <w:rFonts w:cs="Times New Roman"/>
                <w:color w:val="000000"/>
              </w:rPr>
              <w:t>0.2828</w:t>
            </w:r>
          </w:p>
        </w:tc>
        <w:tc>
          <w:tcPr>
            <w:tcW w:w="235" w:type="dxa"/>
            <w:vAlign w:val="center"/>
          </w:tcPr>
          <w:p w14:paraId="0F493562">
            <w:pPr>
              <w:widowControl/>
              <w:spacing w:line="240" w:lineRule="auto"/>
              <w:ind w:firstLine="0" w:firstLineChars="0"/>
              <w:jc w:val="center"/>
              <w:rPr>
                <w:rFonts w:eastAsia="Times New Roman" w:cs="Times New Roman"/>
                <w:sz w:val="20"/>
                <w:szCs w:val="20"/>
              </w:rPr>
            </w:pPr>
          </w:p>
        </w:tc>
      </w:tr>
      <w:tr w14:paraId="1EF51AE6">
        <w:tblPrEx>
          <w:tblCellMar>
            <w:top w:w="0" w:type="dxa"/>
            <w:left w:w="108" w:type="dxa"/>
            <w:bottom w:w="0" w:type="dxa"/>
            <w:right w:w="108" w:type="dxa"/>
          </w:tblCellMar>
        </w:tblPrEx>
        <w:trPr>
          <w:trHeight w:val="324" w:hRule="atLeast"/>
        </w:trPr>
        <w:tc>
          <w:tcPr>
            <w:tcW w:w="1399" w:type="dxa"/>
            <w:vMerge w:val="continue"/>
            <w:tcBorders>
              <w:top w:val="nil"/>
              <w:left w:val="nil"/>
              <w:bottom w:val="single" w:color="000000" w:sz="8" w:space="0"/>
              <w:right w:val="nil"/>
            </w:tcBorders>
            <w:vAlign w:val="center"/>
          </w:tcPr>
          <w:p w14:paraId="1CAC60CD">
            <w:pPr>
              <w:widowControl/>
              <w:spacing w:line="240" w:lineRule="auto"/>
              <w:ind w:firstLine="0" w:firstLineChars="0"/>
              <w:jc w:val="center"/>
              <w:rPr>
                <w:rFonts w:eastAsia="Times New Roman" w:cs="Times New Roman"/>
                <w:color w:val="000000"/>
              </w:rPr>
            </w:pPr>
          </w:p>
        </w:tc>
        <w:tc>
          <w:tcPr>
            <w:tcW w:w="1833" w:type="dxa"/>
            <w:tcBorders>
              <w:top w:val="nil"/>
              <w:left w:val="nil"/>
              <w:bottom w:val="nil"/>
              <w:right w:val="nil"/>
            </w:tcBorders>
            <w:vAlign w:val="center"/>
          </w:tcPr>
          <w:p w14:paraId="1C0A6115">
            <w:pPr>
              <w:widowControl/>
              <w:spacing w:line="240" w:lineRule="auto"/>
              <w:ind w:firstLine="0" w:firstLineChars="0"/>
              <w:jc w:val="center"/>
              <w:rPr>
                <w:rFonts w:eastAsia="Times New Roman" w:cs="Times New Roman"/>
                <w:color w:val="000000"/>
              </w:rPr>
            </w:pPr>
            <w:r>
              <w:rPr>
                <w:rFonts w:eastAsia="Times New Roman" w:cs="Times New Roman"/>
                <w:color w:val="000000"/>
              </w:rPr>
              <w:t>Aged 1 µm</w:t>
            </w:r>
          </w:p>
        </w:tc>
        <w:tc>
          <w:tcPr>
            <w:tcW w:w="873" w:type="dxa"/>
            <w:tcBorders>
              <w:top w:val="nil"/>
              <w:left w:val="nil"/>
              <w:bottom w:val="nil"/>
              <w:right w:val="nil"/>
            </w:tcBorders>
            <w:noWrap/>
            <w:vAlign w:val="center"/>
          </w:tcPr>
          <w:p w14:paraId="553B167A">
            <w:pPr>
              <w:widowControl/>
              <w:spacing w:line="240" w:lineRule="auto"/>
              <w:ind w:firstLine="0" w:firstLineChars="0"/>
              <w:jc w:val="center"/>
              <w:rPr>
                <w:rFonts w:eastAsia="Times New Roman" w:cs="Times New Roman"/>
                <w:color w:val="000000"/>
              </w:rPr>
            </w:pPr>
            <w:r>
              <w:rPr>
                <w:rFonts w:cs="Times New Roman"/>
                <w:color w:val="000000"/>
              </w:rPr>
              <w:t>54.96</w:t>
            </w:r>
          </w:p>
        </w:tc>
        <w:tc>
          <w:tcPr>
            <w:tcW w:w="962" w:type="dxa"/>
            <w:tcBorders>
              <w:top w:val="nil"/>
              <w:left w:val="nil"/>
              <w:bottom w:val="nil"/>
              <w:right w:val="nil"/>
            </w:tcBorders>
            <w:noWrap/>
            <w:vAlign w:val="center"/>
          </w:tcPr>
          <w:p w14:paraId="56DA3AD5">
            <w:pPr>
              <w:widowControl/>
              <w:spacing w:line="240" w:lineRule="auto"/>
              <w:ind w:firstLine="0" w:firstLineChars="0"/>
              <w:jc w:val="center"/>
              <w:rPr>
                <w:rFonts w:eastAsia="Times New Roman" w:cs="Times New Roman"/>
                <w:color w:val="000000"/>
              </w:rPr>
            </w:pPr>
            <w:r>
              <w:rPr>
                <w:rFonts w:cs="Times New Roman"/>
                <w:color w:val="000000"/>
              </w:rPr>
              <w:t>0.74</w:t>
            </w:r>
          </w:p>
        </w:tc>
        <w:tc>
          <w:tcPr>
            <w:tcW w:w="964" w:type="dxa"/>
            <w:tcBorders>
              <w:top w:val="nil"/>
              <w:left w:val="nil"/>
              <w:bottom w:val="nil"/>
              <w:right w:val="nil"/>
            </w:tcBorders>
            <w:noWrap/>
            <w:vAlign w:val="center"/>
          </w:tcPr>
          <w:p w14:paraId="0D0FE888">
            <w:pPr>
              <w:widowControl/>
              <w:spacing w:line="240" w:lineRule="auto"/>
              <w:ind w:firstLine="0" w:firstLineChars="0"/>
              <w:jc w:val="center"/>
              <w:rPr>
                <w:rFonts w:eastAsia="Times New Roman" w:cs="Times New Roman"/>
                <w:color w:val="000000"/>
              </w:rPr>
            </w:pPr>
            <w:r>
              <w:rPr>
                <w:rFonts w:cs="Times New Roman"/>
                <w:color w:val="000000"/>
              </w:rPr>
              <w:t>0.9573</w:t>
            </w:r>
          </w:p>
        </w:tc>
        <w:tc>
          <w:tcPr>
            <w:tcW w:w="962" w:type="dxa"/>
            <w:tcBorders>
              <w:top w:val="nil"/>
              <w:left w:val="nil"/>
              <w:bottom w:val="nil"/>
              <w:right w:val="nil"/>
            </w:tcBorders>
            <w:noWrap/>
            <w:vAlign w:val="center"/>
          </w:tcPr>
          <w:p w14:paraId="36585324">
            <w:pPr>
              <w:widowControl/>
              <w:spacing w:line="240" w:lineRule="auto"/>
              <w:ind w:firstLine="0" w:firstLineChars="0"/>
              <w:jc w:val="center"/>
              <w:rPr>
                <w:rFonts w:eastAsia="Times New Roman" w:cs="Times New Roman"/>
                <w:color w:val="000000"/>
              </w:rPr>
            </w:pPr>
            <w:r>
              <w:rPr>
                <w:rFonts w:cs="Times New Roman"/>
                <w:color w:val="000000"/>
              </w:rPr>
              <w:t>163.01</w:t>
            </w:r>
          </w:p>
        </w:tc>
        <w:tc>
          <w:tcPr>
            <w:tcW w:w="962" w:type="dxa"/>
            <w:tcBorders>
              <w:top w:val="nil"/>
              <w:left w:val="nil"/>
              <w:bottom w:val="nil"/>
              <w:right w:val="nil"/>
            </w:tcBorders>
            <w:noWrap/>
            <w:vAlign w:val="center"/>
          </w:tcPr>
          <w:p w14:paraId="757A6C95">
            <w:pPr>
              <w:widowControl/>
              <w:spacing w:line="240" w:lineRule="auto"/>
              <w:ind w:firstLine="0" w:firstLineChars="0"/>
              <w:jc w:val="center"/>
              <w:rPr>
                <w:rFonts w:eastAsia="Times New Roman" w:cs="Times New Roman"/>
                <w:color w:val="000000"/>
              </w:rPr>
            </w:pPr>
            <w:r>
              <w:rPr>
                <w:rFonts w:cs="Times New Roman"/>
                <w:color w:val="000000"/>
              </w:rPr>
              <w:t>0.49</w:t>
            </w:r>
          </w:p>
        </w:tc>
        <w:tc>
          <w:tcPr>
            <w:tcW w:w="964" w:type="dxa"/>
            <w:tcBorders>
              <w:top w:val="nil"/>
              <w:left w:val="nil"/>
              <w:bottom w:val="nil"/>
              <w:right w:val="nil"/>
            </w:tcBorders>
            <w:noWrap/>
            <w:vAlign w:val="center"/>
          </w:tcPr>
          <w:p w14:paraId="74A48E88">
            <w:pPr>
              <w:widowControl/>
              <w:spacing w:line="240" w:lineRule="auto"/>
              <w:ind w:firstLine="0" w:firstLineChars="0"/>
              <w:jc w:val="center"/>
              <w:rPr>
                <w:rFonts w:eastAsia="Times New Roman" w:cs="Times New Roman"/>
                <w:color w:val="000000"/>
              </w:rPr>
            </w:pPr>
            <w:r>
              <w:rPr>
                <w:rFonts w:cs="Times New Roman"/>
                <w:color w:val="000000"/>
              </w:rPr>
              <w:t>0.9583</w:t>
            </w:r>
          </w:p>
        </w:tc>
        <w:tc>
          <w:tcPr>
            <w:tcW w:w="1112" w:type="dxa"/>
            <w:tcBorders>
              <w:top w:val="nil"/>
              <w:left w:val="nil"/>
              <w:bottom w:val="nil"/>
              <w:right w:val="nil"/>
            </w:tcBorders>
            <w:noWrap/>
            <w:vAlign w:val="center"/>
          </w:tcPr>
          <w:p w14:paraId="67FCE1BA">
            <w:pPr>
              <w:widowControl/>
              <w:spacing w:line="240" w:lineRule="auto"/>
              <w:ind w:firstLine="0" w:firstLineChars="0"/>
              <w:jc w:val="center"/>
              <w:rPr>
                <w:rFonts w:eastAsia="Times New Roman" w:cs="Times New Roman"/>
                <w:color w:val="000000"/>
              </w:rPr>
            </w:pPr>
            <w:r>
              <w:rPr>
                <w:rFonts w:cs="Times New Roman"/>
                <w:color w:val="000000"/>
              </w:rPr>
              <w:t>0.1298</w:t>
            </w:r>
          </w:p>
        </w:tc>
        <w:tc>
          <w:tcPr>
            <w:tcW w:w="1112" w:type="dxa"/>
            <w:tcBorders>
              <w:top w:val="nil"/>
              <w:left w:val="nil"/>
              <w:bottom w:val="nil"/>
              <w:right w:val="nil"/>
            </w:tcBorders>
            <w:noWrap/>
            <w:vAlign w:val="center"/>
          </w:tcPr>
          <w:p w14:paraId="6B6C932E">
            <w:pPr>
              <w:widowControl/>
              <w:spacing w:line="240" w:lineRule="auto"/>
              <w:ind w:firstLine="0" w:firstLineChars="0"/>
              <w:jc w:val="center"/>
              <w:rPr>
                <w:rFonts w:eastAsia="Times New Roman" w:cs="Times New Roman"/>
                <w:color w:val="000000"/>
              </w:rPr>
            </w:pPr>
            <w:r>
              <w:rPr>
                <w:rFonts w:cs="Times New Roman"/>
                <w:color w:val="000000"/>
              </w:rPr>
              <w:t>0.2674</w:t>
            </w:r>
          </w:p>
        </w:tc>
        <w:tc>
          <w:tcPr>
            <w:tcW w:w="1242" w:type="dxa"/>
            <w:tcBorders>
              <w:top w:val="nil"/>
              <w:left w:val="nil"/>
              <w:bottom w:val="nil"/>
              <w:right w:val="nil"/>
            </w:tcBorders>
            <w:noWrap/>
            <w:vAlign w:val="center"/>
          </w:tcPr>
          <w:p w14:paraId="3F573A28">
            <w:pPr>
              <w:widowControl/>
              <w:spacing w:line="240" w:lineRule="auto"/>
              <w:ind w:firstLine="0" w:firstLineChars="0"/>
              <w:jc w:val="center"/>
              <w:rPr>
                <w:rFonts w:eastAsia="Times New Roman" w:cs="Times New Roman"/>
                <w:color w:val="000000"/>
              </w:rPr>
            </w:pPr>
            <w:r>
              <w:rPr>
                <w:rFonts w:cs="Times New Roman"/>
                <w:color w:val="000000"/>
              </w:rPr>
              <w:t>0.2487</w:t>
            </w:r>
          </w:p>
        </w:tc>
        <w:tc>
          <w:tcPr>
            <w:tcW w:w="1480" w:type="dxa"/>
            <w:tcBorders>
              <w:top w:val="nil"/>
              <w:left w:val="nil"/>
              <w:bottom w:val="nil"/>
              <w:right w:val="nil"/>
            </w:tcBorders>
            <w:noWrap/>
            <w:vAlign w:val="center"/>
          </w:tcPr>
          <w:p w14:paraId="105EE07C">
            <w:pPr>
              <w:widowControl/>
              <w:spacing w:line="240" w:lineRule="auto"/>
              <w:ind w:firstLine="0" w:firstLineChars="0"/>
              <w:jc w:val="center"/>
              <w:rPr>
                <w:rFonts w:eastAsia="Times New Roman" w:cs="Times New Roman"/>
                <w:color w:val="000000"/>
              </w:rPr>
            </w:pPr>
            <w:r>
              <w:rPr>
                <w:rFonts w:cs="Times New Roman"/>
                <w:color w:val="000000"/>
              </w:rPr>
              <w:t>0.3944</w:t>
            </w:r>
          </w:p>
        </w:tc>
        <w:tc>
          <w:tcPr>
            <w:tcW w:w="235" w:type="dxa"/>
            <w:vAlign w:val="center"/>
          </w:tcPr>
          <w:p w14:paraId="22D6A142">
            <w:pPr>
              <w:widowControl/>
              <w:spacing w:line="240" w:lineRule="auto"/>
              <w:ind w:firstLine="0" w:firstLineChars="0"/>
              <w:jc w:val="center"/>
              <w:rPr>
                <w:rFonts w:eastAsia="Times New Roman" w:cs="Times New Roman"/>
                <w:sz w:val="20"/>
                <w:szCs w:val="20"/>
              </w:rPr>
            </w:pPr>
          </w:p>
        </w:tc>
      </w:tr>
      <w:tr w14:paraId="6FD42A1F">
        <w:tblPrEx>
          <w:tblCellMar>
            <w:top w:w="0" w:type="dxa"/>
            <w:left w:w="108" w:type="dxa"/>
            <w:bottom w:w="0" w:type="dxa"/>
            <w:right w:w="108" w:type="dxa"/>
          </w:tblCellMar>
        </w:tblPrEx>
        <w:trPr>
          <w:trHeight w:val="324" w:hRule="atLeast"/>
        </w:trPr>
        <w:tc>
          <w:tcPr>
            <w:tcW w:w="1399" w:type="dxa"/>
            <w:vMerge w:val="continue"/>
            <w:tcBorders>
              <w:top w:val="nil"/>
              <w:left w:val="nil"/>
              <w:bottom w:val="single" w:color="000000" w:sz="8" w:space="0"/>
              <w:right w:val="nil"/>
            </w:tcBorders>
            <w:vAlign w:val="center"/>
          </w:tcPr>
          <w:p w14:paraId="3C15ACB1">
            <w:pPr>
              <w:widowControl/>
              <w:spacing w:line="240" w:lineRule="auto"/>
              <w:ind w:firstLine="0" w:firstLineChars="0"/>
              <w:jc w:val="center"/>
              <w:rPr>
                <w:rFonts w:eastAsia="Times New Roman" w:cs="Times New Roman"/>
                <w:color w:val="000000"/>
              </w:rPr>
            </w:pPr>
          </w:p>
        </w:tc>
        <w:tc>
          <w:tcPr>
            <w:tcW w:w="1833" w:type="dxa"/>
            <w:tcBorders>
              <w:top w:val="nil"/>
              <w:left w:val="nil"/>
              <w:bottom w:val="nil"/>
              <w:right w:val="nil"/>
            </w:tcBorders>
            <w:noWrap/>
            <w:vAlign w:val="center"/>
          </w:tcPr>
          <w:p w14:paraId="268ED28D">
            <w:pPr>
              <w:widowControl/>
              <w:spacing w:line="240" w:lineRule="auto"/>
              <w:ind w:firstLine="0" w:firstLineChars="0"/>
              <w:jc w:val="center"/>
              <w:rPr>
                <w:rFonts w:eastAsia="Times New Roman" w:cs="Times New Roman"/>
                <w:color w:val="000000"/>
              </w:rPr>
            </w:pPr>
            <w:r>
              <w:rPr>
                <w:rFonts w:eastAsia="Times New Roman" w:cs="Times New Roman"/>
                <w:color w:val="000000"/>
              </w:rPr>
              <w:t>Pristine 150 µm</w:t>
            </w:r>
          </w:p>
        </w:tc>
        <w:tc>
          <w:tcPr>
            <w:tcW w:w="873" w:type="dxa"/>
            <w:tcBorders>
              <w:top w:val="nil"/>
              <w:left w:val="nil"/>
              <w:bottom w:val="nil"/>
              <w:right w:val="nil"/>
            </w:tcBorders>
            <w:noWrap/>
            <w:vAlign w:val="center"/>
          </w:tcPr>
          <w:p w14:paraId="5030334E">
            <w:pPr>
              <w:widowControl/>
              <w:spacing w:line="240" w:lineRule="auto"/>
              <w:ind w:firstLine="0" w:firstLineChars="0"/>
              <w:jc w:val="center"/>
              <w:rPr>
                <w:rFonts w:eastAsia="Times New Roman" w:cs="Times New Roman"/>
                <w:color w:val="000000"/>
              </w:rPr>
            </w:pPr>
            <w:r>
              <w:rPr>
                <w:rFonts w:cs="Times New Roman"/>
                <w:color w:val="000000"/>
              </w:rPr>
              <w:t>54.96</w:t>
            </w:r>
          </w:p>
        </w:tc>
        <w:tc>
          <w:tcPr>
            <w:tcW w:w="962" w:type="dxa"/>
            <w:tcBorders>
              <w:top w:val="nil"/>
              <w:left w:val="nil"/>
              <w:bottom w:val="nil"/>
              <w:right w:val="nil"/>
            </w:tcBorders>
            <w:noWrap/>
            <w:vAlign w:val="center"/>
          </w:tcPr>
          <w:p w14:paraId="642D0722">
            <w:pPr>
              <w:widowControl/>
              <w:spacing w:line="240" w:lineRule="auto"/>
              <w:ind w:firstLine="0" w:firstLineChars="0"/>
              <w:jc w:val="center"/>
              <w:rPr>
                <w:rFonts w:eastAsia="Times New Roman" w:cs="Times New Roman"/>
                <w:color w:val="000000"/>
              </w:rPr>
            </w:pPr>
            <w:r>
              <w:rPr>
                <w:rFonts w:cs="Times New Roman"/>
                <w:color w:val="000000"/>
              </w:rPr>
              <w:t>0.57</w:t>
            </w:r>
          </w:p>
        </w:tc>
        <w:tc>
          <w:tcPr>
            <w:tcW w:w="964" w:type="dxa"/>
            <w:tcBorders>
              <w:top w:val="nil"/>
              <w:left w:val="nil"/>
              <w:bottom w:val="nil"/>
              <w:right w:val="nil"/>
            </w:tcBorders>
            <w:noWrap/>
            <w:vAlign w:val="center"/>
          </w:tcPr>
          <w:p w14:paraId="2E778E5A">
            <w:pPr>
              <w:widowControl/>
              <w:spacing w:line="240" w:lineRule="auto"/>
              <w:ind w:firstLine="0" w:firstLineChars="0"/>
              <w:jc w:val="center"/>
              <w:rPr>
                <w:rFonts w:eastAsia="Times New Roman" w:cs="Times New Roman"/>
                <w:color w:val="000000"/>
              </w:rPr>
            </w:pPr>
            <w:r>
              <w:rPr>
                <w:rFonts w:cs="Times New Roman"/>
                <w:color w:val="000000"/>
              </w:rPr>
              <w:t>0.9728</w:t>
            </w:r>
          </w:p>
        </w:tc>
        <w:tc>
          <w:tcPr>
            <w:tcW w:w="962" w:type="dxa"/>
            <w:tcBorders>
              <w:top w:val="nil"/>
              <w:left w:val="nil"/>
              <w:bottom w:val="nil"/>
              <w:right w:val="nil"/>
            </w:tcBorders>
            <w:noWrap/>
            <w:vAlign w:val="center"/>
          </w:tcPr>
          <w:p w14:paraId="3B9CD4DC">
            <w:pPr>
              <w:widowControl/>
              <w:spacing w:line="240" w:lineRule="auto"/>
              <w:ind w:firstLine="0" w:firstLineChars="0"/>
              <w:jc w:val="center"/>
              <w:rPr>
                <w:rFonts w:eastAsia="Times New Roman" w:cs="Times New Roman"/>
                <w:color w:val="000000"/>
              </w:rPr>
            </w:pPr>
            <w:r>
              <w:rPr>
                <w:rFonts w:cs="Times New Roman"/>
                <w:color w:val="000000"/>
              </w:rPr>
              <w:t>22.82</w:t>
            </w:r>
          </w:p>
        </w:tc>
        <w:tc>
          <w:tcPr>
            <w:tcW w:w="962" w:type="dxa"/>
            <w:tcBorders>
              <w:top w:val="nil"/>
              <w:left w:val="nil"/>
              <w:bottom w:val="nil"/>
              <w:right w:val="nil"/>
            </w:tcBorders>
            <w:noWrap/>
            <w:vAlign w:val="center"/>
          </w:tcPr>
          <w:p w14:paraId="0A9EBE50">
            <w:pPr>
              <w:widowControl/>
              <w:spacing w:line="240" w:lineRule="auto"/>
              <w:ind w:firstLine="0" w:firstLineChars="0"/>
              <w:jc w:val="center"/>
              <w:rPr>
                <w:rFonts w:eastAsia="Times New Roman" w:cs="Times New Roman"/>
                <w:color w:val="000000"/>
              </w:rPr>
            </w:pPr>
            <w:r>
              <w:rPr>
                <w:rFonts w:cs="Times New Roman"/>
                <w:color w:val="000000"/>
              </w:rPr>
              <w:t>0.28</w:t>
            </w:r>
          </w:p>
        </w:tc>
        <w:tc>
          <w:tcPr>
            <w:tcW w:w="964" w:type="dxa"/>
            <w:tcBorders>
              <w:top w:val="nil"/>
              <w:left w:val="nil"/>
              <w:bottom w:val="nil"/>
              <w:right w:val="nil"/>
            </w:tcBorders>
            <w:noWrap/>
            <w:vAlign w:val="center"/>
          </w:tcPr>
          <w:p w14:paraId="06F7B3FF">
            <w:pPr>
              <w:widowControl/>
              <w:spacing w:line="240" w:lineRule="auto"/>
              <w:ind w:firstLine="0" w:firstLineChars="0"/>
              <w:jc w:val="center"/>
              <w:rPr>
                <w:rFonts w:eastAsia="Times New Roman" w:cs="Times New Roman"/>
                <w:color w:val="000000"/>
              </w:rPr>
            </w:pPr>
            <w:r>
              <w:rPr>
                <w:rFonts w:cs="Times New Roman"/>
                <w:color w:val="000000"/>
              </w:rPr>
              <w:t>0.9126</w:t>
            </w:r>
          </w:p>
        </w:tc>
        <w:tc>
          <w:tcPr>
            <w:tcW w:w="1112" w:type="dxa"/>
            <w:tcBorders>
              <w:top w:val="nil"/>
              <w:left w:val="nil"/>
              <w:bottom w:val="nil"/>
              <w:right w:val="nil"/>
            </w:tcBorders>
            <w:noWrap/>
            <w:vAlign w:val="center"/>
          </w:tcPr>
          <w:p w14:paraId="67C0E233">
            <w:pPr>
              <w:widowControl/>
              <w:spacing w:line="240" w:lineRule="auto"/>
              <w:ind w:firstLine="0" w:firstLineChars="0"/>
              <w:jc w:val="center"/>
              <w:rPr>
                <w:rFonts w:eastAsia="Times New Roman" w:cs="Times New Roman"/>
                <w:color w:val="000000"/>
              </w:rPr>
            </w:pPr>
            <w:r>
              <w:rPr>
                <w:rFonts w:cs="Times New Roman"/>
                <w:color w:val="000000"/>
              </w:rPr>
              <w:t>0.0670</w:t>
            </w:r>
          </w:p>
        </w:tc>
        <w:tc>
          <w:tcPr>
            <w:tcW w:w="1112" w:type="dxa"/>
            <w:tcBorders>
              <w:top w:val="nil"/>
              <w:left w:val="nil"/>
              <w:bottom w:val="nil"/>
              <w:right w:val="nil"/>
            </w:tcBorders>
            <w:noWrap/>
            <w:vAlign w:val="center"/>
          </w:tcPr>
          <w:p w14:paraId="6DB2B0F1">
            <w:pPr>
              <w:widowControl/>
              <w:spacing w:line="240" w:lineRule="auto"/>
              <w:ind w:firstLine="0" w:firstLineChars="0"/>
              <w:jc w:val="center"/>
              <w:rPr>
                <w:rFonts w:eastAsia="Times New Roman" w:cs="Times New Roman"/>
                <w:color w:val="000000"/>
              </w:rPr>
            </w:pPr>
            <w:r>
              <w:rPr>
                <w:rFonts w:cs="Times New Roman"/>
                <w:color w:val="000000"/>
              </w:rPr>
              <w:t>0.2636</w:t>
            </w:r>
          </w:p>
        </w:tc>
        <w:tc>
          <w:tcPr>
            <w:tcW w:w="1242" w:type="dxa"/>
            <w:tcBorders>
              <w:top w:val="nil"/>
              <w:left w:val="nil"/>
              <w:bottom w:val="nil"/>
              <w:right w:val="nil"/>
            </w:tcBorders>
            <w:noWrap/>
            <w:vAlign w:val="center"/>
          </w:tcPr>
          <w:p w14:paraId="7B3AF566">
            <w:pPr>
              <w:widowControl/>
              <w:spacing w:line="240" w:lineRule="auto"/>
              <w:ind w:firstLine="0" w:firstLineChars="0"/>
              <w:jc w:val="center"/>
              <w:rPr>
                <w:rFonts w:eastAsia="Times New Roman" w:cs="Times New Roman"/>
                <w:color w:val="000000"/>
              </w:rPr>
            </w:pPr>
            <w:r>
              <w:rPr>
                <w:rFonts w:cs="Times New Roman"/>
                <w:color w:val="000000"/>
              </w:rPr>
              <w:t>0.1055</w:t>
            </w:r>
          </w:p>
        </w:tc>
        <w:tc>
          <w:tcPr>
            <w:tcW w:w="1480" w:type="dxa"/>
            <w:tcBorders>
              <w:top w:val="nil"/>
              <w:left w:val="nil"/>
              <w:bottom w:val="nil"/>
              <w:right w:val="nil"/>
            </w:tcBorders>
            <w:noWrap/>
            <w:vAlign w:val="center"/>
          </w:tcPr>
          <w:p w14:paraId="1FE540F8">
            <w:pPr>
              <w:widowControl/>
              <w:spacing w:line="240" w:lineRule="auto"/>
              <w:ind w:firstLine="0" w:firstLineChars="0"/>
              <w:jc w:val="center"/>
              <w:rPr>
                <w:rFonts w:eastAsia="Times New Roman" w:cs="Times New Roman"/>
                <w:color w:val="000000"/>
              </w:rPr>
            </w:pPr>
            <w:r>
              <w:rPr>
                <w:rFonts w:cs="Times New Roman"/>
                <w:color w:val="000000"/>
              </w:rPr>
              <w:t>0.3593</w:t>
            </w:r>
          </w:p>
        </w:tc>
        <w:tc>
          <w:tcPr>
            <w:tcW w:w="235" w:type="dxa"/>
            <w:vAlign w:val="center"/>
          </w:tcPr>
          <w:p w14:paraId="38FA27C3">
            <w:pPr>
              <w:widowControl/>
              <w:spacing w:line="240" w:lineRule="auto"/>
              <w:ind w:firstLine="0" w:firstLineChars="0"/>
              <w:jc w:val="center"/>
              <w:rPr>
                <w:rFonts w:eastAsia="Times New Roman" w:cs="Times New Roman"/>
                <w:sz w:val="20"/>
                <w:szCs w:val="20"/>
              </w:rPr>
            </w:pPr>
          </w:p>
        </w:tc>
      </w:tr>
      <w:tr w14:paraId="4701883F">
        <w:tblPrEx>
          <w:tblCellMar>
            <w:top w:w="0" w:type="dxa"/>
            <w:left w:w="108" w:type="dxa"/>
            <w:bottom w:w="0" w:type="dxa"/>
            <w:right w:w="108" w:type="dxa"/>
          </w:tblCellMar>
        </w:tblPrEx>
        <w:trPr>
          <w:trHeight w:val="340" w:hRule="atLeast"/>
        </w:trPr>
        <w:tc>
          <w:tcPr>
            <w:tcW w:w="1399" w:type="dxa"/>
            <w:vMerge w:val="continue"/>
            <w:tcBorders>
              <w:top w:val="nil"/>
              <w:left w:val="nil"/>
              <w:bottom w:val="single" w:color="000000" w:sz="12" w:space="0"/>
              <w:right w:val="nil"/>
            </w:tcBorders>
            <w:vAlign w:val="center"/>
          </w:tcPr>
          <w:p w14:paraId="3960CFA3">
            <w:pPr>
              <w:widowControl/>
              <w:spacing w:line="240" w:lineRule="auto"/>
              <w:ind w:firstLine="0" w:firstLineChars="0"/>
              <w:jc w:val="center"/>
              <w:rPr>
                <w:rFonts w:eastAsia="Times New Roman" w:cs="Times New Roman"/>
                <w:color w:val="000000"/>
              </w:rPr>
            </w:pPr>
          </w:p>
        </w:tc>
        <w:tc>
          <w:tcPr>
            <w:tcW w:w="1833" w:type="dxa"/>
            <w:tcBorders>
              <w:top w:val="nil"/>
              <w:left w:val="nil"/>
              <w:bottom w:val="single" w:color="000000" w:sz="12" w:space="0"/>
              <w:right w:val="nil"/>
            </w:tcBorders>
            <w:vAlign w:val="center"/>
          </w:tcPr>
          <w:p w14:paraId="520A7B1A">
            <w:pPr>
              <w:widowControl/>
              <w:spacing w:line="240" w:lineRule="auto"/>
              <w:ind w:firstLine="0" w:firstLineChars="0"/>
              <w:jc w:val="center"/>
              <w:rPr>
                <w:rFonts w:eastAsia="Times New Roman" w:cs="Times New Roman"/>
                <w:color w:val="000000"/>
              </w:rPr>
            </w:pPr>
            <w:r>
              <w:rPr>
                <w:rFonts w:eastAsia="Times New Roman" w:cs="Times New Roman"/>
                <w:color w:val="000000"/>
              </w:rPr>
              <w:t>Aged 150 µm</w:t>
            </w:r>
          </w:p>
        </w:tc>
        <w:tc>
          <w:tcPr>
            <w:tcW w:w="873" w:type="dxa"/>
            <w:tcBorders>
              <w:top w:val="nil"/>
              <w:left w:val="nil"/>
              <w:bottom w:val="single" w:color="000000" w:sz="12" w:space="0"/>
              <w:right w:val="nil"/>
            </w:tcBorders>
            <w:noWrap/>
            <w:vAlign w:val="center"/>
          </w:tcPr>
          <w:p w14:paraId="77217AF2">
            <w:pPr>
              <w:widowControl/>
              <w:spacing w:line="240" w:lineRule="auto"/>
              <w:ind w:firstLine="0" w:firstLineChars="0"/>
              <w:jc w:val="center"/>
              <w:rPr>
                <w:rFonts w:eastAsia="Times New Roman" w:cs="Times New Roman"/>
                <w:color w:val="000000"/>
              </w:rPr>
            </w:pPr>
            <w:r>
              <w:rPr>
                <w:rFonts w:cs="Times New Roman"/>
                <w:color w:val="000000"/>
              </w:rPr>
              <w:t>13.96</w:t>
            </w:r>
          </w:p>
        </w:tc>
        <w:tc>
          <w:tcPr>
            <w:tcW w:w="962" w:type="dxa"/>
            <w:tcBorders>
              <w:top w:val="nil"/>
              <w:left w:val="nil"/>
              <w:bottom w:val="single" w:color="000000" w:sz="12" w:space="0"/>
              <w:right w:val="nil"/>
            </w:tcBorders>
            <w:noWrap/>
            <w:vAlign w:val="center"/>
          </w:tcPr>
          <w:p w14:paraId="5A768256">
            <w:pPr>
              <w:widowControl/>
              <w:spacing w:line="240" w:lineRule="auto"/>
              <w:ind w:firstLine="0" w:firstLineChars="0"/>
              <w:jc w:val="center"/>
              <w:rPr>
                <w:rFonts w:eastAsia="Times New Roman" w:cs="Times New Roman"/>
                <w:color w:val="000000"/>
              </w:rPr>
            </w:pPr>
            <w:r>
              <w:rPr>
                <w:rFonts w:cs="Times New Roman"/>
                <w:color w:val="000000"/>
              </w:rPr>
              <w:t>0.70</w:t>
            </w:r>
          </w:p>
        </w:tc>
        <w:tc>
          <w:tcPr>
            <w:tcW w:w="964" w:type="dxa"/>
            <w:tcBorders>
              <w:top w:val="nil"/>
              <w:left w:val="nil"/>
              <w:bottom w:val="single" w:color="000000" w:sz="12" w:space="0"/>
              <w:right w:val="nil"/>
            </w:tcBorders>
            <w:noWrap/>
            <w:vAlign w:val="center"/>
          </w:tcPr>
          <w:p w14:paraId="0F72F0CA">
            <w:pPr>
              <w:widowControl/>
              <w:spacing w:line="240" w:lineRule="auto"/>
              <w:ind w:firstLine="0" w:firstLineChars="0"/>
              <w:jc w:val="center"/>
              <w:rPr>
                <w:rFonts w:eastAsia="Times New Roman" w:cs="Times New Roman"/>
                <w:color w:val="000000"/>
              </w:rPr>
            </w:pPr>
            <w:r>
              <w:rPr>
                <w:rFonts w:cs="Times New Roman"/>
                <w:color w:val="000000"/>
              </w:rPr>
              <w:t>0.9974</w:t>
            </w:r>
          </w:p>
        </w:tc>
        <w:tc>
          <w:tcPr>
            <w:tcW w:w="962" w:type="dxa"/>
            <w:tcBorders>
              <w:top w:val="nil"/>
              <w:left w:val="nil"/>
              <w:bottom w:val="single" w:color="000000" w:sz="12" w:space="0"/>
              <w:right w:val="nil"/>
            </w:tcBorders>
            <w:noWrap/>
            <w:vAlign w:val="center"/>
          </w:tcPr>
          <w:p w14:paraId="478C3D2A">
            <w:pPr>
              <w:widowControl/>
              <w:spacing w:line="240" w:lineRule="auto"/>
              <w:ind w:firstLine="0" w:firstLineChars="0"/>
              <w:jc w:val="center"/>
              <w:rPr>
                <w:rFonts w:eastAsia="Times New Roman" w:cs="Times New Roman"/>
                <w:color w:val="000000"/>
              </w:rPr>
            </w:pPr>
            <w:r>
              <w:rPr>
                <w:rFonts w:cs="Times New Roman"/>
                <w:color w:val="000000"/>
              </w:rPr>
              <w:t>32.75</w:t>
            </w:r>
          </w:p>
        </w:tc>
        <w:tc>
          <w:tcPr>
            <w:tcW w:w="962" w:type="dxa"/>
            <w:tcBorders>
              <w:top w:val="nil"/>
              <w:left w:val="nil"/>
              <w:bottom w:val="single" w:color="000000" w:sz="12" w:space="0"/>
              <w:right w:val="nil"/>
            </w:tcBorders>
            <w:noWrap/>
            <w:vAlign w:val="center"/>
          </w:tcPr>
          <w:p w14:paraId="6A134E8B">
            <w:pPr>
              <w:widowControl/>
              <w:spacing w:line="240" w:lineRule="auto"/>
              <w:ind w:firstLine="0" w:firstLineChars="0"/>
              <w:jc w:val="center"/>
              <w:rPr>
                <w:rFonts w:eastAsia="Times New Roman" w:cs="Times New Roman"/>
                <w:color w:val="000000"/>
              </w:rPr>
            </w:pPr>
            <w:r>
              <w:rPr>
                <w:rFonts w:cs="Times New Roman"/>
                <w:color w:val="000000"/>
              </w:rPr>
              <w:t>0.45</w:t>
            </w:r>
          </w:p>
        </w:tc>
        <w:tc>
          <w:tcPr>
            <w:tcW w:w="964" w:type="dxa"/>
            <w:tcBorders>
              <w:top w:val="nil"/>
              <w:left w:val="nil"/>
              <w:bottom w:val="single" w:color="000000" w:sz="12" w:space="0"/>
              <w:right w:val="nil"/>
            </w:tcBorders>
            <w:noWrap/>
            <w:vAlign w:val="center"/>
          </w:tcPr>
          <w:p w14:paraId="01B925FB">
            <w:pPr>
              <w:widowControl/>
              <w:spacing w:line="240" w:lineRule="auto"/>
              <w:ind w:firstLine="0" w:firstLineChars="0"/>
              <w:jc w:val="center"/>
              <w:rPr>
                <w:rFonts w:eastAsia="Times New Roman" w:cs="Times New Roman"/>
                <w:color w:val="000000"/>
              </w:rPr>
            </w:pPr>
            <w:r>
              <w:rPr>
                <w:rFonts w:cs="Times New Roman"/>
                <w:color w:val="000000"/>
              </w:rPr>
              <w:t>0.9002</w:t>
            </w:r>
          </w:p>
        </w:tc>
        <w:tc>
          <w:tcPr>
            <w:tcW w:w="1112" w:type="dxa"/>
            <w:tcBorders>
              <w:top w:val="nil"/>
              <w:left w:val="nil"/>
              <w:bottom w:val="single" w:color="000000" w:sz="12" w:space="0"/>
              <w:right w:val="nil"/>
            </w:tcBorders>
            <w:noWrap/>
            <w:vAlign w:val="center"/>
          </w:tcPr>
          <w:p w14:paraId="36F2CED9">
            <w:pPr>
              <w:widowControl/>
              <w:spacing w:line="240" w:lineRule="auto"/>
              <w:ind w:firstLine="0" w:firstLineChars="0"/>
              <w:jc w:val="center"/>
              <w:rPr>
                <w:rFonts w:eastAsia="Times New Roman" w:cs="Times New Roman"/>
                <w:color w:val="000000"/>
              </w:rPr>
            </w:pPr>
            <w:r>
              <w:rPr>
                <w:rFonts w:cs="Times New Roman"/>
                <w:color w:val="000000"/>
              </w:rPr>
              <w:t>0.0454</w:t>
            </w:r>
          </w:p>
        </w:tc>
        <w:tc>
          <w:tcPr>
            <w:tcW w:w="1112" w:type="dxa"/>
            <w:tcBorders>
              <w:top w:val="nil"/>
              <w:left w:val="nil"/>
              <w:bottom w:val="single" w:color="000000" w:sz="12" w:space="0"/>
              <w:right w:val="nil"/>
            </w:tcBorders>
            <w:noWrap/>
            <w:vAlign w:val="center"/>
          </w:tcPr>
          <w:p w14:paraId="1BF62B4F">
            <w:pPr>
              <w:widowControl/>
              <w:spacing w:line="240" w:lineRule="auto"/>
              <w:ind w:firstLine="0" w:firstLineChars="0"/>
              <w:jc w:val="center"/>
              <w:rPr>
                <w:rFonts w:eastAsia="Times New Roman" w:cs="Times New Roman"/>
                <w:color w:val="000000"/>
              </w:rPr>
            </w:pPr>
            <w:r>
              <w:rPr>
                <w:rFonts w:cs="Times New Roman"/>
                <w:color w:val="000000"/>
              </w:rPr>
              <w:t>0.2286</w:t>
            </w:r>
          </w:p>
        </w:tc>
        <w:tc>
          <w:tcPr>
            <w:tcW w:w="1242" w:type="dxa"/>
            <w:tcBorders>
              <w:top w:val="nil"/>
              <w:left w:val="nil"/>
              <w:bottom w:val="single" w:color="000000" w:sz="12" w:space="0"/>
              <w:right w:val="nil"/>
            </w:tcBorders>
            <w:noWrap/>
            <w:vAlign w:val="center"/>
          </w:tcPr>
          <w:p w14:paraId="4DE84353">
            <w:pPr>
              <w:widowControl/>
              <w:spacing w:line="240" w:lineRule="auto"/>
              <w:ind w:firstLine="0" w:firstLineChars="0"/>
              <w:jc w:val="center"/>
              <w:rPr>
                <w:rFonts w:eastAsia="Times New Roman" w:cs="Times New Roman"/>
                <w:color w:val="000000"/>
              </w:rPr>
            </w:pPr>
            <w:r>
              <w:rPr>
                <w:rFonts w:cs="Times New Roman"/>
                <w:color w:val="000000"/>
              </w:rPr>
              <w:t>0.0818</w:t>
            </w:r>
          </w:p>
        </w:tc>
        <w:tc>
          <w:tcPr>
            <w:tcW w:w="1480" w:type="dxa"/>
            <w:tcBorders>
              <w:top w:val="nil"/>
              <w:left w:val="nil"/>
              <w:bottom w:val="single" w:color="000000" w:sz="12" w:space="0"/>
              <w:right w:val="nil"/>
            </w:tcBorders>
            <w:noWrap/>
            <w:vAlign w:val="center"/>
          </w:tcPr>
          <w:p w14:paraId="626BA7E2">
            <w:pPr>
              <w:widowControl/>
              <w:spacing w:line="240" w:lineRule="auto"/>
              <w:ind w:firstLine="0" w:firstLineChars="0"/>
              <w:jc w:val="center"/>
              <w:rPr>
                <w:rFonts w:eastAsia="Times New Roman" w:cs="Times New Roman"/>
                <w:color w:val="000000"/>
              </w:rPr>
            </w:pPr>
            <w:r>
              <w:rPr>
                <w:rFonts w:cs="Times New Roman"/>
                <w:color w:val="000000"/>
              </w:rPr>
              <w:t>0.3605</w:t>
            </w:r>
          </w:p>
        </w:tc>
        <w:tc>
          <w:tcPr>
            <w:tcW w:w="235" w:type="dxa"/>
            <w:vAlign w:val="center"/>
          </w:tcPr>
          <w:p w14:paraId="5714760C">
            <w:pPr>
              <w:widowControl/>
              <w:spacing w:line="240" w:lineRule="auto"/>
              <w:ind w:firstLine="0" w:firstLineChars="0"/>
              <w:jc w:val="center"/>
              <w:rPr>
                <w:rFonts w:cs="Times New Roman" w:eastAsiaTheme="minorEastAsia"/>
                <w:sz w:val="20"/>
                <w:szCs w:val="20"/>
              </w:rPr>
            </w:pPr>
          </w:p>
        </w:tc>
      </w:tr>
    </w:tbl>
    <w:p w14:paraId="20D4A338">
      <w:pPr>
        <w:ind w:firstLine="480"/>
        <w:rPr>
          <w:rFonts w:cs="Times New Roman" w:eastAsiaTheme="minorEastAsia"/>
          <w:szCs w:val="24"/>
        </w:rPr>
      </w:pPr>
      <w:r>
        <w:rPr>
          <w:rFonts w:cs="Times New Roman" w:eastAsiaTheme="minorEastAsia"/>
          <w:szCs w:val="24"/>
          <w:vertAlign w:val="superscript"/>
        </w:rPr>
        <w:t>a</w:t>
      </w:r>
      <w:r>
        <w:rPr>
          <w:rFonts w:cs="Times New Roman" w:eastAsiaTheme="minorEastAsia"/>
          <w:szCs w:val="24"/>
        </w:rPr>
        <w:t xml:space="preserve"> release ratio (</w:t>
      </w:r>
      <w:r>
        <w:rPr>
          <w:rFonts w:cs="Times New Roman" w:eastAsiaTheme="minorEastAsia"/>
          <w:i/>
          <w:iCs/>
          <w:szCs w:val="24"/>
        </w:rPr>
        <w:t>R</w:t>
      </w:r>
      <w:r>
        <w:rPr>
          <w:rFonts w:cs="Times New Roman" w:eastAsiaTheme="minorEastAsia"/>
          <w:i/>
          <w:iCs/>
          <w:szCs w:val="24"/>
          <w:vertAlign w:val="subscript"/>
        </w:rPr>
        <w:t>r</w:t>
      </w:r>
      <w:r>
        <w:rPr>
          <w:rFonts w:cs="Times New Roman" w:eastAsiaTheme="minorEastAsia"/>
          <w:szCs w:val="24"/>
        </w:rPr>
        <w:t xml:space="preserve">):  </w:t>
      </w:r>
      <m:oMath>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R</m:t>
            </m:r>
            <m:ctrlPr>
              <w:rPr>
                <w:rFonts w:ascii="Cambria Math" w:hAnsi="Cambria Math" w:cs="Times New Roman" w:eastAsiaTheme="minorEastAsia"/>
                <w:i/>
                <w:szCs w:val="24"/>
              </w:rPr>
            </m:ctrlPr>
          </m:e>
          <m:sub>
            <m:r>
              <m:rPr/>
              <w:rPr>
                <w:rFonts w:ascii="Cambria Math" w:hAnsi="Cambria Math" w:cs="Times New Roman" w:eastAsiaTheme="minorEastAsia"/>
                <w:szCs w:val="24"/>
              </w:rPr>
              <m:t>r</m:t>
            </m:r>
            <m:ctrlPr>
              <w:rPr>
                <w:rFonts w:ascii="Cambria Math" w:hAnsi="Cambria Math" w:cs="Times New Roman" w:eastAsiaTheme="minorEastAsia"/>
                <w:i/>
                <w:szCs w:val="24"/>
              </w:rPr>
            </m:ctrlPr>
          </m:sub>
        </m:sSub>
        <m:d>
          <m:dPr>
            <m:ctrlPr>
              <w:rPr>
                <w:rFonts w:ascii="Cambria Math" w:hAnsi="Cambria Math" w:cs="Times New Roman" w:eastAsiaTheme="minorEastAsia"/>
                <w:i/>
                <w:szCs w:val="24"/>
              </w:rPr>
            </m:ctrlPr>
          </m:dPr>
          <m:e>
            <m:r>
              <m:rPr/>
              <w:rPr>
                <w:rFonts w:ascii="Cambria Math" w:hAnsi="Cambria Math" w:cs="Times New Roman" w:eastAsiaTheme="minorEastAsia"/>
                <w:szCs w:val="24"/>
              </w:rPr>
              <m:t>% of sorbed</m:t>
            </m:r>
            <m:ctrlPr>
              <w:rPr>
                <w:rFonts w:ascii="Cambria Math" w:hAnsi="Cambria Math" w:cs="Times New Roman" w:eastAsiaTheme="minorEastAsia"/>
                <w:i/>
                <w:szCs w:val="24"/>
              </w:rPr>
            </m:ctrlPr>
          </m:e>
        </m:d>
        <m:r>
          <m:rPr/>
          <w:rPr>
            <w:rFonts w:ascii="Cambria Math" w:hAnsi="Cambria Math" w:cs="Times New Roman" w:eastAsiaTheme="minorEastAsia"/>
            <w:szCs w:val="24"/>
          </w:rPr>
          <m:t>=</m:t>
        </m:r>
        <m:f>
          <m:fPr>
            <m:ctrlPr>
              <w:rPr>
                <w:rFonts w:ascii="Cambria Math" w:hAnsi="Cambria Math" w:cs="Times New Roman" w:eastAsiaTheme="minorEastAsia"/>
                <w:i/>
                <w:szCs w:val="24"/>
              </w:rPr>
            </m:ctrlPr>
          </m:fPr>
          <m:num>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Sub>
            <m:r>
              <m:rPr/>
              <w:rPr>
                <w:rFonts w:ascii="Cambria Math" w:hAnsi="Cambria Math" w:cs="Times New Roman" w:eastAsiaTheme="minorEastAsia"/>
                <w:szCs w:val="24"/>
              </w:rPr>
              <m:t>−</m:t>
            </m:r>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d</m:t>
                </m:r>
                <m:ctrlPr>
                  <w:rPr>
                    <w:rFonts w:ascii="Cambria Math" w:hAnsi="Cambria Math" w:cs="Times New Roman" w:eastAsiaTheme="minorEastAsia"/>
                    <w:i/>
                    <w:szCs w:val="24"/>
                  </w:rPr>
                </m:ctrlPr>
              </m:sub>
            </m:sSub>
            <m:ctrlPr>
              <w:rPr>
                <w:rFonts w:ascii="Cambria Math" w:hAnsi="Cambria Math" w:cs="Times New Roman" w:eastAsiaTheme="minorEastAsia"/>
                <w:i/>
                <w:szCs w:val="24"/>
              </w:rPr>
            </m:ctrlPr>
          </m:num>
          <m:den>
            <m:sSub>
              <m:sSubPr>
                <m:ctrlPr>
                  <w:rPr>
                    <w:rFonts w:ascii="Cambria Math" w:hAnsi="Cambria Math" w:cs="Times New Roman" w:eastAsiaTheme="minorEastAsia"/>
                    <w:i/>
                    <w:szCs w:val="24"/>
                  </w:rPr>
                </m:ctrlPr>
              </m:sSub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Sub>
            <m:ctrlPr>
              <w:rPr>
                <w:rFonts w:ascii="Cambria Math" w:hAnsi="Cambria Math" w:cs="Times New Roman" w:eastAsiaTheme="minorEastAsia"/>
                <w:i/>
                <w:szCs w:val="24"/>
              </w:rPr>
            </m:ctrlPr>
          </m:den>
        </m:f>
        <m:r>
          <m:rPr/>
          <w:rPr>
            <w:rFonts w:ascii="Cambria Math" w:hAnsi="Cambria Math" w:cs="Times New Roman" w:eastAsiaTheme="minorEastAsia"/>
            <w:szCs w:val="24"/>
          </w:rPr>
          <m:t>×100%</m:t>
        </m:r>
      </m:oMath>
    </w:p>
    <w:p w14:paraId="18865604">
      <w:pPr>
        <w:ind w:firstLine="0" w:firstLineChars="0"/>
        <w:rPr>
          <w:rFonts w:cs="Times New Roman" w:eastAsiaTheme="minorEastAsia"/>
          <w:szCs w:val="24"/>
        </w:rPr>
      </w:pPr>
      <w:r>
        <w:rPr>
          <w:rFonts w:cs="Times New Roman" w:eastAsiaTheme="minorEastAsia"/>
          <w:szCs w:val="24"/>
        </w:rPr>
        <w:t xml:space="preserve">where </w:t>
      </w:r>
      <w:r>
        <w:rPr>
          <w:rFonts w:cs="Times New Roman" w:eastAsiaTheme="minorEastAsia"/>
          <w:i/>
          <w:szCs w:val="24"/>
        </w:rPr>
        <w:t>Q</w:t>
      </w:r>
      <w:r>
        <w:rPr>
          <w:rFonts w:cs="Times New Roman" w:eastAsiaTheme="minorEastAsia"/>
          <w:i w:val="0"/>
          <w:iCs/>
          <w:szCs w:val="24"/>
          <w:vertAlign w:val="subscript"/>
        </w:rPr>
        <w:t>e</w:t>
      </w:r>
      <w:r>
        <w:rPr>
          <w:rFonts w:cs="Times New Roman" w:eastAsiaTheme="minorEastAsia"/>
          <w:szCs w:val="24"/>
        </w:rPr>
        <w:t xml:space="preserve"> (mg·g</w:t>
      </w:r>
      <w:r>
        <w:rPr>
          <w:rFonts w:hint="default" w:ascii="Times New Roman" w:hAnsi="Times New Roman" w:cs="Times New Roman"/>
          <w:b w:val="0"/>
          <w:bCs w:val="0"/>
          <w:sz w:val="24"/>
          <w:szCs w:val="24"/>
          <w:vertAlign w:val="superscript"/>
          <w:lang w:val="en-US" w:eastAsia="zh-CN"/>
        </w:rPr>
        <w:t>−</w:t>
      </w:r>
      <w:r>
        <w:rPr>
          <w:rFonts w:cs="Times New Roman" w:eastAsiaTheme="minorEastAsia"/>
          <w:szCs w:val="24"/>
          <w:vertAlign w:val="superscript"/>
        </w:rPr>
        <w:t>1</w:t>
      </w:r>
      <w:r>
        <w:rPr>
          <w:rFonts w:cs="Times New Roman" w:eastAsiaTheme="minorEastAsia"/>
          <w:szCs w:val="24"/>
        </w:rPr>
        <w:t xml:space="preserve">) is the equilibrium sorption concentration, and </w:t>
      </w:r>
      <w:r>
        <w:rPr>
          <w:rFonts w:cs="Times New Roman" w:eastAsiaTheme="minorEastAsia"/>
          <w:i/>
          <w:szCs w:val="24"/>
        </w:rPr>
        <w:t>Q</w:t>
      </w:r>
      <w:r>
        <w:rPr>
          <w:rFonts w:cs="Times New Roman" w:eastAsiaTheme="minorEastAsia"/>
          <w:szCs w:val="24"/>
          <w:vertAlign w:val="subscript"/>
        </w:rPr>
        <w:t>d</w:t>
      </w:r>
      <w:r>
        <w:rPr>
          <w:rFonts w:cs="Times New Roman" w:eastAsiaTheme="minorEastAsia"/>
          <w:szCs w:val="24"/>
        </w:rPr>
        <w:t xml:space="preserve"> (mg·g</w:t>
      </w:r>
      <w:r>
        <w:rPr>
          <w:rFonts w:hint="default" w:ascii="Times New Roman" w:hAnsi="Times New Roman" w:cs="Times New Roman"/>
          <w:b w:val="0"/>
          <w:bCs w:val="0"/>
          <w:sz w:val="24"/>
          <w:szCs w:val="24"/>
          <w:vertAlign w:val="superscript"/>
          <w:lang w:val="en-US" w:eastAsia="zh-CN"/>
        </w:rPr>
        <w:t>−</w:t>
      </w:r>
      <w:r>
        <w:rPr>
          <w:rFonts w:cs="Times New Roman" w:eastAsiaTheme="minorEastAsia"/>
          <w:szCs w:val="24"/>
          <w:vertAlign w:val="superscript"/>
        </w:rPr>
        <w:t>1</w:t>
      </w:r>
      <w:r>
        <w:rPr>
          <w:rFonts w:cs="Times New Roman" w:eastAsiaTheme="minorEastAsia"/>
          <w:szCs w:val="24"/>
        </w:rPr>
        <w:t>) is the equilibrium sorption concentration after the third desorption process.</w:t>
      </w:r>
    </w:p>
    <w:p w14:paraId="749E938B">
      <w:pPr>
        <w:ind w:firstLine="480"/>
        <w:rPr>
          <w:rFonts w:cs="Times New Roman" w:eastAsiaTheme="minorEastAsia"/>
          <w:szCs w:val="24"/>
        </w:rPr>
      </w:pPr>
      <w:r>
        <w:rPr>
          <w:rFonts w:cs="Times New Roman" w:eastAsiaTheme="minorEastAsia"/>
          <w:szCs w:val="24"/>
          <w:vertAlign w:val="superscript"/>
        </w:rPr>
        <w:t>b</w:t>
      </w:r>
      <w:r>
        <w:rPr>
          <w:rFonts w:cs="Times New Roman" w:eastAsiaTheme="minorEastAsia"/>
          <w:szCs w:val="24"/>
        </w:rPr>
        <w:t xml:space="preserve"> hysteresis index (</w:t>
      </w:r>
      <w:r>
        <w:rPr>
          <w:rFonts w:cs="Times New Roman" w:eastAsiaTheme="minorEastAsia"/>
          <w:i w:val="0"/>
          <w:iCs w:val="0"/>
          <w:szCs w:val="24"/>
        </w:rPr>
        <w:t>HI</w:t>
      </w:r>
      <w:r>
        <w:rPr>
          <w:rFonts w:cs="Times New Roman" w:eastAsiaTheme="minorEastAsia"/>
          <w:szCs w:val="24"/>
        </w:rPr>
        <w:t xml:space="preserve">): </w:t>
      </w:r>
      <m:oMath>
        <m:r>
          <m:rPr>
            <m:sty m:val="p"/>
          </m:rPr>
          <w:rPr>
            <w:rFonts w:hint="default" w:ascii="Cambria Math" w:hAnsi="Cambria Math" w:cs="Times New Roman" w:eastAsiaTheme="minorEastAsia"/>
            <w:szCs w:val="24"/>
          </w:rPr>
          <m:t>HI</m:t>
        </m:r>
        <m:r>
          <m:rPr/>
          <w:rPr>
            <w:rFonts w:ascii="Cambria Math" w:hAnsi="Cambria Math" w:cs="Times New Roman" w:eastAsiaTheme="minorEastAsia"/>
            <w:szCs w:val="24"/>
          </w:rPr>
          <m:t>=</m:t>
        </m:r>
        <m:f>
          <m:fPr>
            <m:ctrlPr>
              <w:rPr>
                <w:rFonts w:ascii="Cambria Math" w:hAnsi="Cambria Math" w:cs="Times New Roman" w:eastAsiaTheme="minorEastAsia"/>
                <w:i/>
                <w:szCs w:val="24"/>
              </w:rPr>
            </m:ctrlPr>
          </m:fPr>
          <m:num>
            <m:sSubSup>
              <m:sSubSupPr>
                <m:ctrlPr>
                  <w:rPr>
                    <w:rFonts w:ascii="Cambria Math" w:hAnsi="Cambria Math" w:cs="Times New Roman" w:eastAsiaTheme="minorEastAsia"/>
                    <w:i/>
                    <w:szCs w:val="24"/>
                  </w:rPr>
                </m:ctrlPr>
              </m:sSubSup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up>
                <m:r>
                  <m:rPr/>
                  <w:rPr>
                    <w:rFonts w:ascii="Cambria Math" w:hAnsi="Cambria Math" w:cs="Times New Roman" w:eastAsiaTheme="minorEastAsia"/>
                    <w:szCs w:val="24"/>
                  </w:rPr>
                  <m:t>d</m:t>
                </m:r>
                <m:ctrlPr>
                  <w:rPr>
                    <w:rFonts w:ascii="Cambria Math" w:hAnsi="Cambria Math" w:cs="Times New Roman" w:eastAsiaTheme="minorEastAsia"/>
                    <w:i/>
                    <w:szCs w:val="24"/>
                  </w:rPr>
                </m:ctrlPr>
              </m:sup>
            </m:sSubSup>
            <m:r>
              <m:rPr/>
              <w:rPr>
                <w:rFonts w:ascii="Cambria Math" w:hAnsi="Cambria Math" w:cs="Times New Roman" w:eastAsiaTheme="minorEastAsia"/>
                <w:szCs w:val="24"/>
              </w:rPr>
              <m:t>−</m:t>
            </m:r>
            <m:sSubSup>
              <m:sSubSupPr>
                <m:ctrlPr>
                  <w:rPr>
                    <w:rFonts w:ascii="Cambria Math" w:hAnsi="Cambria Math" w:cs="Times New Roman" w:eastAsiaTheme="minorEastAsia"/>
                    <w:i/>
                    <w:szCs w:val="24"/>
                  </w:rPr>
                </m:ctrlPr>
              </m:sSubSup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up>
                <m:r>
                  <m:rPr/>
                  <w:rPr>
                    <w:rFonts w:ascii="Cambria Math" w:hAnsi="Cambria Math" w:cs="Times New Roman" w:eastAsiaTheme="minorEastAsia"/>
                    <w:szCs w:val="24"/>
                  </w:rPr>
                  <m:t>s</m:t>
                </m:r>
                <m:ctrlPr>
                  <w:rPr>
                    <w:rFonts w:ascii="Cambria Math" w:hAnsi="Cambria Math" w:cs="Times New Roman" w:eastAsiaTheme="minorEastAsia"/>
                    <w:i/>
                    <w:szCs w:val="24"/>
                  </w:rPr>
                </m:ctrlPr>
              </m:sup>
            </m:sSubSup>
            <m:ctrlPr>
              <w:rPr>
                <w:rFonts w:ascii="Cambria Math" w:hAnsi="Cambria Math" w:cs="Times New Roman" w:eastAsiaTheme="minorEastAsia"/>
                <w:i/>
                <w:szCs w:val="24"/>
              </w:rPr>
            </m:ctrlPr>
          </m:num>
          <m:den>
            <m:sSubSup>
              <m:sSubSupPr>
                <m:ctrlPr>
                  <w:rPr>
                    <w:rFonts w:ascii="Cambria Math" w:hAnsi="Cambria Math" w:cs="Times New Roman" w:eastAsiaTheme="minorEastAsia"/>
                    <w:i/>
                    <w:szCs w:val="24"/>
                  </w:rPr>
                </m:ctrlPr>
              </m:sSubSupPr>
              <m:e>
                <m:r>
                  <m:rPr/>
                  <w:rPr>
                    <w:rFonts w:ascii="Cambria Math" w:hAnsi="Cambria Math" w:cs="Times New Roman" w:eastAsiaTheme="minorEastAsia"/>
                    <w:szCs w:val="24"/>
                  </w:rPr>
                  <m:t>Q</m:t>
                </m:r>
                <m:ctrlPr>
                  <w:rPr>
                    <w:rFonts w:ascii="Cambria Math" w:hAnsi="Cambria Math" w:cs="Times New Roman" w:eastAsiaTheme="minorEastAsia"/>
                    <w:i/>
                    <w:szCs w:val="24"/>
                  </w:rPr>
                </m:ctrlPr>
              </m:e>
              <m:sub>
                <m:r>
                  <m:rPr/>
                  <w:rPr>
                    <w:rFonts w:ascii="Cambria Math" w:hAnsi="Cambria Math" w:cs="Times New Roman" w:eastAsiaTheme="minorEastAsia"/>
                    <w:szCs w:val="24"/>
                  </w:rPr>
                  <m:t>e</m:t>
                </m:r>
                <m:ctrlPr>
                  <w:rPr>
                    <w:rFonts w:ascii="Cambria Math" w:hAnsi="Cambria Math" w:cs="Times New Roman" w:eastAsiaTheme="minorEastAsia"/>
                    <w:i/>
                    <w:szCs w:val="24"/>
                  </w:rPr>
                </m:ctrlPr>
              </m:sub>
              <m:sup>
                <m:r>
                  <m:rPr/>
                  <w:rPr>
                    <w:rFonts w:ascii="Cambria Math" w:hAnsi="Cambria Math" w:cs="Times New Roman" w:eastAsiaTheme="minorEastAsia"/>
                    <w:szCs w:val="24"/>
                  </w:rPr>
                  <m:t>s</m:t>
                </m:r>
                <m:ctrlPr>
                  <w:rPr>
                    <w:rFonts w:ascii="Cambria Math" w:hAnsi="Cambria Math" w:cs="Times New Roman" w:eastAsiaTheme="minorEastAsia"/>
                    <w:i/>
                    <w:szCs w:val="24"/>
                  </w:rPr>
                </m:ctrlPr>
              </m:sup>
            </m:sSubSup>
            <m:ctrlPr>
              <w:rPr>
                <w:rFonts w:ascii="Cambria Math" w:hAnsi="Cambria Math" w:cs="Times New Roman" w:eastAsiaTheme="minorEastAsia"/>
                <w:i/>
                <w:szCs w:val="24"/>
              </w:rPr>
            </m:ctrlPr>
          </m:den>
        </m:f>
        <m:sSub>
          <m:sSubPr>
            <m:ctrlPr>
              <w:rPr>
                <w:rFonts w:ascii="Cambria Math" w:hAnsi="Cambria Math" w:cs="Times New Roman" w:eastAsiaTheme="minorEastAsia"/>
                <w:iCs/>
                <w:szCs w:val="24"/>
              </w:rPr>
            </m:ctrlPr>
          </m:sSubPr>
          <m:e>
            <m:r>
              <m:rPr>
                <m:sty m:val="p"/>
              </m:rPr>
              <w:rPr>
                <w:rFonts w:ascii="Cambria Math" w:hAnsi="Cambria Math" w:cs="Times New Roman" w:eastAsiaTheme="minorEastAsia"/>
                <w:szCs w:val="24"/>
              </w:rPr>
              <m:t>|</m:t>
            </m:r>
            <m:ctrlPr>
              <w:rPr>
                <w:rFonts w:ascii="Cambria Math" w:hAnsi="Cambria Math" w:cs="Times New Roman" w:eastAsiaTheme="minorEastAsia"/>
                <w:iCs/>
                <w:szCs w:val="24"/>
              </w:rPr>
            </m:ctrlPr>
          </m:e>
          <m:sub>
            <m:r>
              <m:rPr/>
              <w:rPr>
                <w:rFonts w:ascii="Cambria Math" w:hAnsi="Cambria Math" w:cs="Times New Roman" w:eastAsiaTheme="minorEastAsia"/>
                <w:szCs w:val="24"/>
              </w:rPr>
              <m:t>T,</m:t>
            </m:r>
            <m:sSub>
              <m:sSubPr>
                <m:ctrlPr>
                  <w:rPr>
                    <w:rFonts w:ascii="Cambria Math" w:hAnsi="Cambria Math" w:cs="Times New Roman" w:eastAsiaTheme="minorEastAsia"/>
                    <w:i/>
                    <w:iCs/>
                    <w:szCs w:val="24"/>
                  </w:rPr>
                </m:ctrlPr>
              </m:sSubPr>
              <m:e>
                <m:r>
                  <m:rPr/>
                  <w:rPr>
                    <w:rFonts w:ascii="Cambria Math" w:hAnsi="Cambria Math" w:cs="Times New Roman" w:eastAsiaTheme="minorEastAsia"/>
                    <w:szCs w:val="24"/>
                  </w:rPr>
                  <m:t>C</m:t>
                </m:r>
                <m:ctrlPr>
                  <w:rPr>
                    <w:rFonts w:ascii="Cambria Math" w:hAnsi="Cambria Math" w:cs="Times New Roman" w:eastAsiaTheme="minorEastAsia"/>
                    <w:i/>
                    <w:iCs/>
                    <w:szCs w:val="24"/>
                  </w:rPr>
                </m:ctrlPr>
              </m:e>
              <m:sub>
                <m:r>
                  <m:rPr/>
                  <w:rPr>
                    <w:rFonts w:ascii="Cambria Math" w:hAnsi="Cambria Math" w:cs="Times New Roman" w:eastAsiaTheme="minorEastAsia"/>
                    <w:szCs w:val="24"/>
                  </w:rPr>
                  <m:t>e</m:t>
                </m:r>
                <m:ctrlPr>
                  <w:rPr>
                    <w:rFonts w:ascii="Cambria Math" w:hAnsi="Cambria Math" w:cs="Times New Roman" w:eastAsiaTheme="minorEastAsia"/>
                    <w:i/>
                    <w:iCs/>
                    <w:szCs w:val="24"/>
                  </w:rPr>
                </m:ctrlPr>
              </m:sub>
            </m:sSub>
            <m:ctrlPr>
              <w:rPr>
                <w:rFonts w:ascii="Cambria Math" w:hAnsi="Cambria Math" w:cs="Times New Roman" w:eastAsiaTheme="minorEastAsia"/>
                <w:iCs/>
                <w:szCs w:val="24"/>
              </w:rPr>
            </m:ctrlPr>
          </m:sub>
        </m:sSub>
        <m:r>
          <m:rPr>
            <m:sty m:val="p"/>
          </m:rPr>
          <w:rPr>
            <w:rFonts w:ascii="Cambria Math" w:hAnsi="Cambria Math" w:cs="Times New Roman" w:eastAsiaTheme="minorEastAsia"/>
            <w:position w:val="-10"/>
            <w:szCs w:val="24"/>
          </w:rPr>
          <w:object>
            <v:shape id="_x0000_i1026" o:spt="75" type="#_x0000_t75" style="height:18.6pt;width:10.2pt;" o:ole="t" filled="f" o:preferrelative="t" stroked="f" coordsize="21600,21600">
              <v:path/>
              <v:fill on="f" focussize="0,0"/>
              <v:stroke on="f" joinstyle="miter"/>
              <v:imagedata r:id="rId13" o:title=""/>
              <o:lock v:ext="edit" aspectratio="t"/>
              <w10:wrap type="none"/>
              <w10:anchorlock/>
            </v:shape>
            <o:OLEObject Type="Embed" ProgID="Equation.KSEE3" ShapeID="_x0000_i1026" DrawAspect="Content" ObjectID="_1468075726" r:id="rId16">
              <o:LockedField>false</o:LockedField>
            </o:OLEObject>
          </w:object>
        </m:r>
      </m:oMath>
    </w:p>
    <w:p w14:paraId="028F2F44">
      <w:pPr>
        <w:ind w:firstLine="0" w:firstLineChars="0"/>
        <w:rPr>
          <w:rFonts w:cs="Times New Roman" w:eastAsiaTheme="minorEastAsia"/>
          <w:szCs w:val="24"/>
        </w:rPr>
      </w:pPr>
      <w:r>
        <w:rPr>
          <w:rFonts w:cs="Times New Roman" w:eastAsiaTheme="minorEastAsia"/>
          <w:iCs/>
          <w:szCs w:val="24"/>
        </w:rPr>
        <w:t xml:space="preserve">where </w:t>
      </w:r>
      <w:r>
        <w:rPr>
          <w:rFonts w:cs="Times New Roman" w:eastAsiaTheme="minorEastAsia"/>
          <w:i/>
          <w:szCs w:val="24"/>
        </w:rPr>
        <w:t>Q</w:t>
      </w:r>
      <w:r>
        <w:rPr>
          <w:rFonts w:cs="Times New Roman" w:eastAsiaTheme="minorEastAsia"/>
          <w:i w:val="0"/>
          <w:iCs/>
          <w:szCs w:val="24"/>
          <w:vertAlign w:val="subscript"/>
        </w:rPr>
        <w:t>e</w:t>
      </w:r>
      <w:r>
        <w:rPr>
          <w:rFonts w:cs="Times New Roman" w:eastAsiaTheme="minorEastAsia"/>
          <w:szCs w:val="24"/>
          <w:vertAlign w:val="superscript"/>
        </w:rPr>
        <w:t>d</w:t>
      </w:r>
      <w:r>
        <w:rPr>
          <w:rFonts w:cs="Times New Roman" w:eastAsiaTheme="minorEastAsia"/>
          <w:szCs w:val="24"/>
        </w:rPr>
        <w:t xml:space="preserve"> (mg·g</w:t>
      </w:r>
      <w:r>
        <w:rPr>
          <w:rFonts w:hint="default" w:ascii="Times New Roman" w:hAnsi="Times New Roman" w:cs="Times New Roman"/>
          <w:b w:val="0"/>
          <w:bCs w:val="0"/>
          <w:sz w:val="24"/>
          <w:szCs w:val="24"/>
          <w:vertAlign w:val="superscript"/>
          <w:lang w:val="en-US" w:eastAsia="zh-CN"/>
        </w:rPr>
        <w:t>−</w:t>
      </w:r>
      <w:r>
        <w:rPr>
          <w:rFonts w:cs="Times New Roman" w:eastAsiaTheme="minorEastAsia"/>
          <w:szCs w:val="24"/>
          <w:vertAlign w:val="superscript"/>
        </w:rPr>
        <w:t>1</w:t>
      </w:r>
      <w:r>
        <w:rPr>
          <w:rFonts w:cs="Times New Roman" w:eastAsiaTheme="minorEastAsia"/>
          <w:szCs w:val="24"/>
        </w:rPr>
        <w:t xml:space="preserve">) is solid-phase solute concentration observed in the desorption experiment that is in equilibrium with an aqueous-phase concentration </w:t>
      </w:r>
      <w:r>
        <w:rPr>
          <w:rFonts w:cs="Times New Roman" w:eastAsiaTheme="minorEastAsia"/>
          <w:i/>
          <w:szCs w:val="24"/>
        </w:rPr>
        <w:t>C</w:t>
      </w:r>
      <w:r>
        <w:rPr>
          <w:rFonts w:cs="Times New Roman" w:eastAsiaTheme="minorEastAsia"/>
          <w:szCs w:val="24"/>
          <w:vertAlign w:val="subscript"/>
        </w:rPr>
        <w:t xml:space="preserve">e </w:t>
      </w:r>
      <w:r>
        <w:rPr>
          <w:rFonts w:cs="Times New Roman" w:eastAsiaTheme="minorEastAsia"/>
          <w:szCs w:val="24"/>
        </w:rPr>
        <w:t>(mg·L</w:t>
      </w:r>
      <w:r>
        <w:rPr>
          <w:rFonts w:hint="default" w:ascii="Times New Roman" w:hAnsi="Times New Roman" w:cs="Times New Roman"/>
          <w:b w:val="0"/>
          <w:bCs w:val="0"/>
          <w:sz w:val="24"/>
          <w:szCs w:val="24"/>
          <w:vertAlign w:val="superscript"/>
          <w:lang w:val="en-US" w:eastAsia="zh-CN"/>
        </w:rPr>
        <w:t>−</w:t>
      </w:r>
      <w:r>
        <w:rPr>
          <w:rFonts w:cs="Times New Roman" w:eastAsiaTheme="minorEastAsia"/>
          <w:szCs w:val="24"/>
          <w:vertAlign w:val="superscript"/>
        </w:rPr>
        <w:t>1</w:t>
      </w:r>
      <w:r>
        <w:rPr>
          <w:rFonts w:cs="Times New Roman" w:eastAsiaTheme="minorEastAsia"/>
          <w:szCs w:val="24"/>
        </w:rPr>
        <w:t xml:space="preserve">), and </w:t>
      </w:r>
      <w:r>
        <w:rPr>
          <w:rFonts w:cs="Times New Roman" w:eastAsiaTheme="minorEastAsia"/>
          <w:i/>
          <w:szCs w:val="24"/>
        </w:rPr>
        <w:t>Q</w:t>
      </w:r>
      <w:r>
        <w:rPr>
          <w:rFonts w:cs="Times New Roman" w:eastAsiaTheme="minorEastAsia"/>
          <w:i w:val="0"/>
          <w:iCs/>
          <w:szCs w:val="24"/>
          <w:vertAlign w:val="subscript"/>
        </w:rPr>
        <w:t>e</w:t>
      </w:r>
      <w:r>
        <w:rPr>
          <w:rFonts w:cs="Times New Roman" w:eastAsiaTheme="minorEastAsia"/>
          <w:szCs w:val="24"/>
          <w:vertAlign w:val="superscript"/>
        </w:rPr>
        <w:t>s</w:t>
      </w:r>
      <w:r>
        <w:rPr>
          <w:rFonts w:cs="Times New Roman" w:eastAsiaTheme="minorEastAsia"/>
          <w:szCs w:val="24"/>
        </w:rPr>
        <w:t xml:space="preserve"> (mg·g</w:t>
      </w:r>
      <w:r>
        <w:rPr>
          <w:rFonts w:hint="default" w:ascii="Times New Roman" w:hAnsi="Times New Roman" w:cs="Times New Roman"/>
          <w:b w:val="0"/>
          <w:bCs w:val="0"/>
          <w:sz w:val="24"/>
          <w:szCs w:val="24"/>
          <w:vertAlign w:val="superscript"/>
          <w:lang w:val="en-US" w:eastAsia="zh-CN"/>
        </w:rPr>
        <w:t>−</w:t>
      </w:r>
      <w:r>
        <w:rPr>
          <w:rFonts w:cs="Times New Roman" w:eastAsiaTheme="minorEastAsia"/>
          <w:szCs w:val="24"/>
          <w:vertAlign w:val="superscript"/>
        </w:rPr>
        <w:t>1</w:t>
      </w:r>
      <w:r>
        <w:rPr>
          <w:rFonts w:cs="Times New Roman" w:eastAsiaTheme="minorEastAsia"/>
          <w:szCs w:val="24"/>
        </w:rPr>
        <w:t xml:space="preserve">) is the solid-phase solute concentration calculated from </w:t>
      </w:r>
      <w:r>
        <w:rPr>
          <w:rFonts w:cs="Times New Roman" w:eastAsiaTheme="minorEastAsia"/>
          <w:i/>
          <w:szCs w:val="24"/>
        </w:rPr>
        <w:t>C</w:t>
      </w:r>
      <w:r>
        <w:rPr>
          <w:rFonts w:cs="Times New Roman" w:eastAsiaTheme="minorEastAsia"/>
          <w:szCs w:val="24"/>
          <w:vertAlign w:val="subscript"/>
        </w:rPr>
        <w:t>e</w:t>
      </w:r>
      <w:r>
        <w:rPr>
          <w:rFonts w:cs="Times New Roman" w:eastAsiaTheme="minorEastAsia"/>
          <w:szCs w:val="24"/>
        </w:rPr>
        <w:t xml:space="preserve"> assuming that desorption is reversible. </w:t>
      </w:r>
    </w:p>
    <w:p w14:paraId="4A14E93E">
      <w:pPr>
        <w:ind w:firstLine="0" w:firstLineChars="0"/>
        <w:rPr>
          <w:rFonts w:cs="Times New Roman" w:eastAsiaTheme="minorEastAsia"/>
          <w:szCs w:val="24"/>
        </w:rPr>
      </w:pPr>
    </w:p>
    <w:bookmarkEnd w:id="12"/>
    <w:bookmarkEnd w:id="13"/>
    <w:p w14:paraId="1F44C971">
      <w:pPr>
        <w:ind w:firstLine="480"/>
        <w:rPr>
          <w:rFonts w:cs="Times New Roman" w:eastAsiaTheme="minorEastAsia"/>
          <w:szCs w:val="24"/>
        </w:rPr>
        <w:sectPr>
          <w:pgSz w:w="16838" w:h="11906" w:orient="landscape"/>
          <w:pgMar w:top="1440" w:right="1440" w:bottom="1440" w:left="1440" w:header="851" w:footer="992" w:gutter="0"/>
          <w:cols w:space="720" w:num="1"/>
          <w:docGrid w:linePitch="299" w:charSpace="0"/>
        </w:sectPr>
      </w:pPr>
    </w:p>
    <w:p w14:paraId="2CF0BD55">
      <w:pPr>
        <w:ind w:firstLine="0" w:firstLineChars="0"/>
        <w:rPr>
          <w:rFonts w:cs="Times New Roman" w:eastAsiaTheme="minorEastAsia"/>
          <w:szCs w:val="24"/>
        </w:rPr>
      </w:pPr>
    </w:p>
    <w:p w14:paraId="2A9C3215">
      <w:pPr>
        <w:pStyle w:val="2"/>
        <w:rPr>
          <w:rFonts w:cs="Times New Roman"/>
        </w:rPr>
      </w:pPr>
      <w:bookmarkStart w:id="21" w:name="_Toc228301085"/>
      <w: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725160" cy="4385945"/>
            <wp:effectExtent l="0" t="0" r="0" b="0"/>
            <wp:wrapTopAndBottom/>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7"/>
                    <a:stretch>
                      <a:fillRect/>
                    </a:stretch>
                  </pic:blipFill>
                  <pic:spPr>
                    <a:xfrm>
                      <a:off x="0" y="0"/>
                      <a:ext cx="5725160" cy="4385945"/>
                    </a:xfrm>
                    <a:prstGeom prst="rect">
                      <a:avLst/>
                    </a:prstGeom>
                    <a:noFill/>
                    <a:ln>
                      <a:noFill/>
                    </a:ln>
                  </pic:spPr>
                </pic:pic>
              </a:graphicData>
            </a:graphic>
          </wp:anchor>
        </w:drawing>
      </w:r>
      <w:r>
        <w:rPr>
          <w:rFonts w:cs="Times New Roman"/>
          <w:b/>
          <w:bCs/>
        </w:rPr>
        <w:t xml:space="preserve">Fig. S1 </w:t>
      </w:r>
      <w:r>
        <w:rPr>
          <w:rFonts w:cs="Times New Roman"/>
        </w:rPr>
        <w:t>Species distribution of the FL at different pH in the range of 0</w:t>
      </w:r>
      <w:r>
        <w:rPr>
          <w:rFonts w:hint="default" w:ascii="Times New Roman" w:hAnsi="Times New Roman" w:cs="Times New Roman"/>
          <w:sz w:val="24"/>
          <w:szCs w:val="24"/>
          <w:vertAlign w:val="baseline"/>
          <w:lang w:val="en-US" w:eastAsia="zh-CN"/>
        </w:rPr>
        <w:t>–</w:t>
      </w:r>
      <w:r>
        <w:rPr>
          <w:rFonts w:cs="Times New Roman"/>
        </w:rPr>
        <w:t>14.0. FL predominantly exists in its charge-neutrality form, whereas the negatively charged form of FL becomes dominant at pH values greater than 13.47.</w:t>
      </w:r>
      <w:bookmarkEnd w:id="21"/>
      <w:r>
        <w:rPr>
          <w:rFonts w:cs="Times New Roman"/>
        </w:rPr>
        <w:t xml:space="preserve"> </w:t>
      </w:r>
    </w:p>
    <w:p w14:paraId="453A1F0E">
      <w:pPr>
        <w:ind w:firstLine="480"/>
        <w:rPr>
          <w:rFonts w:cs="Times New Roman"/>
          <w:b/>
          <w:bCs/>
          <w:szCs w:val="24"/>
        </w:rPr>
      </w:pPr>
      <w:r>
        <w:rPr>
          <w:rFonts w:cs="Times New Roman"/>
          <w:b/>
          <w:bCs/>
          <w:szCs w:val="24"/>
        </w:rPr>
        <w:br w:type="page"/>
      </w:r>
    </w:p>
    <w:p w14:paraId="61C6243D">
      <w:pPr>
        <w:pStyle w:val="2"/>
        <w:rPr>
          <w:rFonts w:cs="Times New Roman"/>
          <w:b/>
          <w:bCs/>
        </w:rPr>
      </w:pPr>
      <w:bookmarkStart w:id="22" w:name="_Toc228301086"/>
      <w: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727065" cy="2212340"/>
            <wp:effectExtent l="0" t="0" r="3175" b="0"/>
            <wp:wrapTopAndBottom/>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8"/>
                    <a:stretch>
                      <a:fillRect/>
                    </a:stretch>
                  </pic:blipFill>
                  <pic:spPr>
                    <a:xfrm>
                      <a:off x="0" y="0"/>
                      <a:ext cx="5727065" cy="2212340"/>
                    </a:xfrm>
                    <a:prstGeom prst="rect">
                      <a:avLst/>
                    </a:prstGeom>
                    <a:noFill/>
                    <a:ln>
                      <a:noFill/>
                    </a:ln>
                  </pic:spPr>
                </pic:pic>
              </a:graphicData>
            </a:graphic>
          </wp:anchor>
        </w:drawing>
      </w:r>
      <w:r>
        <w:rPr>
          <w:rFonts w:cs="Times New Roman"/>
          <w:b/>
          <w:bCs/>
        </w:rPr>
        <w:t xml:space="preserve">Fig. S2 </w:t>
      </w:r>
      <w:r>
        <w:rPr>
          <w:rFonts w:cs="Times New Roman"/>
        </w:rPr>
        <w:t xml:space="preserve">Sorption equilibrium time of FL sorption on PVC MPs - 1 </w:t>
      </w:r>
      <w:r>
        <w:rPr>
          <w:rFonts w:cs="Times New Roman"/>
          <w:szCs w:val="24"/>
        </w:rPr>
        <w:t>µm</w:t>
      </w:r>
      <w:r>
        <w:rPr>
          <w:rFonts w:cs="Times New Roman"/>
        </w:rPr>
        <w:t xml:space="preserve"> (a) and 150 </w:t>
      </w:r>
      <w:r>
        <w:rPr>
          <w:rFonts w:cs="Times New Roman"/>
          <w:szCs w:val="24"/>
        </w:rPr>
        <w:t>µm</w:t>
      </w:r>
      <w:r>
        <w:rPr>
          <w:rFonts w:cs="Times New Roman"/>
        </w:rPr>
        <w:t xml:space="preserve"> (b). For all size PVCs, 48 h was enough for FL sorption equilibrium on different sorbents.</w:t>
      </w:r>
      <w:bookmarkEnd w:id="22"/>
      <w:r>
        <w:rPr>
          <w:rFonts w:cs="Times New Roman"/>
          <w:sz w:val="21"/>
          <w:szCs w:val="21"/>
        </w:rPr>
        <w:t xml:space="preserve"> </w:t>
      </w:r>
    </w:p>
    <w:p w14:paraId="0969354B">
      <w:pPr>
        <w:ind w:firstLine="480"/>
        <w:rPr>
          <w:rFonts w:cs="Times New Roman"/>
          <w:b/>
          <w:bCs/>
          <w:szCs w:val="24"/>
        </w:rPr>
      </w:pPr>
      <w:r>
        <w:rPr>
          <w:rFonts w:cs="Times New Roman"/>
          <w:b/>
          <w:bCs/>
          <w:szCs w:val="24"/>
        </w:rPr>
        <w:br w:type="page"/>
      </w:r>
    </w:p>
    <w:p w14:paraId="242E3EC3">
      <w:pPr>
        <w:pStyle w:val="2"/>
        <w:rPr>
          <w:rFonts w:cs="Times New Roman"/>
        </w:rPr>
      </w:pPr>
      <w:bookmarkStart w:id="23" w:name="_Toc228301087"/>
      <w: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727700" cy="2169795"/>
            <wp:effectExtent l="0" t="0" r="0" b="0"/>
            <wp:wrapTopAndBottom/>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5727700" cy="2169795"/>
                    </a:xfrm>
                    <a:prstGeom prst="rect">
                      <a:avLst/>
                    </a:prstGeom>
                    <a:noFill/>
                    <a:ln>
                      <a:noFill/>
                    </a:ln>
                  </pic:spPr>
                </pic:pic>
              </a:graphicData>
            </a:graphic>
          </wp:anchor>
        </w:drawing>
      </w:r>
      <w:r>
        <w:rPr>
          <w:rFonts w:cs="Times New Roman"/>
          <w:b/>
          <w:bCs/>
        </w:rPr>
        <w:t xml:space="preserve">Fig. S3 </w:t>
      </w:r>
      <w:bookmarkStart w:id="42" w:name="_GoBack"/>
      <w:bookmarkEnd w:id="42"/>
      <w:r>
        <w:rPr>
          <w:rFonts w:cs="Times New Roman"/>
        </w:rPr>
        <w:t>Standard curves of FL at the concentrations range of 0.048</w:t>
      </w:r>
      <w:r>
        <w:rPr>
          <w:rFonts w:hint="default" w:ascii="Times New Roman" w:hAnsi="Times New Roman" w:cs="Times New Roman"/>
          <w:sz w:val="24"/>
          <w:szCs w:val="24"/>
          <w:vertAlign w:val="baseline"/>
          <w:lang w:val="en-US" w:eastAsia="zh-CN"/>
        </w:rPr>
        <w:t>–</w:t>
      </w:r>
      <w:r>
        <w:rPr>
          <w:rFonts w:cs="Times New Roman"/>
        </w:rPr>
        <w:t>96 mg·L</w:t>
      </w:r>
      <w:r>
        <w:rPr>
          <w:rFonts w:hint="default" w:ascii="Times New Roman" w:hAnsi="Times New Roman" w:cs="Times New Roman"/>
          <w:sz w:val="24"/>
          <w:szCs w:val="24"/>
          <w:vertAlign w:val="superscript"/>
          <w:lang w:val="en-US" w:eastAsia="zh-CN"/>
        </w:rPr>
        <w:t>−</w:t>
      </w:r>
      <w:r>
        <w:rPr>
          <w:rFonts w:cs="Times New Roman"/>
          <w:vertAlign w:val="superscript"/>
        </w:rPr>
        <w:t>1</w:t>
      </w:r>
      <w:r>
        <w:rPr>
          <w:rFonts w:cs="Times New Roman"/>
        </w:rPr>
        <w:t xml:space="preserve"> determined by HPLC.</w:t>
      </w:r>
      <w:bookmarkEnd w:id="23"/>
      <w:r>
        <w:rPr>
          <w:rFonts w:cs="Times New Roman"/>
        </w:rPr>
        <w:t xml:space="preserve"> </w:t>
      </w:r>
      <w:r>
        <w:rPr>
          <w:rFonts w:cs="Times New Roman"/>
        </w:rPr>
        <w:br w:type="page"/>
      </w:r>
    </w:p>
    <w:p w14:paraId="1D2A8161">
      <w:pPr>
        <w:pStyle w:val="2"/>
        <w:rPr>
          <w:rFonts w:cs="Times New Roman"/>
        </w:rPr>
      </w:pPr>
      <w:bookmarkStart w:id="24" w:name="_Toc228301088"/>
      <w:r>
        <w:rPr>
          <w:b/>
          <w:bCs/>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343525" cy="5476875"/>
            <wp:effectExtent l="0" t="0" r="9525" b="9525"/>
            <wp:wrapTopAndBottom/>
            <wp:docPr id="18738918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91898"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343525" cy="5476875"/>
                    </a:xfrm>
                    <a:prstGeom prst="rect">
                      <a:avLst/>
                    </a:prstGeom>
                    <a:noFill/>
                    <a:ln>
                      <a:noFill/>
                    </a:ln>
                  </pic:spPr>
                </pic:pic>
              </a:graphicData>
            </a:graphic>
          </wp:anchor>
        </w:drawing>
      </w:r>
      <w:r>
        <w:rPr>
          <w:b/>
          <w:bCs/>
        </w:rPr>
        <w:t>Fig. S4</w:t>
      </w:r>
      <w:r>
        <w:t xml:space="preserve"> Site description of the soil.</w:t>
      </w:r>
      <w:bookmarkEnd w:id="24"/>
    </w:p>
    <w:p w14:paraId="02B2251B">
      <w:pPr>
        <w:pStyle w:val="2"/>
        <w:rPr>
          <w:rFonts w:cs="Times New Roman"/>
          <w:sz w:val="21"/>
          <w:szCs w:val="21"/>
        </w:rPr>
      </w:pPr>
      <w:r>
        <w:rPr>
          <w:rFonts w:cs="Times New Roman"/>
          <w:szCs w:val="24"/>
        </w:rPr>
        <w:br w:type="page"/>
      </w:r>
      <w:bookmarkStart w:id="25" w:name="_Toc228301090"/>
      <w: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590540" cy="6356350"/>
            <wp:effectExtent l="0" t="0" r="2540" b="0"/>
            <wp:wrapTopAndBottom/>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21"/>
                    <a:stretch>
                      <a:fillRect/>
                    </a:stretch>
                  </pic:blipFill>
                  <pic:spPr>
                    <a:xfrm>
                      <a:off x="0" y="0"/>
                      <a:ext cx="5590540" cy="6356350"/>
                    </a:xfrm>
                    <a:prstGeom prst="rect">
                      <a:avLst/>
                    </a:prstGeom>
                    <a:noFill/>
                    <a:ln>
                      <a:noFill/>
                    </a:ln>
                  </pic:spPr>
                </pic:pic>
              </a:graphicData>
            </a:graphic>
          </wp:anchor>
        </w:drawing>
      </w:r>
      <w:r>
        <w:rPr>
          <w:rFonts w:cs="Times New Roman"/>
          <w:b/>
          <w:bCs/>
        </w:rPr>
        <w:t>Fig. S</w:t>
      </w:r>
      <w:r>
        <w:rPr>
          <w:rFonts w:hint="eastAsia" w:cs="Times New Roman"/>
          <w:b/>
          <w:bCs/>
        </w:rPr>
        <w:t>5</w:t>
      </w:r>
      <w:r>
        <w:rPr>
          <w:rFonts w:cs="Times New Roman"/>
          <w:b/>
          <w:bCs/>
        </w:rPr>
        <w:t xml:space="preserve"> </w:t>
      </w:r>
      <w:r>
        <w:rPr>
          <w:rFonts w:cs="Times New Roman"/>
        </w:rPr>
        <w:t xml:space="preserve">XPS high-resolution spectra for 1 </w:t>
      </w:r>
      <w:r>
        <w:rPr>
          <w:rFonts w:cs="Times New Roman"/>
          <w:szCs w:val="24"/>
        </w:rPr>
        <w:t>µm</w:t>
      </w:r>
      <w:r>
        <w:rPr>
          <w:rFonts w:cs="Times New Roman"/>
        </w:rPr>
        <w:t xml:space="preserve"> PVC Cl 2p </w:t>
      </w:r>
      <w:r>
        <w:rPr>
          <w:rFonts w:cs="Times New Roman"/>
          <w:b/>
          <w:bCs/>
        </w:rPr>
        <w:t>(a)</w:t>
      </w:r>
      <w:r>
        <w:rPr>
          <w:rFonts w:cs="Times New Roman"/>
        </w:rPr>
        <w:t xml:space="preserve">, 150 </w:t>
      </w:r>
      <w:r>
        <w:rPr>
          <w:rFonts w:cs="Times New Roman"/>
          <w:szCs w:val="24"/>
        </w:rPr>
        <w:t>µm</w:t>
      </w:r>
      <w:r>
        <w:rPr>
          <w:rFonts w:cs="Times New Roman"/>
        </w:rPr>
        <w:t xml:space="preserve"> PVC Cl 2p </w:t>
      </w:r>
      <w:r>
        <w:rPr>
          <w:rFonts w:cs="Times New Roman"/>
          <w:b/>
          <w:bCs/>
        </w:rPr>
        <w:t>(b)</w:t>
      </w:r>
      <w:r>
        <w:rPr>
          <w:rFonts w:cs="Times New Roman"/>
        </w:rPr>
        <w:t xml:space="preserve">, 1 </w:t>
      </w:r>
      <w:r>
        <w:rPr>
          <w:rFonts w:cs="Times New Roman"/>
          <w:szCs w:val="24"/>
        </w:rPr>
        <w:t>µm</w:t>
      </w:r>
      <w:r>
        <w:rPr>
          <w:rFonts w:cs="Times New Roman"/>
        </w:rPr>
        <w:t xml:space="preserve"> PVC C 1s </w:t>
      </w:r>
      <w:r>
        <w:rPr>
          <w:rFonts w:cs="Times New Roman"/>
          <w:b/>
          <w:bCs/>
        </w:rPr>
        <w:t>(c)</w:t>
      </w:r>
      <w:r>
        <w:rPr>
          <w:rFonts w:cs="Times New Roman"/>
        </w:rPr>
        <w:t xml:space="preserve">, 150 </w:t>
      </w:r>
      <w:r>
        <w:rPr>
          <w:rFonts w:cs="Times New Roman"/>
          <w:szCs w:val="24"/>
        </w:rPr>
        <w:t>µm</w:t>
      </w:r>
      <w:r>
        <w:rPr>
          <w:rFonts w:cs="Times New Roman"/>
        </w:rPr>
        <w:t xml:space="preserve"> PVC C 1s </w:t>
      </w:r>
      <w:r>
        <w:rPr>
          <w:rFonts w:cs="Times New Roman"/>
          <w:b/>
          <w:bCs/>
        </w:rPr>
        <w:t>(d)</w:t>
      </w:r>
      <w:r>
        <w:rPr>
          <w:rFonts w:cs="Times New Roman"/>
        </w:rPr>
        <w:t xml:space="preserve">, 1 </w:t>
      </w:r>
      <w:r>
        <w:rPr>
          <w:rFonts w:cs="Times New Roman"/>
          <w:szCs w:val="24"/>
        </w:rPr>
        <w:t>µm</w:t>
      </w:r>
      <w:r>
        <w:rPr>
          <w:rFonts w:cs="Times New Roman"/>
        </w:rPr>
        <w:t xml:space="preserve"> PVC O 1s </w:t>
      </w:r>
      <w:r>
        <w:rPr>
          <w:rFonts w:cs="Times New Roman"/>
          <w:b/>
          <w:bCs/>
        </w:rPr>
        <w:t>(e)</w:t>
      </w:r>
      <w:r>
        <w:rPr>
          <w:rFonts w:cs="Times New Roman"/>
        </w:rPr>
        <w:t>, and</w:t>
      </w:r>
      <w:r>
        <w:rPr>
          <w:rFonts w:hint="eastAsia" w:cs="Times New Roman"/>
          <w:lang w:val="en-US" w:eastAsia="zh-CN"/>
        </w:rPr>
        <w:t xml:space="preserve"> </w:t>
      </w:r>
      <w:r>
        <w:rPr>
          <w:rFonts w:cs="Times New Roman"/>
        </w:rPr>
        <w:t xml:space="preserve">150 </w:t>
      </w:r>
      <w:r>
        <w:rPr>
          <w:rFonts w:cs="Times New Roman"/>
          <w:szCs w:val="24"/>
        </w:rPr>
        <w:t>µm</w:t>
      </w:r>
      <w:r>
        <w:rPr>
          <w:rFonts w:cs="Times New Roman"/>
        </w:rPr>
        <w:t xml:space="preserve"> PVC O 1s </w:t>
      </w:r>
      <w:r>
        <w:rPr>
          <w:rFonts w:cs="Times New Roman"/>
          <w:b/>
          <w:bCs/>
        </w:rPr>
        <w:t>(f)</w:t>
      </w:r>
      <w:r>
        <w:rPr>
          <w:rFonts w:cs="Times New Roman"/>
        </w:rPr>
        <w:t>.</w:t>
      </w:r>
      <w:bookmarkEnd w:id="25"/>
    </w:p>
    <w:p w14:paraId="07463F80">
      <w:pPr>
        <w:ind w:firstLine="480"/>
        <w:rPr>
          <w:rFonts w:cs="Times New Roman"/>
          <w:szCs w:val="24"/>
        </w:rPr>
      </w:pPr>
      <w:r>
        <w:rPr>
          <w:rFonts w:cs="Times New Roman"/>
          <w:szCs w:val="24"/>
        </w:rPr>
        <w:br w:type="page"/>
      </w:r>
    </w:p>
    <w:p w14:paraId="2CFEB7F1">
      <w:pPr>
        <w:ind w:firstLine="480"/>
        <w:rPr>
          <w:rFonts w:cs="Times New Roman"/>
          <w:szCs w:val="24"/>
        </w:rPr>
      </w:pPr>
    </w:p>
    <w:p w14:paraId="42E369FD">
      <w:pPr>
        <w:pStyle w:val="2"/>
        <w:rPr>
          <w:rFonts w:cs="Times New Roman"/>
          <w:sz w:val="21"/>
          <w:szCs w:val="21"/>
        </w:rPr>
      </w:pPr>
      <w:bookmarkStart w:id="26" w:name="_Toc228301089"/>
      <w: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731510" cy="4173855"/>
            <wp:effectExtent l="0" t="0" r="0" b="0"/>
            <wp:wrapTopAndBottom/>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22"/>
                    <a:stretch>
                      <a:fillRect/>
                    </a:stretch>
                  </pic:blipFill>
                  <pic:spPr>
                    <a:xfrm>
                      <a:off x="0" y="0"/>
                      <a:ext cx="5731510" cy="4173855"/>
                    </a:xfrm>
                    <a:prstGeom prst="rect">
                      <a:avLst/>
                    </a:prstGeom>
                    <a:noFill/>
                    <a:ln>
                      <a:noFill/>
                    </a:ln>
                  </pic:spPr>
                </pic:pic>
              </a:graphicData>
            </a:graphic>
          </wp:anchor>
        </w:drawing>
      </w:r>
      <w:r>
        <w:rPr>
          <w:rFonts w:cs="Times New Roman"/>
          <w:b/>
          <w:bCs/>
        </w:rPr>
        <w:t>Fig. S</w:t>
      </w:r>
      <w:r>
        <w:rPr>
          <w:rFonts w:hint="eastAsia" w:cs="Times New Roman"/>
          <w:b/>
          <w:bCs/>
        </w:rPr>
        <w:t>6</w:t>
      </w:r>
      <w:r>
        <w:rPr>
          <w:rFonts w:cs="Times New Roman"/>
          <w:b/>
          <w:bCs/>
        </w:rPr>
        <w:t xml:space="preserve"> </w:t>
      </w:r>
      <w:r>
        <w:rPr>
          <w:rFonts w:cs="Times New Roman"/>
        </w:rPr>
        <w:t xml:space="preserve">BET surface area analysis results: N₂ adsorption–desorption isotherm plots of pristine 1 and 150 </w:t>
      </w:r>
      <w:r>
        <w:rPr>
          <w:rFonts w:cs="Times New Roman"/>
          <w:szCs w:val="24"/>
        </w:rPr>
        <w:t>µm</w:t>
      </w:r>
      <w:r>
        <w:rPr>
          <w:rFonts w:cs="Times New Roman"/>
        </w:rPr>
        <w:t xml:space="preserve">, aged 1 and 150 </w:t>
      </w:r>
      <w:r>
        <w:rPr>
          <w:rFonts w:cs="Times New Roman"/>
          <w:szCs w:val="24"/>
        </w:rPr>
        <w:t>µm</w:t>
      </w:r>
      <w:r>
        <w:rPr>
          <w:rFonts w:cs="Times New Roman"/>
        </w:rPr>
        <w:t xml:space="preserve"> PVC, and the pore size distribution results calculated from the BJH desorption pore volume data for pristine 1 and 150 </w:t>
      </w:r>
      <w:r>
        <w:rPr>
          <w:rFonts w:cs="Times New Roman"/>
          <w:szCs w:val="24"/>
        </w:rPr>
        <w:t>µm</w:t>
      </w:r>
      <w:r>
        <w:rPr>
          <w:rFonts w:cs="Times New Roman"/>
        </w:rPr>
        <w:t xml:space="preserve">, aged 1 and 150 </w:t>
      </w:r>
      <w:r>
        <w:rPr>
          <w:rFonts w:cs="Times New Roman"/>
          <w:szCs w:val="24"/>
        </w:rPr>
        <w:t>µm</w:t>
      </w:r>
      <w:r>
        <w:rPr>
          <w:rFonts w:cs="Times New Roman"/>
        </w:rPr>
        <w:t xml:space="preserve"> PVC.</w:t>
      </w:r>
      <w:bookmarkEnd w:id="26"/>
      <w:r>
        <w:rPr>
          <w:rFonts w:cs="Times New Roman"/>
        </w:rPr>
        <w:t xml:space="preserve"> </w:t>
      </w:r>
    </w:p>
    <w:p w14:paraId="2965EA83">
      <w:pPr>
        <w:ind w:firstLine="0" w:firstLineChars="0"/>
        <w:rPr>
          <w:rFonts w:cs="Times New Roman"/>
        </w:rPr>
      </w:pPr>
      <w:r>
        <w:rPr>
          <w:rFonts w:cs="Times New Roman"/>
        </w:rPr>
        <w:br w:type="page"/>
      </w:r>
      <w:bookmarkStart w:id="27" w:name="_Toc228301091"/>
      <w: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612765" cy="6334125"/>
            <wp:effectExtent l="0" t="0" r="0" b="0"/>
            <wp:wrapTopAndBottom/>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3"/>
                    <a:stretch>
                      <a:fillRect/>
                    </a:stretch>
                  </pic:blipFill>
                  <pic:spPr>
                    <a:xfrm>
                      <a:off x="0" y="0"/>
                      <a:ext cx="5612765" cy="6334125"/>
                    </a:xfrm>
                    <a:prstGeom prst="rect">
                      <a:avLst/>
                    </a:prstGeom>
                    <a:noFill/>
                    <a:ln>
                      <a:noFill/>
                    </a:ln>
                  </pic:spPr>
                </pic:pic>
              </a:graphicData>
            </a:graphic>
          </wp:anchor>
        </w:drawing>
      </w:r>
      <w:r>
        <w:rPr>
          <w:rFonts w:cs="Times New Roman"/>
          <w:b/>
          <w:bCs/>
        </w:rPr>
        <w:t xml:space="preserve">Fig. S7 </w:t>
      </w:r>
      <w:r>
        <w:rPr>
          <w:rFonts w:cs="Times New Roman"/>
        </w:rPr>
        <w:t xml:space="preserve">Langmuir models for FL on PVC MPs - 1 </w:t>
      </w:r>
      <w:r>
        <w:rPr>
          <w:rFonts w:cs="Times New Roman"/>
          <w:lang w:val="el-GR"/>
        </w:rPr>
        <w:t>µm</w:t>
      </w:r>
      <w:r>
        <w:rPr>
          <w:rFonts w:cs="Times New Roman"/>
        </w:rPr>
        <w:t xml:space="preserve"> </w:t>
      </w:r>
      <w:r>
        <w:rPr>
          <w:rFonts w:cs="Times New Roman"/>
          <w:b/>
          <w:bCs/>
        </w:rPr>
        <w:t>(a)</w:t>
      </w:r>
      <w:r>
        <w:rPr>
          <w:rFonts w:cs="Times New Roman"/>
        </w:rPr>
        <w:t xml:space="preserve"> and 150 </w:t>
      </w:r>
      <w:r>
        <w:rPr>
          <w:rFonts w:cs="Times New Roman"/>
          <w:lang w:val="el-GR"/>
        </w:rPr>
        <w:t>µm</w:t>
      </w:r>
      <w:r>
        <w:rPr>
          <w:rFonts w:cs="Times New Roman"/>
        </w:rPr>
        <w:t xml:space="preserve"> </w:t>
      </w:r>
      <w:r>
        <w:rPr>
          <w:rFonts w:cs="Times New Roman"/>
          <w:b/>
          <w:bCs/>
        </w:rPr>
        <w:t>(b</w:t>
      </w:r>
      <w:r>
        <w:rPr>
          <w:rFonts w:cs="Times New Roman"/>
        </w:rPr>
        <w:t xml:space="preserve">), Dubinin-Radushkevich model plots of FL on PVC MPs - 1 </w:t>
      </w:r>
      <w:r>
        <w:rPr>
          <w:rFonts w:cs="Times New Roman"/>
          <w:lang w:val="el-GR"/>
        </w:rPr>
        <w:t>µm</w:t>
      </w:r>
      <w:r>
        <w:rPr>
          <w:rFonts w:cs="Times New Roman"/>
        </w:rPr>
        <w:t xml:space="preserve"> and 150 </w:t>
      </w:r>
      <w:r>
        <w:rPr>
          <w:rFonts w:cs="Times New Roman"/>
          <w:lang w:val="el-GR"/>
        </w:rPr>
        <w:t>µm</w:t>
      </w:r>
      <w:r>
        <w:rPr>
          <w:rFonts w:cs="Times New Roman"/>
        </w:rPr>
        <w:t xml:space="preserve"> </w:t>
      </w:r>
      <w:r>
        <w:rPr>
          <w:rFonts w:cs="Times New Roman"/>
          <w:b/>
          <w:bCs/>
        </w:rPr>
        <w:t>(c)</w:t>
      </w:r>
      <w:r>
        <w:rPr>
          <w:rFonts w:cs="Times New Roman"/>
        </w:rPr>
        <w:t>.</w:t>
      </w:r>
      <w:bookmarkEnd w:id="27"/>
    </w:p>
    <w:p w14:paraId="45E26C6C">
      <w:pPr>
        <w:ind w:firstLine="480"/>
        <w:rPr>
          <w:rFonts w:cs="Times New Roman"/>
          <w:szCs w:val="24"/>
        </w:rPr>
      </w:pPr>
      <w:r>
        <w:rPr>
          <w:rFonts w:cs="Times New Roman"/>
          <w:szCs w:val="24"/>
        </w:rPr>
        <w:br w:type="page"/>
      </w:r>
    </w:p>
    <w:p w14:paraId="1A6633FE">
      <w:pPr>
        <w:pStyle w:val="2"/>
        <w:rPr>
          <w:rFonts w:cs="Times New Roman"/>
        </w:rPr>
      </w:pPr>
      <w:bookmarkStart w:id="28" w:name="_Toc228301092"/>
      <w: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730240" cy="3974465"/>
            <wp:effectExtent l="0" t="0" r="0" b="0"/>
            <wp:wrapTopAndBottom/>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24"/>
                    <a:stretch>
                      <a:fillRect/>
                    </a:stretch>
                  </pic:blipFill>
                  <pic:spPr>
                    <a:xfrm>
                      <a:off x="0" y="0"/>
                      <a:ext cx="5730240" cy="3974465"/>
                    </a:xfrm>
                    <a:prstGeom prst="rect">
                      <a:avLst/>
                    </a:prstGeom>
                    <a:noFill/>
                    <a:ln>
                      <a:noFill/>
                    </a:ln>
                  </pic:spPr>
                </pic:pic>
              </a:graphicData>
            </a:graphic>
          </wp:anchor>
        </w:drawing>
      </w:r>
      <w:r>
        <w:rPr>
          <w:rFonts w:cs="Times New Roman"/>
          <w:b/>
          <w:bCs/>
          <w:szCs w:val="24"/>
        </w:rPr>
        <w:t xml:space="preserve">Fig. S8 </w:t>
      </w:r>
      <w:r>
        <w:rPr>
          <w:rFonts w:cs="Times New Roman"/>
        </w:rPr>
        <w:t xml:space="preserve">Sorption inhibition </w:t>
      </w:r>
      <w:r>
        <w:rPr>
          <w:rFonts w:eastAsia="等线" w:cs="Times New Roman"/>
          <w:b/>
          <w:bCs/>
          <w:szCs w:val="22"/>
        </w:rPr>
        <w:t>(a, b, c and d)</w:t>
      </w:r>
      <w:r>
        <w:rPr>
          <w:rFonts w:cs="Times New Roman"/>
        </w:rPr>
        <w:t xml:space="preserve"> of cosorption FL and SP on pristine/aged 1 and 150 </w:t>
      </w:r>
      <w:r>
        <w:rPr>
          <w:rFonts w:cs="Times New Roman"/>
          <w:szCs w:val="24"/>
        </w:rPr>
        <w:t>µm</w:t>
      </w:r>
      <w:r>
        <w:rPr>
          <w:rFonts w:cs="Times New Roman"/>
        </w:rPr>
        <w:t>. Q</w:t>
      </w:r>
      <w:r>
        <w:rPr>
          <w:rFonts w:cs="Times New Roman"/>
          <w:vertAlign w:val="subscript"/>
        </w:rPr>
        <w:t>SP</w:t>
      </w:r>
      <w:r>
        <w:rPr>
          <w:rFonts w:cs="Times New Roman"/>
        </w:rPr>
        <w:t xml:space="preserve"> are sorption capacity of SP. ΔQ</w:t>
      </w:r>
      <w:r>
        <w:rPr>
          <w:rFonts w:cs="Times New Roman"/>
          <w:vertAlign w:val="subscript"/>
        </w:rPr>
        <w:t>FL</w:t>
      </w:r>
      <w:r>
        <w:rPr>
          <w:rFonts w:cs="Times New Roman"/>
        </w:rPr>
        <w:t xml:space="preserve"> are sorption capacity difference of FL before and after adding SP (Δ</w:t>
      </w:r>
      <w:r>
        <w:rPr>
          <w:rFonts w:cs="Times New Roman"/>
          <w:i/>
          <w:iCs/>
        </w:rPr>
        <w:t>Q</w:t>
      </w:r>
      <w:r>
        <w:rPr>
          <w:rFonts w:cs="Times New Roman"/>
          <w:i/>
          <w:iCs/>
          <w:vertAlign w:val="subscript"/>
        </w:rPr>
        <w:t>e</w:t>
      </w:r>
      <w:r>
        <w:rPr>
          <w:rFonts w:cs="Times New Roman"/>
        </w:rPr>
        <w:t xml:space="preserve"> = </w:t>
      </w:r>
      <w:r>
        <w:rPr>
          <w:rFonts w:cs="Times New Roman"/>
          <w:i/>
          <w:iCs/>
        </w:rPr>
        <w:t>Q</w:t>
      </w:r>
      <w:r>
        <w:rPr>
          <w:rFonts w:cs="Times New Roman"/>
          <w:i/>
          <w:iCs/>
          <w:vertAlign w:val="subscript"/>
        </w:rPr>
        <w:t>e</w:t>
      </w:r>
      <w:r>
        <w:rPr>
          <w:rFonts w:cs="Times New Roman"/>
        </w:rPr>
        <w:t xml:space="preserve"> </w:t>
      </w:r>
      <w:r>
        <w:rPr>
          <w:rFonts w:cs="Times New Roman"/>
          <w:vertAlign w:val="superscript"/>
        </w:rPr>
        <w:t>before</w:t>
      </w:r>
      <w:r>
        <w:rPr>
          <w:rFonts w:cs="Times New Roman"/>
        </w:rPr>
        <w:t xml:space="preserve"> − </w:t>
      </w:r>
      <w:r>
        <w:rPr>
          <w:rFonts w:cs="Times New Roman"/>
          <w:i/>
          <w:iCs/>
        </w:rPr>
        <w:t>Q</w:t>
      </w:r>
      <w:r>
        <w:rPr>
          <w:rFonts w:cs="Times New Roman"/>
          <w:i/>
          <w:iCs/>
          <w:vertAlign w:val="subscript"/>
        </w:rPr>
        <w:t>e</w:t>
      </w:r>
      <w:r>
        <w:rPr>
          <w:rFonts w:cs="Times New Roman"/>
          <w:vertAlign w:val="superscript"/>
        </w:rPr>
        <w:t>after</w:t>
      </w:r>
      <w:r>
        <w:rPr>
          <w:rFonts w:cs="Times New Roman"/>
        </w:rPr>
        <w:t xml:space="preserve"> ).</w:t>
      </w:r>
      <w:bookmarkEnd w:id="28"/>
      <w:r>
        <w:rPr>
          <w:rFonts w:cs="Times New Roman"/>
        </w:rPr>
        <w:t xml:space="preserve"> </w:t>
      </w:r>
    </w:p>
    <w:p w14:paraId="5DE5590F">
      <w:pPr>
        <w:ind w:firstLine="480"/>
        <w:rPr>
          <w:rFonts w:cs="Times New Roman"/>
        </w:rPr>
      </w:pPr>
      <w:r>
        <w:rPr>
          <w:rFonts w:cs="Times New Roman"/>
          <w:szCs w:val="24"/>
        </w:rPr>
        <w:br w:type="page"/>
      </w:r>
    </w:p>
    <w:p w14:paraId="429680B9">
      <w:pPr>
        <w:pStyle w:val="2"/>
        <w:rPr>
          <w:rFonts w:cs="Times New Roman"/>
        </w:rPr>
      </w:pPr>
      <w:bookmarkStart w:id="29" w:name="_Toc228301093"/>
      <w:r>
        <w:drawing>
          <wp:anchor distT="0" distB="0" distL="114300" distR="114300" simplePos="0" relativeHeight="251665408" behindDoc="0" locked="0" layoutInCell="1" allowOverlap="1">
            <wp:simplePos x="0" y="0"/>
            <wp:positionH relativeFrom="column">
              <wp:posOffset>609600</wp:posOffset>
            </wp:positionH>
            <wp:positionV relativeFrom="paragraph">
              <wp:posOffset>0</wp:posOffset>
            </wp:positionV>
            <wp:extent cx="4912995" cy="7515860"/>
            <wp:effectExtent l="0" t="0" r="9525" b="0"/>
            <wp:wrapTopAndBottom/>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25"/>
                    <a:stretch>
                      <a:fillRect/>
                    </a:stretch>
                  </pic:blipFill>
                  <pic:spPr>
                    <a:xfrm>
                      <a:off x="0" y="0"/>
                      <a:ext cx="4912995" cy="7515860"/>
                    </a:xfrm>
                    <a:prstGeom prst="rect">
                      <a:avLst/>
                    </a:prstGeom>
                    <a:noFill/>
                    <a:ln>
                      <a:noFill/>
                    </a:ln>
                  </pic:spPr>
                </pic:pic>
              </a:graphicData>
            </a:graphic>
          </wp:anchor>
        </w:drawing>
      </w:r>
      <w:r>
        <w:rPr>
          <w:rFonts w:cs="Times New Roman"/>
          <w:b/>
          <w:bCs/>
        </w:rPr>
        <w:t xml:space="preserve">Fig. S9 </w:t>
      </w:r>
      <w:r>
        <w:rPr>
          <w:rFonts w:cs="Times New Roman"/>
        </w:rPr>
        <w:t xml:space="preserve">Under different MPs sizes, sorption comparison of FL onto soil with 1% and 3% pristine PVC MPs </w:t>
      </w:r>
      <w:r>
        <w:rPr>
          <w:rFonts w:eastAsia="等线" w:cs="Times New Roman"/>
          <w:b/>
          <w:bCs/>
          <w:szCs w:val="22"/>
        </w:rPr>
        <w:t>(a and c)</w:t>
      </w:r>
      <w:r>
        <w:rPr>
          <w:rFonts w:cs="Times New Roman"/>
        </w:rPr>
        <w:t xml:space="preserve">, and 1% and 3% aged PVC MPs </w:t>
      </w:r>
      <w:r>
        <w:rPr>
          <w:rFonts w:eastAsia="等线" w:cs="Times New Roman"/>
          <w:b/>
          <w:bCs/>
          <w:szCs w:val="22"/>
        </w:rPr>
        <w:t>(b and d)</w:t>
      </w:r>
      <w:r>
        <w:rPr>
          <w:rFonts w:cs="Times New Roman"/>
        </w:rPr>
        <w:t>. Before and after aging, sorption comparison of FL onto soil with 1% and 3% 1 µm PVC MPs</w:t>
      </w:r>
      <w:r>
        <w:rPr>
          <w:rFonts w:eastAsia="等线" w:cs="Times New Roman"/>
          <w:b/>
          <w:bCs/>
          <w:szCs w:val="22"/>
        </w:rPr>
        <w:t xml:space="preserve"> (e and g)</w:t>
      </w:r>
      <w:r>
        <w:rPr>
          <w:rFonts w:cs="Times New Roman"/>
        </w:rPr>
        <w:t xml:space="preserve">, and 1% and 3% 150 µm PVC MPs </w:t>
      </w:r>
      <w:r>
        <w:rPr>
          <w:rFonts w:eastAsia="等线" w:cs="Times New Roman"/>
          <w:b/>
          <w:bCs/>
          <w:szCs w:val="22"/>
        </w:rPr>
        <w:t>(f and h)</w:t>
      </w:r>
      <w:r>
        <w:rPr>
          <w:rFonts w:cs="Times New Roman"/>
        </w:rPr>
        <w:t>.</w:t>
      </w:r>
      <w:bookmarkEnd w:id="29"/>
      <w:r>
        <w:rPr>
          <w:rFonts w:cs="Times New Roman"/>
        </w:rPr>
        <w:t xml:space="preserve"> </w:t>
      </w:r>
      <w:r>
        <w:rPr>
          <w:rFonts w:cs="Times New Roman"/>
        </w:rPr>
        <w:br w:type="page"/>
      </w:r>
    </w:p>
    <w:p w14:paraId="22D4FEBE">
      <w:pPr>
        <w:pStyle w:val="2"/>
        <w:rPr>
          <w:rFonts w:cs="Times New Roman"/>
        </w:rPr>
      </w:pPr>
      <w:bookmarkStart w:id="30" w:name="_Toc228301094"/>
      <w: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729605" cy="6050915"/>
            <wp:effectExtent l="0" t="0" r="635" b="0"/>
            <wp:wrapTopAndBottom/>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26"/>
                    <a:stretch>
                      <a:fillRect/>
                    </a:stretch>
                  </pic:blipFill>
                  <pic:spPr>
                    <a:xfrm>
                      <a:off x="0" y="0"/>
                      <a:ext cx="5729605" cy="6050915"/>
                    </a:xfrm>
                    <a:prstGeom prst="rect">
                      <a:avLst/>
                    </a:prstGeom>
                    <a:noFill/>
                    <a:ln>
                      <a:noFill/>
                    </a:ln>
                  </pic:spPr>
                </pic:pic>
              </a:graphicData>
            </a:graphic>
          </wp:anchor>
        </w:drawing>
      </w:r>
      <w:r>
        <w:rPr>
          <w:rFonts w:cs="Times New Roman"/>
          <w:b/>
          <w:bCs/>
          <w:szCs w:val="24"/>
        </w:rPr>
        <w:t xml:space="preserve">Fig. S10 </w:t>
      </w:r>
      <w:r>
        <w:rPr>
          <w:rFonts w:cs="Times New Roman"/>
          <w:bCs/>
          <w:szCs w:val="24"/>
        </w:rPr>
        <w:t>I</w:t>
      </w:r>
      <w:r>
        <w:rPr>
          <w:rFonts w:cs="Times New Roman"/>
        </w:rPr>
        <w:t xml:space="preserve">n soil and 1% aged 1 and 150 </w:t>
      </w:r>
      <w:r>
        <w:rPr>
          <w:rFonts w:cs="Times New Roman"/>
          <w:szCs w:val="24"/>
        </w:rPr>
        <w:t>µm</w:t>
      </w:r>
      <w:r>
        <w:rPr>
          <w:rFonts w:cs="Times New Roman"/>
        </w:rPr>
        <w:t xml:space="preserve"> PVC, FL Sorption without SP and with 0.6 and 4.8 mg·L</w:t>
      </w:r>
      <w:r>
        <w:rPr>
          <w:rFonts w:cs="Times New Roman"/>
          <w:vertAlign w:val="superscript"/>
        </w:rPr>
        <w:t>-1</w:t>
      </w:r>
      <w:r>
        <w:rPr>
          <w:rFonts w:cs="Times New Roman"/>
        </w:rPr>
        <w:t xml:space="preserve"> SP (a and b), FL Sorption without SP and with 0.6 and 4.8 mg·L</w:t>
      </w:r>
      <w:r>
        <w:rPr>
          <w:rFonts w:cs="Times New Roman"/>
          <w:vertAlign w:val="superscript"/>
        </w:rPr>
        <w:t>-1</w:t>
      </w:r>
      <w:r>
        <w:rPr>
          <w:rFonts w:cs="Times New Roman"/>
        </w:rPr>
        <w:t xml:space="preserve"> SP in soil inhibition (c and d) and inhibition degree (</w:t>
      </w:r>
      <w:r>
        <w:rPr>
          <w:rFonts w:cs="Times New Roman"/>
          <w:i/>
          <w:iCs/>
        </w:rPr>
        <w:t xml:space="preserve">P </w:t>
      </w:r>
      <w:r>
        <w:rPr>
          <w:rFonts w:cs="Times New Roman"/>
        </w:rPr>
        <w:t>test, e and f), Δ</w:t>
      </w:r>
      <w:r>
        <w:rPr>
          <w:rFonts w:cs="Times New Roman"/>
          <w:i/>
          <w:iCs/>
        </w:rPr>
        <w:t>Q</w:t>
      </w:r>
      <w:r>
        <w:rPr>
          <w:rFonts w:cs="Times New Roman"/>
          <w:i/>
          <w:iCs/>
          <w:vertAlign w:val="subscript"/>
        </w:rPr>
        <w:t>e</w:t>
      </w:r>
      <w:r>
        <w:rPr>
          <w:rFonts w:cs="Times New Roman"/>
        </w:rPr>
        <w:t xml:space="preserve"> are sorption capacity difference of FL before and after adding PVC (Δ</w:t>
      </w:r>
      <w:r>
        <w:rPr>
          <w:rFonts w:cs="Times New Roman"/>
          <w:i/>
          <w:iCs/>
        </w:rPr>
        <w:t>Q</w:t>
      </w:r>
      <w:r>
        <w:rPr>
          <w:rFonts w:cs="Times New Roman"/>
          <w:i/>
          <w:iCs/>
          <w:vertAlign w:val="subscript"/>
        </w:rPr>
        <w:t>e</w:t>
      </w:r>
      <w:r>
        <w:rPr>
          <w:rFonts w:cs="Times New Roman"/>
        </w:rPr>
        <w:t xml:space="preserve"> = </w:t>
      </w:r>
      <w:r>
        <w:rPr>
          <w:rFonts w:cs="Times New Roman"/>
          <w:i/>
          <w:iCs/>
        </w:rPr>
        <w:t>Q</w:t>
      </w:r>
      <w:r>
        <w:rPr>
          <w:rFonts w:cs="Times New Roman"/>
          <w:i/>
          <w:iCs/>
          <w:vertAlign w:val="subscript"/>
        </w:rPr>
        <w:t>e</w:t>
      </w:r>
      <w:r>
        <w:rPr>
          <w:rFonts w:cs="Times New Roman"/>
        </w:rPr>
        <w:t xml:space="preserve"> </w:t>
      </w:r>
      <w:r>
        <w:rPr>
          <w:rFonts w:cs="Times New Roman"/>
          <w:vertAlign w:val="superscript"/>
        </w:rPr>
        <w:t>before</w:t>
      </w:r>
      <w:r>
        <w:rPr>
          <w:rFonts w:cs="Times New Roman"/>
        </w:rPr>
        <w:t xml:space="preserve"> − </w:t>
      </w:r>
      <w:r>
        <w:rPr>
          <w:rFonts w:cs="Times New Roman"/>
          <w:i/>
          <w:iCs/>
        </w:rPr>
        <w:t>Q</w:t>
      </w:r>
      <w:r>
        <w:rPr>
          <w:rFonts w:cs="Times New Roman"/>
          <w:i/>
          <w:iCs/>
          <w:vertAlign w:val="subscript"/>
        </w:rPr>
        <w:t>e</w:t>
      </w:r>
      <w:r>
        <w:rPr>
          <w:rFonts w:cs="Times New Roman"/>
          <w:vertAlign w:val="superscript"/>
        </w:rPr>
        <w:t>after</w:t>
      </w:r>
      <w:r>
        <w:rPr>
          <w:rFonts w:cs="Times New Roman"/>
        </w:rPr>
        <w:t>).</w:t>
      </w:r>
      <w:r>
        <w:rPr>
          <w:rFonts w:cs="Times New Roman"/>
          <w:i/>
          <w:iCs/>
        </w:rPr>
        <w:t xml:space="preserve"> P </w:t>
      </w:r>
      <w:r>
        <w:rPr>
          <w:rFonts w:cs="Times New Roman"/>
        </w:rPr>
        <w:t xml:space="preserve">&lt; 0.05 indicates significant level, and </w:t>
      </w:r>
      <w:r>
        <w:rPr>
          <w:rFonts w:cs="Times New Roman"/>
          <w:i/>
          <w:iCs/>
        </w:rPr>
        <w:t xml:space="preserve">P </w:t>
      </w:r>
      <w:r>
        <w:rPr>
          <w:rFonts w:cs="Times New Roman"/>
        </w:rPr>
        <w:t>&lt; 0.01 indicates extremely significant level.</w:t>
      </w:r>
      <w:bookmarkEnd w:id="30"/>
      <w:r>
        <w:rPr>
          <w:rFonts w:cs="Times New Roman"/>
        </w:rPr>
        <w:t xml:space="preserve"> </w:t>
      </w:r>
    </w:p>
    <w:p w14:paraId="603D8814">
      <w:pPr>
        <w:ind w:firstLine="480"/>
        <w:rPr>
          <w:rFonts w:cs="Times New Roman"/>
          <w:szCs w:val="24"/>
        </w:rPr>
      </w:pPr>
      <w:r>
        <w:rPr>
          <w:rFonts w:cs="Times New Roman"/>
          <w:szCs w:val="24"/>
        </w:rPr>
        <w:t>.</w:t>
      </w:r>
    </w:p>
    <w:p w14:paraId="339A44ED">
      <w:pPr>
        <w:widowControl/>
        <w:spacing w:line="240" w:lineRule="auto"/>
        <w:ind w:firstLine="0" w:firstLineChars="0"/>
        <w:jc w:val="left"/>
        <w:rPr>
          <w:rFonts w:cs="Times New Roman"/>
          <w:szCs w:val="24"/>
        </w:rPr>
      </w:pPr>
      <w:r>
        <w:rPr>
          <w:rFonts w:cs="Times New Roman"/>
          <w:szCs w:val="24"/>
        </w:rPr>
        <w:br w:type="page"/>
      </w:r>
    </w:p>
    <w:p w14:paraId="405313E3">
      <w:pPr>
        <w:pStyle w:val="2"/>
        <w:rPr>
          <w:rFonts w:cs="Times New Roman"/>
          <w:b/>
        </w:rPr>
      </w:pPr>
      <w:bookmarkStart w:id="31" w:name="_Toc228301095"/>
      <w:r>
        <w:rPr>
          <w:rFonts w:cs="Times New Roman"/>
          <w:b/>
        </w:rPr>
        <w:t>Reference</w:t>
      </w:r>
      <w:r>
        <w:rPr>
          <w:rFonts w:hint="eastAsia" w:cs="Times New Roman"/>
          <w:b/>
          <w:lang w:val="en-US" w:eastAsia="zh-CN"/>
        </w:rPr>
        <w:t>s</w:t>
      </w:r>
      <w:r>
        <w:rPr>
          <w:rFonts w:cs="Times New Roman"/>
          <w:b/>
        </w:rPr>
        <w:t>:</w:t>
      </w:r>
      <w:bookmarkEnd w:id="31"/>
    </w:p>
    <w:sdt>
      <w:sdtPr>
        <w:tag w:val="EndNote.ReferenceList"/>
        <w:id w:val="558206782"/>
        <w:placeholder>
          <w:docPart w:val="DefaultPlaceholder_-1854013440"/>
        </w:placeholder>
      </w:sdtPr>
      <w:sdtContent>
        <w:p w14:paraId="493EC32B">
          <w:pPr>
            <w:pStyle w:val="63"/>
            <w:ind w:left="480" w:hanging="480" w:hangingChars="200"/>
          </w:pPr>
          <w:bookmarkStart w:id="32" w:name="_ENREF_1"/>
          <w:r>
            <w:t>[1]</w:t>
          </w:r>
          <w:r>
            <w:tab/>
          </w:r>
          <w:r>
            <w:t xml:space="preserve">Gewert B, Plassmann MM, MacLeod M. 2015. Pathways for degradation of plastic polymers floating in the marine environment. </w:t>
          </w:r>
          <w:r>
            <w:rPr>
              <w:i/>
            </w:rPr>
            <w:t>Environmental science: processes &amp; impacts</w:t>
          </w:r>
          <w:r>
            <w:t xml:space="preserve"> 17:</w:t>
          </w:r>
          <w:r>
            <w:rPr>
              <w:rFonts w:hint="eastAsia"/>
            </w:rPr>
            <w:t xml:space="preserve"> </w:t>
          </w:r>
          <w:r>
            <w:t xml:space="preserve">1513-21. </w:t>
          </w:r>
          <w:r>
            <w:fldChar w:fldCharType="begin"/>
          </w:r>
          <w:r>
            <w:instrText xml:space="preserve"> HYPERLINK "http://doi.org/10.1039/c5em00207a" </w:instrText>
          </w:r>
          <w:r>
            <w:fldChar w:fldCharType="separate"/>
          </w:r>
          <w:r>
            <w:rPr>
              <w:rStyle w:val="25"/>
            </w:rPr>
            <w:t>http://doi.org/10.1039/c5em00207a</w:t>
          </w:r>
          <w:bookmarkEnd w:id="32"/>
          <w:r>
            <w:rPr>
              <w:rStyle w:val="25"/>
            </w:rPr>
            <w:fldChar w:fldCharType="end"/>
          </w:r>
        </w:p>
        <w:p w14:paraId="668A681C">
          <w:pPr>
            <w:pStyle w:val="63"/>
            <w:ind w:left="480" w:hanging="480" w:hangingChars="200"/>
          </w:pPr>
          <w:bookmarkStart w:id="33" w:name="_ENREF_2"/>
          <w:r>
            <w:t>[2]</w:t>
          </w:r>
          <w:r>
            <w:tab/>
          </w:r>
          <w:r>
            <w:t xml:space="preserve">Andrady AL. 2017. The plastic in microplastics: A review. </w:t>
          </w:r>
          <w:r>
            <w:rPr>
              <w:i/>
            </w:rPr>
            <w:t>Marine Pollution Bulletin</w:t>
          </w:r>
          <w:r>
            <w:t xml:space="preserve"> 119:</w:t>
          </w:r>
          <w:r>
            <w:rPr>
              <w:rFonts w:hint="eastAsia"/>
            </w:rPr>
            <w:t xml:space="preserve"> </w:t>
          </w:r>
          <w:r>
            <w:t xml:space="preserve">12-22. </w:t>
          </w:r>
          <w:r>
            <w:fldChar w:fldCharType="begin"/>
          </w:r>
          <w:r>
            <w:instrText xml:space="preserve"> HYPERLINK "http://doi.org/10.1016/j.marpolbul.2017.01.082" </w:instrText>
          </w:r>
          <w:r>
            <w:fldChar w:fldCharType="separate"/>
          </w:r>
          <w:r>
            <w:rPr>
              <w:rStyle w:val="25"/>
            </w:rPr>
            <w:t>http://doi.org/10.1016/j.marpolbul.2017.01.082</w:t>
          </w:r>
          <w:bookmarkEnd w:id="33"/>
          <w:r>
            <w:rPr>
              <w:rStyle w:val="25"/>
            </w:rPr>
            <w:fldChar w:fldCharType="end"/>
          </w:r>
        </w:p>
        <w:p w14:paraId="3A801627">
          <w:pPr>
            <w:pStyle w:val="63"/>
            <w:ind w:left="480" w:hanging="480" w:hangingChars="200"/>
          </w:pPr>
          <w:bookmarkStart w:id="34" w:name="_ENREF_3"/>
          <w:r>
            <w:t>[3]</w:t>
          </w:r>
          <w:r>
            <w:tab/>
          </w:r>
          <w:r>
            <w:t xml:space="preserve">Binda G, Kalčíková G, Allan IJ, Hurley R, Rødland E, et al. 2024. Microplastic aging processes: Environmental relevance and analytical implications. </w:t>
          </w:r>
          <w:r>
            <w:rPr>
              <w:i/>
            </w:rPr>
            <w:t>TrAC Trends in Analytical Chemistry</w:t>
          </w:r>
          <w:r>
            <w:t xml:space="preserve"> 172:117566. </w:t>
          </w:r>
          <w:r>
            <w:fldChar w:fldCharType="begin"/>
          </w:r>
          <w:r>
            <w:instrText xml:space="preserve"> HYPERLINK "http://doi.org/10.1016/j.trac.2024.117566" </w:instrText>
          </w:r>
          <w:r>
            <w:fldChar w:fldCharType="separate"/>
          </w:r>
          <w:r>
            <w:rPr>
              <w:rStyle w:val="25"/>
            </w:rPr>
            <w:t>http://doi.org/10.1016/j.trac.2024.117566</w:t>
          </w:r>
          <w:bookmarkEnd w:id="34"/>
          <w:r>
            <w:rPr>
              <w:rStyle w:val="25"/>
            </w:rPr>
            <w:fldChar w:fldCharType="end"/>
          </w:r>
        </w:p>
        <w:p w14:paraId="3D9B6701">
          <w:pPr>
            <w:pStyle w:val="63"/>
            <w:ind w:left="480" w:hanging="480" w:hangingChars="200"/>
          </w:pPr>
          <w:bookmarkStart w:id="35" w:name="_ENREF_4"/>
          <w:r>
            <w:t>[4]</w:t>
          </w:r>
          <w:r>
            <w:tab/>
          </w:r>
          <w:r>
            <w:t xml:space="preserve">Singh B, Sharma N. 2008. Mechanistic implications of plastic degradation. </w:t>
          </w:r>
          <w:r>
            <w:rPr>
              <w:i/>
            </w:rPr>
            <w:t>Polymer degradation and stability</w:t>
          </w:r>
          <w:r>
            <w:t xml:space="preserve"> 93:</w:t>
          </w:r>
          <w:r>
            <w:rPr>
              <w:rFonts w:hint="eastAsia"/>
            </w:rPr>
            <w:t xml:space="preserve"> </w:t>
          </w:r>
          <w:r>
            <w:t xml:space="preserve">561-84. </w:t>
          </w:r>
          <w:r>
            <w:fldChar w:fldCharType="begin"/>
          </w:r>
          <w:r>
            <w:instrText xml:space="preserve"> HYPERLINK "http://doi.org/10.1016/j.polymdegradstab.2007.11.008" </w:instrText>
          </w:r>
          <w:r>
            <w:fldChar w:fldCharType="separate"/>
          </w:r>
          <w:r>
            <w:rPr>
              <w:rStyle w:val="25"/>
            </w:rPr>
            <w:t>http://doi.org/10.1016/j.polymdegradstab.2007.11.008</w:t>
          </w:r>
          <w:bookmarkEnd w:id="35"/>
          <w:r>
            <w:rPr>
              <w:rStyle w:val="25"/>
            </w:rPr>
            <w:fldChar w:fldCharType="end"/>
          </w:r>
        </w:p>
        <w:p w14:paraId="50805431">
          <w:pPr>
            <w:pStyle w:val="63"/>
            <w:ind w:left="480" w:hanging="480" w:hangingChars="200"/>
          </w:pPr>
          <w:bookmarkStart w:id="36" w:name="_ENREF_5"/>
          <w:r>
            <w:t>[5]</w:t>
          </w:r>
          <w:r>
            <w:tab/>
          </w:r>
          <w:r>
            <w:t xml:space="preserve">Jambeck JR, Geyer R, Wilcox C, Siegler TR, Perryman M, et al. 2015. Plastic waste inputs from land into the ocean. </w:t>
          </w:r>
          <w:r>
            <w:rPr>
              <w:i/>
            </w:rPr>
            <w:t>Science</w:t>
          </w:r>
          <w:r>
            <w:t xml:space="preserve"> 347:768-71. </w:t>
          </w:r>
          <w:r>
            <w:fldChar w:fldCharType="begin"/>
          </w:r>
          <w:r>
            <w:instrText xml:space="preserve"> HYPERLINK "http://doi.org/doi:10.1126/science.1260352" </w:instrText>
          </w:r>
          <w:r>
            <w:fldChar w:fldCharType="separate"/>
          </w:r>
          <w:r>
            <w:rPr>
              <w:rStyle w:val="25"/>
            </w:rPr>
            <w:t>http://doi.org/doi:10.1126/science.1260352</w:t>
          </w:r>
          <w:bookmarkEnd w:id="36"/>
          <w:r>
            <w:rPr>
              <w:rStyle w:val="25"/>
            </w:rPr>
            <w:fldChar w:fldCharType="end"/>
          </w:r>
        </w:p>
        <w:p w14:paraId="15D8B430">
          <w:pPr>
            <w:pStyle w:val="63"/>
            <w:ind w:left="480" w:hanging="480" w:hangingChars="200"/>
          </w:pPr>
          <w:bookmarkStart w:id="37" w:name="_ENREF_6"/>
          <w:r>
            <w:t>[6]</w:t>
          </w:r>
          <w:r>
            <w:tab/>
          </w:r>
          <w:r>
            <w:t xml:space="preserve">Liang C, Su H-W. 2009. Identification of sulfate and hydroxyl radicals in thermally activated persulfate. </w:t>
          </w:r>
          <w:r>
            <w:rPr>
              <w:i/>
            </w:rPr>
            <w:t>Industrial &amp; Engineering Chemistry Research</w:t>
          </w:r>
          <w:r>
            <w:t xml:space="preserve"> 48:</w:t>
          </w:r>
          <w:r>
            <w:rPr>
              <w:rFonts w:hint="eastAsia"/>
            </w:rPr>
            <w:t xml:space="preserve"> </w:t>
          </w:r>
          <w:r>
            <w:t xml:space="preserve">5558-62. </w:t>
          </w:r>
          <w:r>
            <w:fldChar w:fldCharType="begin"/>
          </w:r>
          <w:r>
            <w:instrText xml:space="preserve"> HYPERLINK "http://doi.org/10.1021/ie9002848" </w:instrText>
          </w:r>
          <w:r>
            <w:fldChar w:fldCharType="separate"/>
          </w:r>
          <w:r>
            <w:rPr>
              <w:rStyle w:val="25"/>
            </w:rPr>
            <w:t>http://doi.org/10.1021/ie9002848</w:t>
          </w:r>
          <w:bookmarkEnd w:id="37"/>
          <w:r>
            <w:rPr>
              <w:rStyle w:val="25"/>
            </w:rPr>
            <w:fldChar w:fldCharType="end"/>
          </w:r>
        </w:p>
        <w:p w14:paraId="66328549">
          <w:pPr>
            <w:pStyle w:val="63"/>
            <w:ind w:left="480" w:hanging="480" w:hangingChars="200"/>
          </w:pPr>
          <w:bookmarkStart w:id="38" w:name="_ENREF_7"/>
          <w:r>
            <w:t>[7]</w:t>
          </w:r>
          <w:r>
            <w:tab/>
          </w:r>
          <w:r>
            <w:t xml:space="preserve">Wang J, Wang S. 2018. Activation of persulfate (PS) and peroxymonosulfate (PMS) and application for the degradation of emerging contaminants. </w:t>
          </w:r>
          <w:r>
            <w:rPr>
              <w:i/>
            </w:rPr>
            <w:t>Chemical Engineering Journal</w:t>
          </w:r>
          <w:r>
            <w:t xml:space="preserve"> 334:</w:t>
          </w:r>
          <w:r>
            <w:rPr>
              <w:rFonts w:hint="eastAsia"/>
            </w:rPr>
            <w:t xml:space="preserve"> </w:t>
          </w:r>
          <w:r>
            <w:t xml:space="preserve">1502-17. </w:t>
          </w:r>
          <w:r>
            <w:fldChar w:fldCharType="begin"/>
          </w:r>
          <w:r>
            <w:instrText xml:space="preserve"> HYPERLINK "http://doi.org/10.1016/j.cej.2017.11.059" </w:instrText>
          </w:r>
          <w:r>
            <w:fldChar w:fldCharType="separate"/>
          </w:r>
          <w:r>
            <w:rPr>
              <w:rStyle w:val="25"/>
            </w:rPr>
            <w:t>http://doi.org/10.1016/j.cej.2017.11.059</w:t>
          </w:r>
          <w:bookmarkEnd w:id="38"/>
          <w:r>
            <w:rPr>
              <w:rStyle w:val="25"/>
            </w:rPr>
            <w:fldChar w:fldCharType="end"/>
          </w:r>
        </w:p>
        <w:p w14:paraId="29237084">
          <w:pPr>
            <w:pStyle w:val="63"/>
            <w:ind w:left="480" w:hanging="480" w:hangingChars="200"/>
          </w:pPr>
          <w:bookmarkStart w:id="39" w:name="_ENREF_8"/>
          <w:r>
            <w:t>[8]</w:t>
          </w:r>
          <w:r>
            <w:tab/>
          </w:r>
          <w:r>
            <w:t xml:space="preserve">Bhagat K, Barrios AC, Rajwade K, Kumar A, Oswald J, et al. 2022. Aging of microplastics increases their adsorption affinity towards organic contaminants. </w:t>
          </w:r>
          <w:r>
            <w:rPr>
              <w:i/>
            </w:rPr>
            <w:t>Chemosphere</w:t>
          </w:r>
          <w:r>
            <w:t xml:space="preserve"> 298:</w:t>
          </w:r>
          <w:r>
            <w:rPr>
              <w:rFonts w:hint="eastAsia"/>
            </w:rPr>
            <w:t xml:space="preserve"> </w:t>
          </w:r>
          <w:r>
            <w:t xml:space="preserve">134238. </w:t>
          </w:r>
          <w:r>
            <w:fldChar w:fldCharType="begin"/>
          </w:r>
          <w:r>
            <w:instrText xml:space="preserve"> HYPERLINK "http://doi.org/10.1016/j.chemosphere.2022.134238" </w:instrText>
          </w:r>
          <w:r>
            <w:fldChar w:fldCharType="separate"/>
          </w:r>
          <w:r>
            <w:rPr>
              <w:rStyle w:val="25"/>
            </w:rPr>
            <w:t>http://doi.org/10.1016/j.chemosphere.2022.134238</w:t>
          </w:r>
          <w:bookmarkEnd w:id="39"/>
          <w:r>
            <w:rPr>
              <w:rStyle w:val="25"/>
            </w:rPr>
            <w:fldChar w:fldCharType="end"/>
          </w:r>
        </w:p>
        <w:p w14:paraId="6017D529">
          <w:pPr>
            <w:pStyle w:val="63"/>
            <w:ind w:left="480" w:hanging="480" w:hangingChars="200"/>
          </w:pPr>
          <w:bookmarkStart w:id="40" w:name="_ENREF_9"/>
          <w:r>
            <w:t>[9]</w:t>
          </w:r>
          <w:r>
            <w:tab/>
          </w:r>
          <w:r>
            <w:t xml:space="preserve">Liu W, Pan T, Liu H, Jiang M, Zhang T. 2023. Adsorption behavior of imidacloprid pesticide on polar microplastics under environmental conditions: critical role of photo-aging. </w:t>
          </w:r>
          <w:r>
            <w:rPr>
              <w:i/>
            </w:rPr>
            <w:t>Frontiers of Environmental Science &amp; Engineering</w:t>
          </w:r>
          <w:r>
            <w:t xml:space="preserve"> 17:</w:t>
          </w:r>
          <w:r>
            <w:rPr>
              <w:rFonts w:hint="eastAsia"/>
            </w:rPr>
            <w:t xml:space="preserve"> </w:t>
          </w:r>
          <w:r>
            <w:t xml:space="preserve">41. </w:t>
          </w:r>
          <w:r>
            <w:fldChar w:fldCharType="begin"/>
          </w:r>
          <w:r>
            <w:instrText xml:space="preserve"> HYPERLINK "http://doi.org/10.1007/s11783-023-1641-0" </w:instrText>
          </w:r>
          <w:r>
            <w:fldChar w:fldCharType="separate"/>
          </w:r>
          <w:r>
            <w:rPr>
              <w:rStyle w:val="25"/>
            </w:rPr>
            <w:t>http://doi.org/10.1007/s11783-023-1641-0</w:t>
          </w:r>
          <w:bookmarkEnd w:id="40"/>
          <w:r>
            <w:rPr>
              <w:rStyle w:val="25"/>
            </w:rPr>
            <w:fldChar w:fldCharType="end"/>
          </w:r>
        </w:p>
        <w:p w14:paraId="14AFEAFB">
          <w:pPr>
            <w:pStyle w:val="63"/>
            <w:ind w:left="480" w:hanging="480" w:hangingChars="200"/>
          </w:pPr>
          <w:bookmarkStart w:id="41" w:name="_ENREF_10"/>
          <w:r>
            <w:t>[10]</w:t>
          </w:r>
          <w:r>
            <w:tab/>
          </w:r>
          <w:r>
            <w:t xml:space="preserve">Wang Y, Wang X, Li Y, Li J, Liu Y, et al. 2021. Effects of exposure of polyethylene microplastics to air, water and soil on their adsorption behaviors for copper and tetracycline. </w:t>
          </w:r>
          <w:r>
            <w:rPr>
              <w:i/>
            </w:rPr>
            <w:t>Chemical Engineering Journal</w:t>
          </w:r>
          <w:r>
            <w:t xml:space="preserve"> 404:</w:t>
          </w:r>
          <w:r>
            <w:rPr>
              <w:rFonts w:hint="eastAsia"/>
            </w:rPr>
            <w:t xml:space="preserve"> </w:t>
          </w:r>
          <w:r>
            <w:t xml:space="preserve">126412. </w:t>
          </w:r>
          <w:r>
            <w:fldChar w:fldCharType="begin"/>
          </w:r>
          <w:r>
            <w:instrText xml:space="preserve"> HYPERLINK "http://doi.org/10.1016/j.cej.2020.126412" </w:instrText>
          </w:r>
          <w:r>
            <w:fldChar w:fldCharType="separate"/>
          </w:r>
          <w:r>
            <w:rPr>
              <w:rStyle w:val="25"/>
            </w:rPr>
            <w:t>http://doi.org/10.1016/j.cej.2020.126412</w:t>
          </w:r>
          <w:bookmarkEnd w:id="41"/>
          <w:r>
            <w:rPr>
              <w:rStyle w:val="25"/>
            </w:rPr>
            <w:fldChar w:fldCharType="end"/>
          </w:r>
        </w:p>
      </w:sdtContent>
    </w:sdt>
    <w:p w14:paraId="72FEDCF2">
      <w:pPr>
        <w:ind w:firstLine="480"/>
        <w:rPr>
          <w:rFonts w:cs="Times New Roman"/>
          <w:szCs w:val="24"/>
        </w:rPr>
      </w:pPr>
    </w:p>
    <w:p w14:paraId="567398A5">
      <w:pPr>
        <w:ind w:firstLine="480"/>
        <w:rPr>
          <w:rFonts w:cs="Times New Roman"/>
          <w:szCs w:val="24"/>
        </w:rPr>
      </w:pPr>
    </w:p>
    <w:p w14:paraId="4C4699EE">
      <w:pPr>
        <w:ind w:firstLine="480"/>
        <w:rPr>
          <w:rFonts w:cs="Times New Roman"/>
          <w:szCs w:val="24"/>
        </w:rPr>
      </w:pPr>
    </w:p>
    <w:p w14:paraId="3B3DEDF3">
      <w:pPr>
        <w:ind w:firstLine="480"/>
        <w:rPr>
          <w:rFonts w:cs="Times New Roman"/>
          <w:szCs w:val="24"/>
        </w:rPr>
      </w:pPr>
    </w:p>
    <w:sectPr>
      <w:pgSz w:w="11906" w:h="16838"/>
      <w:pgMar w:top="1440" w:right="1440" w:bottom="1440" w:left="144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harisSI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671045"/>
    </w:sdtPr>
    <w:sdtContent>
      <w:p w14:paraId="644F5294">
        <w:pPr>
          <w:pStyle w:val="13"/>
          <w:ind w:firstLine="360"/>
          <w:jc w:val="center"/>
        </w:pPr>
        <w:r>
          <w:fldChar w:fldCharType="begin"/>
        </w:r>
        <w:r>
          <w:instrText xml:space="preserve"> PAGE   \* MERGEFORMAT </w:instrText>
        </w:r>
        <w:r>
          <w:fldChar w:fldCharType="separate"/>
        </w:r>
        <w:r>
          <w:t>1</w:t>
        </w:r>
        <w:r>
          <w:fldChar w:fldCharType="end"/>
        </w:r>
      </w:p>
    </w:sdtContent>
  </w:sdt>
  <w:p w14:paraId="521FF68B">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F755D">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28C28">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05395">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72603">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E7AAC">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mental and Biogeochemical Process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fzd9r2w2o9t59terxe4x09vi250505s5tvzv&quot;&gt;My EndNote Library-mps&amp;amp;pesticide&lt;record-ids&gt;&lt;item&gt;12&lt;/item&gt;&lt;item&gt;54&lt;/item&gt;&lt;item&gt;129&lt;/item&gt;&lt;item&gt;164&lt;/item&gt;&lt;item&gt;219&lt;/item&gt;&lt;item&gt;222&lt;/item&gt;&lt;item&gt;223&lt;/item&gt;&lt;item&gt;225&lt;/item&gt;&lt;item&gt;226&lt;/item&gt;&lt;item&gt;227&lt;/item&gt;&lt;/record-ids&gt;&lt;/item&gt;&lt;/Libraries&gt;"/>
    <w:docVar w:name="EN.UseJSCitationFormat" w:val="True"/>
  </w:docVars>
  <w:rsids>
    <w:rsidRoot w:val="00785297"/>
    <w:rsid w:val="000065EA"/>
    <w:rsid w:val="00006769"/>
    <w:rsid w:val="000127AA"/>
    <w:rsid w:val="00012BAE"/>
    <w:rsid w:val="00021A10"/>
    <w:rsid w:val="0002247D"/>
    <w:rsid w:val="00023C46"/>
    <w:rsid w:val="000272D6"/>
    <w:rsid w:val="000336B3"/>
    <w:rsid w:val="00036572"/>
    <w:rsid w:val="000404D2"/>
    <w:rsid w:val="0004206E"/>
    <w:rsid w:val="000473E8"/>
    <w:rsid w:val="00052B76"/>
    <w:rsid w:val="00054E0E"/>
    <w:rsid w:val="000552A8"/>
    <w:rsid w:val="00056A63"/>
    <w:rsid w:val="00063B4D"/>
    <w:rsid w:val="00066B21"/>
    <w:rsid w:val="00072D68"/>
    <w:rsid w:val="00084F33"/>
    <w:rsid w:val="000867C1"/>
    <w:rsid w:val="00096744"/>
    <w:rsid w:val="000A4567"/>
    <w:rsid w:val="000D5892"/>
    <w:rsid w:val="000D596F"/>
    <w:rsid w:val="000E55E4"/>
    <w:rsid w:val="000F06A7"/>
    <w:rsid w:val="000F745C"/>
    <w:rsid w:val="00103FAB"/>
    <w:rsid w:val="0010559E"/>
    <w:rsid w:val="00111E54"/>
    <w:rsid w:val="0012077B"/>
    <w:rsid w:val="00123238"/>
    <w:rsid w:val="00123C82"/>
    <w:rsid w:val="0015120A"/>
    <w:rsid w:val="0015567B"/>
    <w:rsid w:val="00180AF0"/>
    <w:rsid w:val="00197706"/>
    <w:rsid w:val="001A2A0C"/>
    <w:rsid w:val="001B4E9D"/>
    <w:rsid w:val="001C1272"/>
    <w:rsid w:val="001D7627"/>
    <w:rsid w:val="001E6B61"/>
    <w:rsid w:val="001F4DE1"/>
    <w:rsid w:val="001F7412"/>
    <w:rsid w:val="001F7CEB"/>
    <w:rsid w:val="0020101D"/>
    <w:rsid w:val="00202497"/>
    <w:rsid w:val="002025EC"/>
    <w:rsid w:val="00203073"/>
    <w:rsid w:val="00211465"/>
    <w:rsid w:val="00213F92"/>
    <w:rsid w:val="002161EB"/>
    <w:rsid w:val="00226E3D"/>
    <w:rsid w:val="0022775A"/>
    <w:rsid w:val="0023073A"/>
    <w:rsid w:val="00235595"/>
    <w:rsid w:val="00236E78"/>
    <w:rsid w:val="00237C53"/>
    <w:rsid w:val="0024300F"/>
    <w:rsid w:val="0026492D"/>
    <w:rsid w:val="00283319"/>
    <w:rsid w:val="00284B68"/>
    <w:rsid w:val="002868A8"/>
    <w:rsid w:val="00290704"/>
    <w:rsid w:val="0029669D"/>
    <w:rsid w:val="002A2077"/>
    <w:rsid w:val="002C5C6C"/>
    <w:rsid w:val="002D5F61"/>
    <w:rsid w:val="002E7A18"/>
    <w:rsid w:val="002F08F7"/>
    <w:rsid w:val="002F7DB7"/>
    <w:rsid w:val="00303E1C"/>
    <w:rsid w:val="00310248"/>
    <w:rsid w:val="00316224"/>
    <w:rsid w:val="00321112"/>
    <w:rsid w:val="003271BA"/>
    <w:rsid w:val="00333B39"/>
    <w:rsid w:val="00334141"/>
    <w:rsid w:val="00334E3F"/>
    <w:rsid w:val="00353D91"/>
    <w:rsid w:val="003557E3"/>
    <w:rsid w:val="00373315"/>
    <w:rsid w:val="00375BF5"/>
    <w:rsid w:val="0037669E"/>
    <w:rsid w:val="00380D1A"/>
    <w:rsid w:val="003836D3"/>
    <w:rsid w:val="0038449E"/>
    <w:rsid w:val="00397EC0"/>
    <w:rsid w:val="003A1D1E"/>
    <w:rsid w:val="003A5B2D"/>
    <w:rsid w:val="003A7EE5"/>
    <w:rsid w:val="003C4523"/>
    <w:rsid w:val="003C6FBF"/>
    <w:rsid w:val="003D07AB"/>
    <w:rsid w:val="003D7AC7"/>
    <w:rsid w:val="003E0B66"/>
    <w:rsid w:val="003E2E11"/>
    <w:rsid w:val="003E3586"/>
    <w:rsid w:val="003F2C2F"/>
    <w:rsid w:val="0040052E"/>
    <w:rsid w:val="004032DB"/>
    <w:rsid w:val="00413F6E"/>
    <w:rsid w:val="00422E94"/>
    <w:rsid w:val="00434662"/>
    <w:rsid w:val="00440AAA"/>
    <w:rsid w:val="00441465"/>
    <w:rsid w:val="004442FA"/>
    <w:rsid w:val="00452EB4"/>
    <w:rsid w:val="0045370D"/>
    <w:rsid w:val="00455445"/>
    <w:rsid w:val="00464412"/>
    <w:rsid w:val="0046730B"/>
    <w:rsid w:val="00467849"/>
    <w:rsid w:val="00470377"/>
    <w:rsid w:val="004741FF"/>
    <w:rsid w:val="00475D35"/>
    <w:rsid w:val="004857C8"/>
    <w:rsid w:val="0049593E"/>
    <w:rsid w:val="004978D7"/>
    <w:rsid w:val="004A1921"/>
    <w:rsid w:val="004A2859"/>
    <w:rsid w:val="004A2B9E"/>
    <w:rsid w:val="004B6DB3"/>
    <w:rsid w:val="004C2741"/>
    <w:rsid w:val="004C29F7"/>
    <w:rsid w:val="004D3654"/>
    <w:rsid w:val="004D4622"/>
    <w:rsid w:val="004D7BCD"/>
    <w:rsid w:val="004D7F7C"/>
    <w:rsid w:val="004E4954"/>
    <w:rsid w:val="004E4A26"/>
    <w:rsid w:val="004E4D17"/>
    <w:rsid w:val="004E64D9"/>
    <w:rsid w:val="0050087A"/>
    <w:rsid w:val="00502062"/>
    <w:rsid w:val="00515DD4"/>
    <w:rsid w:val="00521AD5"/>
    <w:rsid w:val="00527ADD"/>
    <w:rsid w:val="005308FD"/>
    <w:rsid w:val="00546FBA"/>
    <w:rsid w:val="005571D6"/>
    <w:rsid w:val="00557F55"/>
    <w:rsid w:val="00563814"/>
    <w:rsid w:val="00571CC8"/>
    <w:rsid w:val="005721B8"/>
    <w:rsid w:val="005722F4"/>
    <w:rsid w:val="00575151"/>
    <w:rsid w:val="00581830"/>
    <w:rsid w:val="005848FE"/>
    <w:rsid w:val="0059178A"/>
    <w:rsid w:val="005A31A5"/>
    <w:rsid w:val="005A331C"/>
    <w:rsid w:val="005B031B"/>
    <w:rsid w:val="005B0347"/>
    <w:rsid w:val="005B46AC"/>
    <w:rsid w:val="005C03D8"/>
    <w:rsid w:val="005C362D"/>
    <w:rsid w:val="005C6C61"/>
    <w:rsid w:val="005D4A2B"/>
    <w:rsid w:val="005E2065"/>
    <w:rsid w:val="005E3032"/>
    <w:rsid w:val="005E4AF5"/>
    <w:rsid w:val="005F1217"/>
    <w:rsid w:val="005F4506"/>
    <w:rsid w:val="005F4865"/>
    <w:rsid w:val="005F4CAF"/>
    <w:rsid w:val="005F7338"/>
    <w:rsid w:val="00610324"/>
    <w:rsid w:val="006262DF"/>
    <w:rsid w:val="00627EDC"/>
    <w:rsid w:val="0063604E"/>
    <w:rsid w:val="00645779"/>
    <w:rsid w:val="00650DC7"/>
    <w:rsid w:val="00655DD1"/>
    <w:rsid w:val="00663286"/>
    <w:rsid w:val="00664E2D"/>
    <w:rsid w:val="006816C4"/>
    <w:rsid w:val="006A0D5A"/>
    <w:rsid w:val="006A1AA1"/>
    <w:rsid w:val="006A4DA0"/>
    <w:rsid w:val="006A5FE1"/>
    <w:rsid w:val="006B4A52"/>
    <w:rsid w:val="006C013B"/>
    <w:rsid w:val="006C3F25"/>
    <w:rsid w:val="006E0F10"/>
    <w:rsid w:val="006E166C"/>
    <w:rsid w:val="006E7AE2"/>
    <w:rsid w:val="00702B9E"/>
    <w:rsid w:val="007235D8"/>
    <w:rsid w:val="00737317"/>
    <w:rsid w:val="00737A69"/>
    <w:rsid w:val="00740FFA"/>
    <w:rsid w:val="0074750A"/>
    <w:rsid w:val="0074772D"/>
    <w:rsid w:val="00753DCE"/>
    <w:rsid w:val="007605B9"/>
    <w:rsid w:val="00761968"/>
    <w:rsid w:val="007709E0"/>
    <w:rsid w:val="00771FF7"/>
    <w:rsid w:val="0078079A"/>
    <w:rsid w:val="00785297"/>
    <w:rsid w:val="00795C18"/>
    <w:rsid w:val="0079637D"/>
    <w:rsid w:val="007A0368"/>
    <w:rsid w:val="007A06C8"/>
    <w:rsid w:val="007A250C"/>
    <w:rsid w:val="007A6566"/>
    <w:rsid w:val="007B3AFC"/>
    <w:rsid w:val="007B57CB"/>
    <w:rsid w:val="007C4336"/>
    <w:rsid w:val="007C5676"/>
    <w:rsid w:val="007C71D6"/>
    <w:rsid w:val="007D10D8"/>
    <w:rsid w:val="007E1DD7"/>
    <w:rsid w:val="007F6E56"/>
    <w:rsid w:val="00803D6F"/>
    <w:rsid w:val="00804EBF"/>
    <w:rsid w:val="00805D74"/>
    <w:rsid w:val="00806900"/>
    <w:rsid w:val="0081676C"/>
    <w:rsid w:val="0083608D"/>
    <w:rsid w:val="00841745"/>
    <w:rsid w:val="00843BC5"/>
    <w:rsid w:val="00846B0A"/>
    <w:rsid w:val="00847392"/>
    <w:rsid w:val="008517E8"/>
    <w:rsid w:val="00851F84"/>
    <w:rsid w:val="008544F6"/>
    <w:rsid w:val="00854C64"/>
    <w:rsid w:val="008670B1"/>
    <w:rsid w:val="00872C13"/>
    <w:rsid w:val="008734E7"/>
    <w:rsid w:val="00881345"/>
    <w:rsid w:val="00881A66"/>
    <w:rsid w:val="0088547C"/>
    <w:rsid w:val="008924C3"/>
    <w:rsid w:val="00893335"/>
    <w:rsid w:val="0089430C"/>
    <w:rsid w:val="008A70FB"/>
    <w:rsid w:val="008C5C7A"/>
    <w:rsid w:val="008E0F8E"/>
    <w:rsid w:val="008E2B64"/>
    <w:rsid w:val="008F79E6"/>
    <w:rsid w:val="00910783"/>
    <w:rsid w:val="00911C29"/>
    <w:rsid w:val="00914588"/>
    <w:rsid w:val="009156A2"/>
    <w:rsid w:val="0092203C"/>
    <w:rsid w:val="00922E03"/>
    <w:rsid w:val="00927F83"/>
    <w:rsid w:val="009372CE"/>
    <w:rsid w:val="00955397"/>
    <w:rsid w:val="009702F2"/>
    <w:rsid w:val="00982DAD"/>
    <w:rsid w:val="00987158"/>
    <w:rsid w:val="0099088F"/>
    <w:rsid w:val="0099405B"/>
    <w:rsid w:val="009A2529"/>
    <w:rsid w:val="009A7992"/>
    <w:rsid w:val="009B1820"/>
    <w:rsid w:val="009D025B"/>
    <w:rsid w:val="009D090A"/>
    <w:rsid w:val="009D5BEE"/>
    <w:rsid w:val="009E08DB"/>
    <w:rsid w:val="009E3B74"/>
    <w:rsid w:val="009E480A"/>
    <w:rsid w:val="009E6278"/>
    <w:rsid w:val="009F1F0E"/>
    <w:rsid w:val="009F2840"/>
    <w:rsid w:val="00A125F2"/>
    <w:rsid w:val="00A1342A"/>
    <w:rsid w:val="00A16494"/>
    <w:rsid w:val="00A16EFE"/>
    <w:rsid w:val="00A17541"/>
    <w:rsid w:val="00A21B29"/>
    <w:rsid w:val="00A40F42"/>
    <w:rsid w:val="00A415D4"/>
    <w:rsid w:val="00A45F46"/>
    <w:rsid w:val="00A55503"/>
    <w:rsid w:val="00A61C33"/>
    <w:rsid w:val="00A61EE3"/>
    <w:rsid w:val="00A64402"/>
    <w:rsid w:val="00A91BCE"/>
    <w:rsid w:val="00A94C1F"/>
    <w:rsid w:val="00AA121E"/>
    <w:rsid w:val="00AA537B"/>
    <w:rsid w:val="00AB0CFC"/>
    <w:rsid w:val="00AC2E5F"/>
    <w:rsid w:val="00AC6FF3"/>
    <w:rsid w:val="00AD5CB8"/>
    <w:rsid w:val="00AE4E3E"/>
    <w:rsid w:val="00B06E84"/>
    <w:rsid w:val="00B07F40"/>
    <w:rsid w:val="00B140CA"/>
    <w:rsid w:val="00B302C1"/>
    <w:rsid w:val="00B309BE"/>
    <w:rsid w:val="00B3740D"/>
    <w:rsid w:val="00B41287"/>
    <w:rsid w:val="00B44C41"/>
    <w:rsid w:val="00B70987"/>
    <w:rsid w:val="00B76245"/>
    <w:rsid w:val="00B8173E"/>
    <w:rsid w:val="00B82A43"/>
    <w:rsid w:val="00B92FEF"/>
    <w:rsid w:val="00BA7600"/>
    <w:rsid w:val="00BC1D66"/>
    <w:rsid w:val="00BD42CD"/>
    <w:rsid w:val="00BD4F8B"/>
    <w:rsid w:val="00BE7A27"/>
    <w:rsid w:val="00BF2085"/>
    <w:rsid w:val="00BF5A11"/>
    <w:rsid w:val="00BF71CA"/>
    <w:rsid w:val="00BF7A08"/>
    <w:rsid w:val="00C041A1"/>
    <w:rsid w:val="00C1099D"/>
    <w:rsid w:val="00C1169C"/>
    <w:rsid w:val="00C169EA"/>
    <w:rsid w:val="00C270CE"/>
    <w:rsid w:val="00C30029"/>
    <w:rsid w:val="00C31211"/>
    <w:rsid w:val="00C43004"/>
    <w:rsid w:val="00C46B6B"/>
    <w:rsid w:val="00C54692"/>
    <w:rsid w:val="00C718DD"/>
    <w:rsid w:val="00C76EA3"/>
    <w:rsid w:val="00C81B72"/>
    <w:rsid w:val="00C84FDF"/>
    <w:rsid w:val="00C90129"/>
    <w:rsid w:val="00C95195"/>
    <w:rsid w:val="00C97795"/>
    <w:rsid w:val="00CA405D"/>
    <w:rsid w:val="00CA52BC"/>
    <w:rsid w:val="00CA54A5"/>
    <w:rsid w:val="00CB197A"/>
    <w:rsid w:val="00CB6DD7"/>
    <w:rsid w:val="00CC3F0F"/>
    <w:rsid w:val="00CE550D"/>
    <w:rsid w:val="00CF2507"/>
    <w:rsid w:val="00D00445"/>
    <w:rsid w:val="00D17093"/>
    <w:rsid w:val="00D229E3"/>
    <w:rsid w:val="00D278D5"/>
    <w:rsid w:val="00D27968"/>
    <w:rsid w:val="00D31DC2"/>
    <w:rsid w:val="00D40D9D"/>
    <w:rsid w:val="00D4544E"/>
    <w:rsid w:val="00D46482"/>
    <w:rsid w:val="00D46AF9"/>
    <w:rsid w:val="00D52EB3"/>
    <w:rsid w:val="00D55F16"/>
    <w:rsid w:val="00D60F87"/>
    <w:rsid w:val="00D64AAE"/>
    <w:rsid w:val="00D7456A"/>
    <w:rsid w:val="00D82881"/>
    <w:rsid w:val="00D82FBF"/>
    <w:rsid w:val="00D830E4"/>
    <w:rsid w:val="00D8511A"/>
    <w:rsid w:val="00D9018F"/>
    <w:rsid w:val="00D95C31"/>
    <w:rsid w:val="00DA6BBC"/>
    <w:rsid w:val="00DB3900"/>
    <w:rsid w:val="00DB7037"/>
    <w:rsid w:val="00DC6359"/>
    <w:rsid w:val="00DD5D75"/>
    <w:rsid w:val="00DD7556"/>
    <w:rsid w:val="00DE0FE7"/>
    <w:rsid w:val="00DE1543"/>
    <w:rsid w:val="00DE43DE"/>
    <w:rsid w:val="00DE7A9C"/>
    <w:rsid w:val="00DF1958"/>
    <w:rsid w:val="00E015E7"/>
    <w:rsid w:val="00E03BEA"/>
    <w:rsid w:val="00E03DEA"/>
    <w:rsid w:val="00E055FD"/>
    <w:rsid w:val="00E07354"/>
    <w:rsid w:val="00E11ECF"/>
    <w:rsid w:val="00E21196"/>
    <w:rsid w:val="00E36716"/>
    <w:rsid w:val="00E428E8"/>
    <w:rsid w:val="00E45DC8"/>
    <w:rsid w:val="00E675E6"/>
    <w:rsid w:val="00E745B5"/>
    <w:rsid w:val="00E86490"/>
    <w:rsid w:val="00E87A4F"/>
    <w:rsid w:val="00EA0D0A"/>
    <w:rsid w:val="00EA155F"/>
    <w:rsid w:val="00EA2889"/>
    <w:rsid w:val="00EB4F02"/>
    <w:rsid w:val="00EB60D3"/>
    <w:rsid w:val="00EC2313"/>
    <w:rsid w:val="00ED6312"/>
    <w:rsid w:val="00EE2C9B"/>
    <w:rsid w:val="00EE3594"/>
    <w:rsid w:val="00EF0E6D"/>
    <w:rsid w:val="00EF2D3C"/>
    <w:rsid w:val="00EF2D62"/>
    <w:rsid w:val="00EF6088"/>
    <w:rsid w:val="00F03C62"/>
    <w:rsid w:val="00F07A3B"/>
    <w:rsid w:val="00F131A6"/>
    <w:rsid w:val="00F165C1"/>
    <w:rsid w:val="00F3642D"/>
    <w:rsid w:val="00F36786"/>
    <w:rsid w:val="00F44C6D"/>
    <w:rsid w:val="00F470D8"/>
    <w:rsid w:val="00F4768A"/>
    <w:rsid w:val="00F47CD3"/>
    <w:rsid w:val="00F57254"/>
    <w:rsid w:val="00F65DE1"/>
    <w:rsid w:val="00F74140"/>
    <w:rsid w:val="00F75E21"/>
    <w:rsid w:val="00F832CB"/>
    <w:rsid w:val="00F8545A"/>
    <w:rsid w:val="00F8594F"/>
    <w:rsid w:val="00F86C22"/>
    <w:rsid w:val="00F9599D"/>
    <w:rsid w:val="00F971C5"/>
    <w:rsid w:val="00FA0AE9"/>
    <w:rsid w:val="00FA7333"/>
    <w:rsid w:val="00FB6369"/>
    <w:rsid w:val="00FC1A5F"/>
    <w:rsid w:val="00FC20E2"/>
    <w:rsid w:val="00FD3FEF"/>
    <w:rsid w:val="00FD508B"/>
    <w:rsid w:val="00FD608D"/>
    <w:rsid w:val="00FE00C6"/>
    <w:rsid w:val="00FE3199"/>
    <w:rsid w:val="0827722A"/>
    <w:rsid w:val="0C633599"/>
    <w:rsid w:val="131021D1"/>
    <w:rsid w:val="131E53AB"/>
    <w:rsid w:val="178455E0"/>
    <w:rsid w:val="17FF19B8"/>
    <w:rsid w:val="18D7681D"/>
    <w:rsid w:val="1B991768"/>
    <w:rsid w:val="1E9960A7"/>
    <w:rsid w:val="21D10830"/>
    <w:rsid w:val="25D6029D"/>
    <w:rsid w:val="29EF73B0"/>
    <w:rsid w:val="2B3359B1"/>
    <w:rsid w:val="2C41305A"/>
    <w:rsid w:val="2D9450F1"/>
    <w:rsid w:val="2F6A118F"/>
    <w:rsid w:val="33745910"/>
    <w:rsid w:val="34C73BA1"/>
    <w:rsid w:val="36FD57F7"/>
    <w:rsid w:val="39504729"/>
    <w:rsid w:val="39DE1D7A"/>
    <w:rsid w:val="3FC82323"/>
    <w:rsid w:val="42DE6109"/>
    <w:rsid w:val="42FA73ED"/>
    <w:rsid w:val="571C492D"/>
    <w:rsid w:val="5D881168"/>
    <w:rsid w:val="690F39A6"/>
    <w:rsid w:val="6B092CA7"/>
    <w:rsid w:val="6F220321"/>
    <w:rsid w:val="73D62E1B"/>
    <w:rsid w:val="756E5849"/>
    <w:rsid w:val="75F32576"/>
    <w:rsid w:val="799F0BFC"/>
    <w:rsid w:val="79A91577"/>
    <w:rsid w:val="7F801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0" w:firstLineChars="200"/>
      <w:jc w:val="both"/>
    </w:pPr>
    <w:rPr>
      <w:rFonts w:ascii="Times New Roman" w:hAnsi="Times New Roman" w:eastAsia="等线" w:cs="等线"/>
      <w:color w:val="000000" w:themeColor="text1"/>
      <w:sz w:val="24"/>
      <w:szCs w:val="22"/>
      <w:lang w:val="en-US" w:eastAsia="zh-CN" w:bidi="ar-SA"/>
      <w14:textFill>
        <w14:solidFill>
          <w14:schemeClr w14:val="tx1"/>
        </w14:solidFill>
      </w14:textFill>
    </w:rPr>
  </w:style>
  <w:style w:type="paragraph" w:styleId="2">
    <w:name w:val="heading 1"/>
    <w:basedOn w:val="1"/>
    <w:next w:val="1"/>
    <w:link w:val="27"/>
    <w:qFormat/>
    <w:uiPriority w:val="9"/>
    <w:pPr>
      <w:keepNext/>
      <w:keepLines/>
      <w:snapToGrid w:val="0"/>
      <w:spacing w:line="480" w:lineRule="auto"/>
      <w:ind w:firstLine="0" w:firstLineChars="0"/>
      <w:outlineLvl w:val="0"/>
    </w:pPr>
    <w:rPr>
      <w:rFonts w:eastAsia="等线 Light" w:cstheme="majorBidi"/>
      <w:szCs w:val="48"/>
    </w:rPr>
  </w:style>
  <w:style w:type="paragraph" w:styleId="3">
    <w:name w:val="heading 2"/>
    <w:basedOn w:val="1"/>
    <w:next w:val="1"/>
    <w:link w:val="2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1"/>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2"/>
    <w:semiHidden/>
    <w:unhideWhenUsed/>
    <w:qFormat/>
    <w:uiPriority w:val="9"/>
    <w:pPr>
      <w:keepNext/>
      <w:keepLines/>
      <w:spacing w:before="80" w:after="40"/>
      <w:outlineLvl w:val="4"/>
    </w:pPr>
    <w:rPr>
      <w:rFonts w:cstheme="majorBidi"/>
      <w:color w:val="104862" w:themeColor="accent1" w:themeShade="BF"/>
    </w:rPr>
  </w:style>
  <w:style w:type="paragraph" w:styleId="7">
    <w:name w:val="heading 6"/>
    <w:basedOn w:val="1"/>
    <w:next w:val="1"/>
    <w:link w:val="3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0"/>
    <w:unhideWhenUsed/>
    <w:qFormat/>
    <w:uiPriority w:val="99"/>
  </w:style>
  <w:style w:type="paragraph" w:styleId="12">
    <w:name w:val="Balloon Text"/>
    <w:basedOn w:val="1"/>
    <w:link w:val="54"/>
    <w:semiHidden/>
    <w:unhideWhenUsed/>
    <w:qFormat/>
    <w:uiPriority w:val="99"/>
    <w:pPr>
      <w:spacing w:line="240" w:lineRule="auto"/>
    </w:pPr>
    <w:rPr>
      <w:sz w:val="18"/>
      <w:szCs w:val="18"/>
    </w:rPr>
  </w:style>
  <w:style w:type="paragraph" w:styleId="13">
    <w:name w:val="footer"/>
    <w:basedOn w:val="1"/>
    <w:link w:val="47"/>
    <w:unhideWhenUsed/>
    <w:qFormat/>
    <w:uiPriority w:val="99"/>
    <w:pPr>
      <w:tabs>
        <w:tab w:val="center" w:pos="4513"/>
        <w:tab w:val="right" w:pos="9026"/>
      </w:tabs>
      <w:snapToGrid w:val="0"/>
      <w:spacing w:line="240" w:lineRule="auto"/>
    </w:pPr>
    <w:rPr>
      <w:sz w:val="18"/>
      <w:szCs w:val="18"/>
    </w:rPr>
  </w:style>
  <w:style w:type="paragraph" w:styleId="14">
    <w:name w:val="header"/>
    <w:basedOn w:val="1"/>
    <w:link w:val="46"/>
    <w:unhideWhenUsed/>
    <w:qFormat/>
    <w:uiPriority w:val="99"/>
    <w:pPr>
      <w:tabs>
        <w:tab w:val="center" w:pos="4513"/>
        <w:tab w:val="right" w:pos="9026"/>
      </w:tabs>
      <w:snapToGrid w:val="0"/>
      <w:spacing w:line="240" w:lineRule="auto"/>
      <w:jc w:val="center"/>
    </w:pPr>
    <w:rPr>
      <w:sz w:val="18"/>
      <w:szCs w:val="18"/>
    </w:rPr>
  </w:style>
  <w:style w:type="paragraph" w:styleId="15">
    <w:name w:val="toc 1"/>
    <w:basedOn w:val="1"/>
    <w:next w:val="1"/>
    <w:autoRedefine/>
    <w:unhideWhenUsed/>
    <w:qFormat/>
    <w:uiPriority w:val="39"/>
    <w:pPr>
      <w:ind w:firstLine="0" w:firstLineChars="0"/>
      <w:jc w:val="left"/>
    </w:pPr>
  </w:style>
  <w:style w:type="paragraph" w:styleId="16">
    <w:name w:val="Subtitle"/>
    <w:basedOn w:val="1"/>
    <w:next w:val="1"/>
    <w:link w:val="38"/>
    <w:qFormat/>
    <w:uiPriority w:val="11"/>
    <w:pPr>
      <w:jc w:val="center"/>
    </w:pPr>
    <w:rPr>
      <w:rFonts w:ascii="等线 Light" w:hAnsi="等线 Light" w:eastAsia="等线 Light" w:cs="等线 Light"/>
      <w:color w:val="595959"/>
      <w:sz w:val="28"/>
      <w:szCs w:val="28"/>
    </w:rPr>
  </w:style>
  <w:style w:type="paragraph" w:styleId="17">
    <w:name w:val="toc 6"/>
    <w:basedOn w:val="1"/>
    <w:next w:val="1"/>
    <w:autoRedefine/>
    <w:unhideWhenUsed/>
    <w:qFormat/>
    <w:uiPriority w:val="39"/>
    <w:pPr>
      <w:widowControl/>
      <w:spacing w:after="100" w:line="259" w:lineRule="auto"/>
      <w:ind w:left="1100" w:firstLine="0" w:firstLineChars="0"/>
      <w:jc w:val="left"/>
    </w:pPr>
    <w:rPr>
      <w:rFonts w:asciiTheme="minorHAnsi" w:hAnsiTheme="minorHAnsi" w:eastAsiaTheme="minorEastAsia" w:cstheme="minorBidi"/>
      <w:color w:val="auto"/>
      <w:sz w:val="22"/>
    </w:rPr>
  </w:style>
  <w:style w:type="paragraph" w:styleId="18">
    <w:name w:val="Normal (Web)"/>
    <w:basedOn w:val="1"/>
    <w:semiHidden/>
    <w:unhideWhenUsed/>
    <w:qFormat/>
    <w:uiPriority w:val="99"/>
    <w:pPr>
      <w:widowControl/>
      <w:spacing w:before="100" w:beforeAutospacing="1" w:after="100" w:afterAutospacing="1" w:line="240" w:lineRule="auto"/>
    </w:pPr>
    <w:rPr>
      <w:rFonts w:ascii="宋体" w:hAnsi="宋体" w:eastAsia="宋体" w:cs="宋体"/>
      <w:szCs w:val="24"/>
    </w:rPr>
  </w:style>
  <w:style w:type="paragraph" w:styleId="19">
    <w:name w:val="Title"/>
    <w:basedOn w:val="1"/>
    <w:next w:val="1"/>
    <w:link w:val="3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1"/>
    <w:next w:val="11"/>
    <w:link w:val="51"/>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line number"/>
    <w:basedOn w:val="23"/>
    <w:semiHidden/>
    <w:unhideWhenUsed/>
    <w:qFormat/>
    <w:uiPriority w:val="99"/>
  </w:style>
  <w:style w:type="character" w:styleId="25">
    <w:name w:val="Hyperlink"/>
    <w:basedOn w:val="23"/>
    <w:unhideWhenUsed/>
    <w:qFormat/>
    <w:uiPriority w:val="99"/>
    <w:rPr>
      <w:color w:val="0000FF"/>
      <w:u w:val="none"/>
    </w:rPr>
  </w:style>
  <w:style w:type="character" w:styleId="26">
    <w:name w:val="annotation reference"/>
    <w:basedOn w:val="23"/>
    <w:semiHidden/>
    <w:unhideWhenUsed/>
    <w:qFormat/>
    <w:uiPriority w:val="99"/>
    <w:rPr>
      <w:sz w:val="21"/>
      <w:szCs w:val="21"/>
    </w:rPr>
  </w:style>
  <w:style w:type="character" w:customStyle="1" w:styleId="27">
    <w:name w:val="标题 1 字符"/>
    <w:basedOn w:val="23"/>
    <w:link w:val="2"/>
    <w:qFormat/>
    <w:uiPriority w:val="9"/>
    <w:rPr>
      <w:rFonts w:ascii="Times New Roman" w:hAnsi="Times New Roman" w:eastAsia="等线 Light" w:cstheme="majorBidi"/>
      <w:color w:val="000000" w:themeColor="text1"/>
      <w:sz w:val="24"/>
      <w:szCs w:val="48"/>
      <w14:textFill>
        <w14:solidFill>
          <w14:schemeClr w14:val="tx1"/>
        </w14:solidFill>
      </w14:textFill>
    </w:rPr>
  </w:style>
  <w:style w:type="table" w:customStyle="1" w:styleId="28">
    <w:name w:val="Table Normal1"/>
    <w:qFormat/>
    <w:uiPriority w:val="0"/>
    <w:tblPr>
      <w:tblCellMar>
        <w:top w:w="0" w:type="dxa"/>
        <w:left w:w="0" w:type="dxa"/>
        <w:bottom w:w="0" w:type="dxa"/>
        <w:right w:w="0" w:type="dxa"/>
      </w:tblCellMar>
    </w:tblPr>
  </w:style>
  <w:style w:type="character" w:customStyle="1" w:styleId="29">
    <w:name w:val="标题 2 字符"/>
    <w:basedOn w:val="23"/>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0">
    <w:name w:val="标题 3 字符"/>
    <w:basedOn w:val="23"/>
    <w:link w:val="4"/>
    <w:qFormat/>
    <w:uiPriority w:val="9"/>
    <w:rPr>
      <w:rFonts w:asciiTheme="majorHAnsi" w:hAnsiTheme="majorHAnsi" w:eastAsiaTheme="majorEastAsia" w:cstheme="majorBidi"/>
      <w:color w:val="104862" w:themeColor="accent1" w:themeShade="BF"/>
      <w:sz w:val="32"/>
      <w:szCs w:val="32"/>
    </w:rPr>
  </w:style>
  <w:style w:type="character" w:customStyle="1" w:styleId="31">
    <w:name w:val="标题 4 字符"/>
    <w:basedOn w:val="23"/>
    <w:link w:val="5"/>
    <w:qFormat/>
    <w:uiPriority w:val="9"/>
    <w:rPr>
      <w:rFonts w:cstheme="majorBidi"/>
      <w:color w:val="104862" w:themeColor="accent1" w:themeShade="BF"/>
      <w:sz w:val="28"/>
      <w:szCs w:val="28"/>
    </w:rPr>
  </w:style>
  <w:style w:type="character" w:customStyle="1" w:styleId="32">
    <w:name w:val="标题 5 字符"/>
    <w:basedOn w:val="23"/>
    <w:link w:val="6"/>
    <w:semiHidden/>
    <w:qFormat/>
    <w:uiPriority w:val="9"/>
    <w:rPr>
      <w:rFonts w:cstheme="majorBidi"/>
      <w:color w:val="104862" w:themeColor="accent1" w:themeShade="BF"/>
      <w:sz w:val="24"/>
    </w:rPr>
  </w:style>
  <w:style w:type="character" w:customStyle="1" w:styleId="33">
    <w:name w:val="标题 6 字符"/>
    <w:basedOn w:val="23"/>
    <w:link w:val="7"/>
    <w:semiHidden/>
    <w:qFormat/>
    <w:uiPriority w:val="9"/>
    <w:rPr>
      <w:rFonts w:cstheme="majorBidi"/>
      <w:b/>
      <w:bCs/>
      <w:color w:val="104862" w:themeColor="accent1" w:themeShade="BF"/>
    </w:rPr>
  </w:style>
  <w:style w:type="character" w:customStyle="1" w:styleId="34">
    <w:name w:val="标题 7 字符"/>
    <w:basedOn w:val="2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5">
    <w:name w:val="标题 8 字符"/>
    <w:basedOn w:val="2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6">
    <w:name w:val="标题 9 字符"/>
    <w:basedOn w:val="2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标题 字符"/>
    <w:basedOn w:val="23"/>
    <w:link w:val="19"/>
    <w:qFormat/>
    <w:uiPriority w:val="10"/>
    <w:rPr>
      <w:rFonts w:asciiTheme="majorHAnsi" w:hAnsiTheme="majorHAnsi" w:eastAsiaTheme="majorEastAsia" w:cstheme="majorBidi"/>
      <w:spacing w:val="-10"/>
      <w:kern w:val="28"/>
      <w:sz w:val="56"/>
      <w:szCs w:val="56"/>
    </w:rPr>
  </w:style>
  <w:style w:type="character" w:customStyle="1" w:styleId="38">
    <w:name w:val="副标题 字符"/>
    <w:basedOn w:val="23"/>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引用 字符"/>
    <w:basedOn w:val="23"/>
    <w:link w:val="39"/>
    <w:qFormat/>
    <w:uiPriority w:val="29"/>
    <w:rPr>
      <w:i/>
      <w:iCs/>
      <w:color w:val="404040" w:themeColor="text1" w:themeTint="BF"/>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Intense Emphasis1"/>
    <w:basedOn w:val="23"/>
    <w:qFormat/>
    <w:uiPriority w:val="21"/>
    <w:rPr>
      <w:i/>
      <w:iCs/>
      <w:color w:val="104862" w:themeColor="accent1" w:themeShade="BF"/>
    </w:rPr>
  </w:style>
  <w:style w:type="paragraph" w:styleId="43">
    <w:name w:val="Intense Quote"/>
    <w:basedOn w:val="1"/>
    <w:next w:val="1"/>
    <w:link w:val="4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4">
    <w:name w:val="明显引用 字符"/>
    <w:basedOn w:val="23"/>
    <w:link w:val="43"/>
    <w:qFormat/>
    <w:uiPriority w:val="30"/>
    <w:rPr>
      <w:i/>
      <w:iCs/>
      <w:color w:val="104862" w:themeColor="accent1" w:themeShade="BF"/>
    </w:rPr>
  </w:style>
  <w:style w:type="character" w:customStyle="1" w:styleId="45">
    <w:name w:val="Intense Reference1"/>
    <w:basedOn w:val="23"/>
    <w:qFormat/>
    <w:uiPriority w:val="32"/>
    <w:rPr>
      <w:b/>
      <w:bCs/>
      <w:smallCaps/>
      <w:color w:val="104862" w:themeColor="accent1" w:themeShade="BF"/>
      <w:spacing w:val="5"/>
    </w:rPr>
  </w:style>
  <w:style w:type="character" w:customStyle="1" w:styleId="46">
    <w:name w:val="页眉 字符"/>
    <w:basedOn w:val="23"/>
    <w:link w:val="14"/>
    <w:qFormat/>
    <w:uiPriority w:val="99"/>
    <w:rPr>
      <w:sz w:val="18"/>
      <w:szCs w:val="18"/>
    </w:rPr>
  </w:style>
  <w:style w:type="character" w:customStyle="1" w:styleId="47">
    <w:name w:val="页脚 字符"/>
    <w:basedOn w:val="23"/>
    <w:link w:val="13"/>
    <w:qFormat/>
    <w:uiPriority w:val="99"/>
    <w:rPr>
      <w:sz w:val="18"/>
      <w:szCs w:val="18"/>
    </w:rPr>
  </w:style>
  <w:style w:type="table" w:customStyle="1" w:styleId="48">
    <w:name w:val="_Style 38"/>
    <w:basedOn w:val="28"/>
    <w:qFormat/>
    <w:uiPriority w:val="0"/>
    <w:tblPr>
      <w:tblCellMar>
        <w:left w:w="108" w:type="dxa"/>
        <w:right w:w="108" w:type="dxa"/>
      </w:tblCellMar>
    </w:tblPr>
  </w:style>
  <w:style w:type="table" w:customStyle="1" w:styleId="49">
    <w:name w:val="_Style 39"/>
    <w:basedOn w:val="28"/>
    <w:qFormat/>
    <w:uiPriority w:val="0"/>
    <w:tblPr>
      <w:tblCellMar>
        <w:left w:w="108" w:type="dxa"/>
        <w:right w:w="108" w:type="dxa"/>
      </w:tblCellMar>
    </w:tblPr>
  </w:style>
  <w:style w:type="character" w:customStyle="1" w:styleId="50">
    <w:name w:val="批注文字 字符"/>
    <w:basedOn w:val="23"/>
    <w:link w:val="11"/>
    <w:qFormat/>
    <w:uiPriority w:val="99"/>
  </w:style>
  <w:style w:type="character" w:customStyle="1" w:styleId="51">
    <w:name w:val="批注主题 字符"/>
    <w:basedOn w:val="50"/>
    <w:link w:val="20"/>
    <w:semiHidden/>
    <w:qFormat/>
    <w:uiPriority w:val="99"/>
    <w:rPr>
      <w:b/>
      <w:bCs/>
    </w:rPr>
  </w:style>
  <w:style w:type="paragraph" w:customStyle="1" w:styleId="52">
    <w:name w:val="Revision1"/>
    <w:hidden/>
    <w:semiHidden/>
    <w:qFormat/>
    <w:uiPriority w:val="99"/>
    <w:rPr>
      <w:rFonts w:ascii="等线" w:hAnsi="等线" w:eastAsia="等线" w:cs="等线"/>
      <w:sz w:val="22"/>
      <w:szCs w:val="22"/>
      <w:lang w:val="en-US" w:eastAsia="zh-CN" w:bidi="ar-SA"/>
    </w:rPr>
  </w:style>
  <w:style w:type="character" w:customStyle="1" w:styleId="53">
    <w:name w:val="Unresolved Mention1"/>
    <w:basedOn w:val="23"/>
    <w:semiHidden/>
    <w:unhideWhenUsed/>
    <w:qFormat/>
    <w:uiPriority w:val="99"/>
    <w:rPr>
      <w:color w:val="605E5C"/>
      <w:shd w:val="clear" w:color="auto" w:fill="E1DFDD"/>
    </w:rPr>
  </w:style>
  <w:style w:type="character" w:customStyle="1" w:styleId="54">
    <w:name w:val="批注框文本 字符"/>
    <w:basedOn w:val="23"/>
    <w:link w:val="12"/>
    <w:semiHidden/>
    <w:qFormat/>
    <w:uiPriority w:val="99"/>
    <w:rPr>
      <w:sz w:val="18"/>
      <w:szCs w:val="18"/>
    </w:rPr>
  </w:style>
  <w:style w:type="character" w:customStyle="1" w:styleId="55">
    <w:name w:val="font11"/>
    <w:basedOn w:val="23"/>
    <w:qFormat/>
    <w:uiPriority w:val="0"/>
    <w:rPr>
      <w:rFonts w:hint="default" w:ascii="Times New Roman" w:hAnsi="Times New Roman" w:cs="Times New Roman"/>
      <w:b/>
      <w:bCs/>
      <w:color w:val="000000"/>
      <w:sz w:val="21"/>
      <w:szCs w:val="21"/>
      <w:u w:val="none"/>
    </w:rPr>
  </w:style>
  <w:style w:type="character" w:customStyle="1" w:styleId="56">
    <w:name w:val="font51"/>
    <w:basedOn w:val="23"/>
    <w:qFormat/>
    <w:uiPriority w:val="0"/>
    <w:rPr>
      <w:rFonts w:hint="default" w:ascii="Times New Roman" w:hAnsi="Times New Roman" w:cs="Times New Roman"/>
      <w:b/>
      <w:bCs/>
      <w:color w:val="000000"/>
      <w:sz w:val="21"/>
      <w:szCs w:val="21"/>
      <w:u w:val="none"/>
      <w:vertAlign w:val="superscript"/>
    </w:rPr>
  </w:style>
  <w:style w:type="character" w:customStyle="1" w:styleId="57">
    <w:name w:val="font21"/>
    <w:basedOn w:val="23"/>
    <w:qFormat/>
    <w:uiPriority w:val="0"/>
    <w:rPr>
      <w:rFonts w:hint="default" w:ascii="Times New Roman" w:hAnsi="Times New Roman" w:cs="Times New Roman"/>
      <w:b/>
      <w:bCs/>
      <w:color w:val="000000"/>
      <w:sz w:val="22"/>
      <w:szCs w:val="22"/>
      <w:u w:val="none"/>
    </w:rPr>
  </w:style>
  <w:style w:type="character" w:customStyle="1" w:styleId="58">
    <w:name w:val="font61"/>
    <w:basedOn w:val="23"/>
    <w:qFormat/>
    <w:uiPriority w:val="0"/>
    <w:rPr>
      <w:rFonts w:hint="default" w:ascii="Times New Roman" w:hAnsi="Times New Roman" w:cs="Times New Roman"/>
      <w:b/>
      <w:bCs/>
      <w:color w:val="000000"/>
      <w:sz w:val="22"/>
      <w:szCs w:val="22"/>
      <w:u w:val="none"/>
      <w:vertAlign w:val="superscript"/>
    </w:rPr>
  </w:style>
  <w:style w:type="character" w:styleId="59">
    <w:name w:val="Placeholder Text"/>
    <w:basedOn w:val="23"/>
    <w:semiHidden/>
    <w:qFormat/>
    <w:uiPriority w:val="99"/>
    <w:rPr>
      <w:color w:val="666666"/>
    </w:rPr>
  </w:style>
  <w:style w:type="paragraph" w:customStyle="1" w:styleId="60">
    <w:name w:val="修订1"/>
    <w:hidden/>
    <w:unhideWhenUsed/>
    <w:qFormat/>
    <w:uiPriority w:val="99"/>
    <w:rPr>
      <w:rFonts w:ascii="Times New Roman" w:hAnsi="Times New Roman" w:eastAsia="等线" w:cs="等线"/>
      <w:color w:val="000000" w:themeColor="text1"/>
      <w:sz w:val="24"/>
      <w:szCs w:val="22"/>
      <w:lang w:val="en-US" w:eastAsia="zh-CN" w:bidi="ar-SA"/>
      <w14:textFill>
        <w14:solidFill>
          <w14:schemeClr w14:val="tx1"/>
        </w14:solidFill>
      </w14:textFill>
    </w:rPr>
  </w:style>
  <w:style w:type="paragraph" w:customStyle="1" w:styleId="61">
    <w:name w:val="EndNote Bibliography Title"/>
    <w:basedOn w:val="1"/>
    <w:link w:val="62"/>
    <w:qFormat/>
    <w:uiPriority w:val="0"/>
    <w:pPr>
      <w:jc w:val="center"/>
    </w:pPr>
    <w:rPr>
      <w:rFonts w:cs="Times New Roman"/>
      <w:color w:val="0070C0"/>
    </w:rPr>
  </w:style>
  <w:style w:type="character" w:customStyle="1" w:styleId="62">
    <w:name w:val="EndNote Bibliography Title Char"/>
    <w:basedOn w:val="23"/>
    <w:link w:val="61"/>
    <w:qFormat/>
    <w:uiPriority w:val="0"/>
    <w:rPr>
      <w:rFonts w:ascii="Times New Roman" w:hAnsi="Times New Roman" w:cs="Times New Roman"/>
      <w:color w:val="0070C0"/>
      <w:sz w:val="24"/>
      <w:szCs w:val="22"/>
    </w:rPr>
  </w:style>
  <w:style w:type="paragraph" w:customStyle="1" w:styleId="63">
    <w:name w:val="EndNote Bibliography"/>
    <w:basedOn w:val="1"/>
    <w:link w:val="64"/>
    <w:qFormat/>
    <w:uiPriority w:val="0"/>
    <w:pPr>
      <w:spacing w:line="240" w:lineRule="auto"/>
    </w:pPr>
    <w:rPr>
      <w:rFonts w:cs="Times New Roman"/>
    </w:rPr>
  </w:style>
  <w:style w:type="character" w:customStyle="1" w:styleId="64">
    <w:name w:val="EndNote Bibliography Char"/>
    <w:basedOn w:val="23"/>
    <w:link w:val="63"/>
    <w:qFormat/>
    <w:uiPriority w:val="0"/>
    <w:rPr>
      <w:rFonts w:ascii="Times New Roman" w:hAnsi="Times New Roman" w:cs="Times New Roman"/>
      <w:color w:val="000000" w:themeColor="text1"/>
      <w:sz w:val="24"/>
      <w:szCs w:val="22"/>
      <w14:textFill>
        <w14:solidFill>
          <w14:schemeClr w14:val="tx1"/>
        </w14:solidFill>
      </w14:textFill>
    </w:rPr>
  </w:style>
  <w:style w:type="character" w:customStyle="1" w:styleId="65">
    <w:name w:val="vlist-s"/>
    <w:basedOn w:val="23"/>
    <w:qFormat/>
    <w:uiPriority w:val="0"/>
  </w:style>
  <w:style w:type="paragraph" w:customStyle="1" w:styleId="66">
    <w:name w:val="Style1"/>
    <w:basedOn w:val="2"/>
    <w:qFormat/>
    <w:uiPriority w:val="0"/>
  </w:style>
  <w:style w:type="character" w:customStyle="1" w:styleId="67">
    <w:name w:val="未处理的提及1"/>
    <w:basedOn w:val="23"/>
    <w:semiHidden/>
    <w:unhideWhenUsed/>
    <w:qFormat/>
    <w:uiPriority w:val="99"/>
    <w:rPr>
      <w:color w:val="605E5C"/>
      <w:shd w:val="clear" w:color="auto" w:fill="E1DFDD"/>
    </w:rPr>
  </w:style>
  <w:style w:type="character" w:customStyle="1" w:styleId="68">
    <w:name w:val="Unresolved Mention"/>
    <w:basedOn w:val="2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glossaryDocument" Target="glossary/document.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3.emf"/><Relationship Id="rId25" Type="http://schemas.openxmlformats.org/officeDocument/2006/relationships/image" Target="media/image12.emf"/><Relationship Id="rId24" Type="http://schemas.openxmlformats.org/officeDocument/2006/relationships/image" Target="media/image11.emf"/><Relationship Id="rId23" Type="http://schemas.openxmlformats.org/officeDocument/2006/relationships/image" Target="media/image10.emf"/><Relationship Id="rId22" Type="http://schemas.openxmlformats.org/officeDocument/2006/relationships/image" Target="media/image9.emf"/><Relationship Id="rId21" Type="http://schemas.openxmlformats.org/officeDocument/2006/relationships/image" Target="media/image8.emf"/><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image" Target="media/image5.emf"/><Relationship Id="rId17" Type="http://schemas.openxmlformats.org/officeDocument/2006/relationships/image" Target="media/image4.emf"/><Relationship Id="rId16" Type="http://schemas.openxmlformats.org/officeDocument/2006/relationships/oleObject" Target="embeddings/oleObject2.bin"/><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6DB55A55-7733-47D4-9FF8-56CBBACB24A8}"/>
      </w:docPartPr>
      <w:docPartBody>
        <w:p w14:paraId="63434090">
          <w:pPr>
            <w:rPr>
              <w:rFonts w:hint="eastAsia"/>
            </w:rPr>
          </w:pPr>
          <w:r>
            <w:rPr>
              <w:rStyle w:val="4"/>
            </w:rPr>
            <w:t>单击或点击此处输入文字。</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0A"/>
    <w:rsid w:val="0004145D"/>
    <w:rsid w:val="00066FEE"/>
    <w:rsid w:val="00112AA7"/>
    <w:rsid w:val="001D7627"/>
    <w:rsid w:val="0020141D"/>
    <w:rsid w:val="002B38F3"/>
    <w:rsid w:val="002B49F7"/>
    <w:rsid w:val="00361F6B"/>
    <w:rsid w:val="004741FF"/>
    <w:rsid w:val="004E45ED"/>
    <w:rsid w:val="005C3562"/>
    <w:rsid w:val="00636263"/>
    <w:rsid w:val="00704E9A"/>
    <w:rsid w:val="00765862"/>
    <w:rsid w:val="00782AB0"/>
    <w:rsid w:val="008F58A1"/>
    <w:rsid w:val="00AB39C9"/>
    <w:rsid w:val="00B02F0A"/>
    <w:rsid w:val="00C368C8"/>
    <w:rsid w:val="00C43004"/>
    <w:rsid w:val="00DA1560"/>
    <w:rsid w:val="00DD379A"/>
    <w:rsid w:val="00E93FB4"/>
    <w:rsid w:val="00EB0000"/>
    <w:rsid w:val="00F26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666666"/>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rgbClr val="C00000"/>
          </a:solidFill>
        </a:ln>
      </a:spPr>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Xs8kpDcD/rwqHv3SjFsT95HNQ==">CgMxLjA4AHIhMUdLTGZYdmFCRFVhXzBwUU5KemU0QTN5LUhfcm1PRjZp</go:docsCustomData>
</go:gDocsCustomXmlDataStorage>
</file>

<file path=customXml/itemProps1.xml><?xml version="1.0" encoding="utf-8"?>
<ds:datastoreItem xmlns:ds="http://schemas.openxmlformats.org/officeDocument/2006/customXml" ds:itemID="{2834417B-88D4-E540-AEB7-E0976A532FC2}">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2150</Words>
  <Characters>11836</Characters>
  <Lines>169</Lines>
  <Paragraphs>47</Paragraphs>
  <TotalTime>532</TotalTime>
  <ScaleCrop>false</ScaleCrop>
  <LinksUpToDate>false</LinksUpToDate>
  <CharactersWithSpaces>13806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2026-05-26T07:19:00Z</dcterms:created>
  <dc:creator>laz</dc:creator>
  <cp:lastModifiedBy>plankton</cp:lastModifiedBy>
  <dcterms:modified xsi:type="dcterms:W3CDTF">2026-07-02T08:13:55Z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6491D1204F5B4332AEEDCAD9719E5AE2_13</vt:lpwstr>
  </property>
  <property fmtid="{D5CDD505-2E9C-101B-9397-08002B2CF9AE}" pid="4" name="KSOTemplateDocerSaveRecord">
    <vt:lpwstr>eyJoZGlkIjoiNDE3NmYxMGNiNzg0YzAwNTUyODRhZmQ5NGFjYjJlNjIiLCJ1c2VySWQiOiI0MzUyNTAyNTUifQ==</vt:lpwstr>
  </property>
</Properties>
</file>