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96D" w:rsidRDefault="00DB328E">
      <w:pPr>
        <w:spacing w:line="480" w:lineRule="auto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bookmarkStart w:id="0" w:name="_GoBack"/>
      <w:bookmarkStart w:id="1" w:name="OLE_LINK717"/>
      <w:bookmarkStart w:id="2" w:name="OLE_LINK718"/>
      <w:bookmarkStart w:id="3" w:name="_Hlk172956288"/>
      <w:bookmarkEnd w:id="0"/>
      <w:r>
        <w:rPr>
          <w:rFonts w:ascii="Times New Roman" w:eastAsia="宋体" w:hAnsi="Times New Roman" w:cs="Times New Roman" w:hint="eastAsia"/>
          <w:b/>
          <w:sz w:val="36"/>
          <w:szCs w:val="36"/>
        </w:rPr>
        <w:t>Supplementary Materials</w:t>
      </w:r>
    </w:p>
    <w:bookmarkEnd w:id="1"/>
    <w:bookmarkEnd w:id="2"/>
    <w:p w:rsidR="001E196D" w:rsidRDefault="00DB328E">
      <w:pPr>
        <w:spacing w:line="480" w:lineRule="auto"/>
        <w:jc w:val="center"/>
        <w:rPr>
          <w:rFonts w:ascii="Times New Roman" w:eastAsia="宋体" w:hAnsi="Times New Roman" w:cs="Times New Roman"/>
          <w:iCs/>
          <w:color w:val="000000" w:themeColor="text1"/>
          <w:sz w:val="32"/>
          <w:szCs w:val="32"/>
        </w:rPr>
      </w:pPr>
      <w:r>
        <w:rPr>
          <w:rFonts w:ascii="Times New Roman" w:eastAsia="宋体" w:hAnsi="Times New Roman" w:cs="Times New Roman"/>
          <w:iCs/>
          <w:sz w:val="36"/>
          <w:szCs w:val="36"/>
        </w:rPr>
        <w:t>for</w:t>
      </w:r>
      <w:bookmarkStart w:id="4" w:name="OLE_LINK4"/>
    </w:p>
    <w:p w:rsidR="001E196D" w:rsidRDefault="00DB328E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  <w:t>Alkyl carbon in a hydrophobic coating enhances the chemical stability of hydrochar</w:t>
      </w:r>
      <w:bookmarkEnd w:id="4"/>
    </w:p>
    <w:bookmarkEnd w:id="3"/>
    <w:p w:rsidR="001E196D" w:rsidRDefault="001E196D">
      <w:pPr>
        <w:rPr>
          <w:rStyle w:val="ab"/>
          <w:rFonts w:eastAsiaTheme="minorEastAsia"/>
        </w:rPr>
      </w:pPr>
    </w:p>
    <w:p w:rsidR="001E196D" w:rsidRDefault="001E196D">
      <w:pPr>
        <w:rPr>
          <w:rStyle w:val="ab"/>
          <w:rFonts w:eastAsiaTheme="minorEastAsia"/>
        </w:rPr>
      </w:pPr>
    </w:p>
    <w:p w:rsidR="001E196D" w:rsidRDefault="001E196D">
      <w:pPr>
        <w:adjustRightInd w:val="0"/>
        <w:spacing w:line="360" w:lineRule="auto"/>
        <w:jc w:val="left"/>
        <w:textAlignment w:val="baseline"/>
        <w:rPr>
          <w:rFonts w:ascii="Times New Roman" w:eastAsia="宋体" w:hAnsi="Times New Roman" w:cs="Times New Roman"/>
          <w:b/>
          <w:sz w:val="24"/>
          <w:szCs w:val="24"/>
        </w:rPr>
      </w:pPr>
    </w:p>
    <w:p w:rsidR="001E196D" w:rsidRDefault="00DB328E">
      <w:pPr>
        <w:adjustRightInd w:val="0"/>
        <w:spacing w:line="360" w:lineRule="auto"/>
        <w:jc w:val="left"/>
        <w:textAlignment w:val="baseline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List of Tables and Figures</w:t>
      </w:r>
    </w:p>
    <w:p w:rsidR="001E196D" w:rsidRDefault="00DB328E">
      <w:pPr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Table S1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Most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frequently employed reaction mechanisms in solid-state processes. </w:t>
      </w:r>
      <w:r>
        <w:rPr>
          <w:rFonts w:ascii="Times New Roman" w:eastAsia="宋体" w:hAnsi="Times New Roman" w:cs="Times New Roman"/>
          <w:bCs/>
          <w:i/>
          <w:sz w:val="24"/>
          <w:szCs w:val="24"/>
        </w:rPr>
        <w:t>α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= fractional conversion; </w:t>
      </w:r>
      <w:r>
        <w:rPr>
          <w:rFonts w:ascii="Times New Roman" w:eastAsia="宋体" w:hAnsi="Times New Roman" w:cs="Times New Roman"/>
          <w:bCs/>
          <w:i/>
          <w:sz w:val="24"/>
          <w:szCs w:val="24"/>
        </w:rPr>
        <w:t>g</w:t>
      </w:r>
      <w:r>
        <w:rPr>
          <w:rFonts w:ascii="Times New Roman" w:eastAsia="宋体" w:hAnsi="Times New Roman" w:cs="Times New Roman"/>
          <w:bCs/>
          <w:sz w:val="24"/>
          <w:szCs w:val="24"/>
        </w:rPr>
        <w:t>(</w:t>
      </w:r>
      <w:r>
        <w:rPr>
          <w:rFonts w:ascii="Times New Roman" w:eastAsia="宋体" w:hAnsi="Times New Roman" w:cs="Times New Roman"/>
          <w:bCs/>
          <w:i/>
          <w:sz w:val="24"/>
          <w:szCs w:val="24"/>
        </w:rPr>
        <w:t>α</w:t>
      </w:r>
      <w:r>
        <w:rPr>
          <w:rFonts w:ascii="Times New Roman" w:eastAsia="宋体" w:hAnsi="Times New Roman" w:cs="Times New Roman"/>
          <w:bCs/>
          <w:sz w:val="24"/>
          <w:szCs w:val="24"/>
        </w:rPr>
        <w:t>) = integral form of the reaction model.</w:t>
      </w:r>
    </w:p>
    <w:p w:rsidR="001E196D" w:rsidRDefault="00DB328E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 xml:space="preserve">Fig. S1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(O+N)/C atomic ratios at different depths of leaf-derived hydrochar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</w:rPr>
        <w:t>CL, LL, PL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PN denote corn leaves, lotus leaves, palm leaves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pine needles, respectively. The suffix -H represents the corresponding hydrochar sample.</w:t>
      </w:r>
    </w:p>
    <w:p w:rsidR="001E196D" w:rsidRDefault="00DB328E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Fig. S2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Scanning electron microscopy (SEM) images of leaf-derived hydrochars before and after acetone extraction. CL-H, LL-H, PL-H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,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and PN-H represent untreated hydrochar derived from corn leaves, lotus leaves, palm leaves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,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and pine needles, respectively; the suffix -ex denotes the corresponding hydrochar sample after acetone extraction.</w:t>
      </w:r>
    </w:p>
    <w:p w:rsidR="001E196D" w:rsidRDefault="00DB328E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S3</w:t>
      </w:r>
      <w:r>
        <w:rPr>
          <w:rFonts w:ascii="Times New Roman" w:hAnsi="Times New Roman" w:cs="Times New Roman"/>
          <w:sz w:val="24"/>
          <w:szCs w:val="24"/>
        </w:rPr>
        <w:t xml:space="preserve"> Contact angle of hydrochar derived from different biomass before and after acetone extraction. CE, CL, LL, PL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PN represent cellulose, corn leaves, lotus leaves, palm leaves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pine needle biomass, respectively. Hydrochar stands for unextracted hydrochar, and Hydrochar-ex stands for acetone-extracted hydrochar. A–E show contact angles of different raw biomass materials; a–d show contact angles of various unextracted hydrochar samples; I–V show contact angles of hydrochars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after acetone extraction. ** means a significant difference at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 0.01, and ns means no significant difference, when comparing contact angles between raw biomass and matching hydrochars, and between hydrochars before and after acetone extraction.</w:t>
      </w:r>
    </w:p>
    <w:p w:rsidR="001E196D" w:rsidRDefault="00DB328E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Fig. S4</w:t>
      </w:r>
      <w:r w:rsidR="00464912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H/C and O/C atomic ratios of acetone extraction products of different hydrochar</w:t>
      </w:r>
      <w:r>
        <w:rPr>
          <w:rFonts w:ascii="Times New Roman" w:eastAsia="宋体" w:hAnsi="Times New Roman" w:cs="Times New Roman" w:hint="eastAsia"/>
          <w:sz w:val="24"/>
        </w:rPr>
        <w:t>s</w:t>
      </w:r>
      <w:r>
        <w:rPr>
          <w:rFonts w:ascii="Times New Roman" w:eastAsia="宋体" w:hAnsi="Times New Roman" w:cs="Times New Roman"/>
          <w:sz w:val="24"/>
        </w:rPr>
        <w:t>. CE-H, CL-H, LL-H, PL-H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PN-H represent hydrochar derived from cellulose, corn leaves, lotus leaves, palm leaves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pine needles, respectively.</w:t>
      </w:r>
    </w:p>
    <w:p w:rsidR="001E196D" w:rsidRDefault="00DB328E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S5</w:t>
      </w:r>
      <w:r>
        <w:rPr>
          <w:rFonts w:ascii="Times New Roman" w:hAnsi="Times New Roman" w:cs="Times New Roman"/>
          <w:sz w:val="24"/>
          <w:szCs w:val="24"/>
        </w:rPr>
        <w:t xml:space="preserve"> Thermal decomposition and kinetic fitting curves of typical leaf-derived hydrochar before and after acetone extraction. </w:t>
      </w:r>
      <w:r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TG (thermogravimetry) curves;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DTG (derivative thermogravimetry) curves; </w:t>
      </w:r>
      <w:r>
        <w:rPr>
          <w:rFonts w:ascii="Times New Roman" w:hAnsi="Times New Roman" w:cs="Times New Roman"/>
          <w:b/>
          <w:bCs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 fractional conversion curves, where α denotes fractional conversion;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 Coats–Redfern kinetic fitting plots. In subgraph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>, g(</w:t>
      </w:r>
      <w:r>
        <w:rPr>
          <w:rFonts w:ascii="Times New Roman" w:hAnsi="Times New Roman" w:cs="Times New Roman"/>
          <w:i/>
          <w:sz w:val="24"/>
          <w:szCs w:val="24"/>
        </w:rPr>
        <w:t>α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α</w:t>
      </w:r>
      <w:r>
        <w:rPr>
          <w:rFonts w:ascii="Times New Roman" w:hAnsi="Times New Roman" w:cs="Times New Roman"/>
          <w:sz w:val="24"/>
          <w:szCs w:val="24"/>
        </w:rPr>
        <w:t xml:space="preserve">², and T represents absolute temperature. For linear fitting in subgraph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refers to the slope of fitted lines, </w:t>
      </w:r>
      <w:r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refers to the intercept, and 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² represents the coefficient of determination. PL-H stands for unextracted palm leaf hydrochar, and PL-H-ex stands for acetone-extracted palm leaf hydrochar.</w:t>
      </w:r>
    </w:p>
    <w:p w:rsidR="00A50934" w:rsidRDefault="00DB328E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Fig. S6</w:t>
      </w:r>
      <w:r w:rsidR="00464912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Principal component analysis (PCA) of carbon loss rate and aromaticity, specific surface area (SSA), and hydrophobic intensity of hydrophobic coating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</w:rPr>
        <w:t>PCA is short for principal component analysis, and SSA stands for specific surface area. CE-H, CL-H, LL-H, PL-H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PN-H represent hydrochar derived from cellulose, corn leaves, lotus leaves, palm leaves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pine needles, respectively.</w:t>
      </w:r>
    </w:p>
    <w:p w:rsidR="00464912" w:rsidRDefault="00464912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 w:rsidRPr="00A50934">
        <w:rPr>
          <w:rFonts w:ascii="Times New Roman" w:eastAsia="宋体" w:hAnsi="Times New Roman" w:cs="Times New Roman"/>
          <w:b/>
          <w:sz w:val="24"/>
          <w:szCs w:val="24"/>
        </w:rPr>
        <w:t>Text 1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6A4129">
        <w:rPr>
          <w:rFonts w:ascii="Times New Roman" w:eastAsia="宋体" w:hAnsi="Times New Roman" w:cs="Times New Roman"/>
          <w:sz w:val="24"/>
          <w:szCs w:val="24"/>
        </w:rPr>
        <w:t xml:space="preserve">Python </w:t>
      </w:r>
      <w:r w:rsidRPr="006A4129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Pr="006A4129">
        <w:rPr>
          <w:rFonts w:ascii="Times New Roman" w:eastAsia="宋体" w:hAnsi="Times New Roman" w:cs="Times New Roman"/>
          <w:sz w:val="24"/>
          <w:szCs w:val="24"/>
        </w:rPr>
        <w:t xml:space="preserve">ode for </w:t>
      </w:r>
      <w:r w:rsidR="00A40C42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="00A40C42" w:rsidRPr="006A4129">
        <w:rPr>
          <w:rFonts w:ascii="Times New Roman" w:eastAsia="宋体" w:hAnsi="Times New Roman" w:cs="Times New Roman"/>
          <w:sz w:val="24"/>
          <w:szCs w:val="24"/>
        </w:rPr>
        <w:t>oats</w:t>
      </w:r>
      <w:r w:rsidRPr="006A4129">
        <w:rPr>
          <w:rFonts w:ascii="Times New Roman" w:eastAsia="宋体" w:hAnsi="Times New Roman" w:cs="Times New Roman"/>
          <w:sz w:val="24"/>
          <w:szCs w:val="24"/>
        </w:rPr>
        <w:t>–</w:t>
      </w:r>
      <w:r w:rsidR="00A40C42">
        <w:rPr>
          <w:rFonts w:ascii="Times New Roman" w:eastAsia="宋体" w:hAnsi="Times New Roman" w:cs="Times New Roman" w:hint="eastAsia"/>
          <w:sz w:val="24"/>
          <w:szCs w:val="24"/>
        </w:rPr>
        <w:t>r</w:t>
      </w:r>
      <w:r w:rsidR="00A40C42" w:rsidRPr="006A4129">
        <w:rPr>
          <w:rFonts w:ascii="Times New Roman" w:eastAsia="宋体" w:hAnsi="Times New Roman" w:cs="Times New Roman"/>
          <w:sz w:val="24"/>
          <w:szCs w:val="24"/>
        </w:rPr>
        <w:t xml:space="preserve">edfern </w:t>
      </w:r>
      <w:r w:rsidR="00A40C42">
        <w:rPr>
          <w:rFonts w:ascii="Times New Roman" w:eastAsia="宋体" w:hAnsi="Times New Roman" w:cs="Times New Roman" w:hint="eastAsia"/>
          <w:sz w:val="24"/>
          <w:szCs w:val="24"/>
        </w:rPr>
        <w:t>k</w:t>
      </w:r>
      <w:r w:rsidR="00A40C42" w:rsidRPr="006A4129">
        <w:rPr>
          <w:rFonts w:ascii="Times New Roman" w:eastAsia="宋体" w:hAnsi="Times New Roman" w:cs="Times New Roman"/>
          <w:sz w:val="24"/>
          <w:szCs w:val="24"/>
        </w:rPr>
        <w:t xml:space="preserve">inetic </w:t>
      </w:r>
      <w:r w:rsidRPr="006A4129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Pr="006A4129">
        <w:rPr>
          <w:rFonts w:ascii="Times New Roman" w:eastAsia="宋体" w:hAnsi="Times New Roman" w:cs="Times New Roman"/>
          <w:sz w:val="24"/>
          <w:szCs w:val="24"/>
        </w:rPr>
        <w:t xml:space="preserve">alculation of </w:t>
      </w:r>
      <w:r w:rsidRPr="006A4129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Pr="006A4129">
        <w:rPr>
          <w:rFonts w:ascii="Times New Roman" w:eastAsia="宋体" w:hAnsi="Times New Roman" w:cs="Times New Roman"/>
          <w:sz w:val="24"/>
          <w:szCs w:val="24"/>
        </w:rPr>
        <w:t xml:space="preserve">ydrochar </w:t>
      </w:r>
      <w:r w:rsidRPr="006A4129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6A4129">
        <w:rPr>
          <w:rFonts w:ascii="Times New Roman" w:eastAsia="宋体" w:hAnsi="Times New Roman" w:cs="Times New Roman"/>
          <w:sz w:val="24"/>
          <w:szCs w:val="24"/>
        </w:rPr>
        <w:t xml:space="preserve">hermal </w:t>
      </w:r>
      <w:r w:rsidRPr="006A4129"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Pr="006A4129">
        <w:rPr>
          <w:rFonts w:ascii="Times New Roman" w:eastAsia="宋体" w:hAnsi="Times New Roman" w:cs="Times New Roman"/>
          <w:sz w:val="24"/>
          <w:szCs w:val="24"/>
        </w:rPr>
        <w:t>ecomposition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.</w:t>
      </w:r>
    </w:p>
    <w:p w:rsidR="00464912" w:rsidRPr="00464912" w:rsidRDefault="00DB328E" w:rsidP="00464912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:rsidR="00464912" w:rsidRPr="00464912" w:rsidRDefault="00464912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</w:p>
    <w:p w:rsidR="001E196D" w:rsidRDefault="00DB328E">
      <w:pPr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Table S1</w:t>
      </w:r>
      <w:r w:rsidR="00464912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Most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frequently employed reaction mechanisms in solid-state processes. </w:t>
      </w:r>
      <w:r>
        <w:rPr>
          <w:rFonts w:ascii="Times New Roman" w:eastAsia="宋体" w:hAnsi="Times New Roman" w:cs="Times New Roman"/>
          <w:bCs/>
          <w:i/>
          <w:sz w:val="24"/>
          <w:szCs w:val="24"/>
        </w:rPr>
        <w:t>α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= fractional conversion; </w:t>
      </w:r>
      <w:r>
        <w:rPr>
          <w:rFonts w:ascii="Times New Roman" w:eastAsia="宋体" w:hAnsi="Times New Roman" w:cs="Times New Roman"/>
          <w:bCs/>
          <w:i/>
          <w:sz w:val="24"/>
          <w:szCs w:val="24"/>
        </w:rPr>
        <w:t>g</w:t>
      </w:r>
      <w:r>
        <w:rPr>
          <w:rFonts w:ascii="Times New Roman" w:eastAsia="宋体" w:hAnsi="Times New Roman" w:cs="Times New Roman"/>
          <w:bCs/>
          <w:sz w:val="24"/>
          <w:szCs w:val="24"/>
        </w:rPr>
        <w:t>(</w:t>
      </w:r>
      <w:r>
        <w:rPr>
          <w:rFonts w:ascii="Times New Roman" w:eastAsia="宋体" w:hAnsi="Times New Roman" w:cs="Times New Roman"/>
          <w:bCs/>
          <w:i/>
          <w:sz w:val="24"/>
          <w:szCs w:val="24"/>
        </w:rPr>
        <w:t>α</w:t>
      </w:r>
      <w:r>
        <w:rPr>
          <w:rFonts w:ascii="Times New Roman" w:eastAsia="宋体" w:hAnsi="Times New Roman" w:cs="Times New Roman"/>
          <w:bCs/>
          <w:sz w:val="24"/>
          <w:szCs w:val="24"/>
        </w:rPr>
        <w:t>) = integral form of the reaction model.</w:t>
      </w:r>
    </w:p>
    <w:tbl>
      <w:tblPr>
        <w:tblStyle w:val="aa"/>
        <w:tblW w:w="7376" w:type="dxa"/>
        <w:jc w:val="center"/>
        <w:tblLook w:val="04A0"/>
      </w:tblPr>
      <w:tblGrid>
        <w:gridCol w:w="3402"/>
        <w:gridCol w:w="1706"/>
        <w:gridCol w:w="2268"/>
      </w:tblGrid>
      <w:tr w:rsidR="001E196D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Reaction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echanism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Symbol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1E196D">
        <w:trPr>
          <w:trHeight w:val="340"/>
          <w:jc w:val="center"/>
        </w:trPr>
        <w:tc>
          <w:tcPr>
            <w:tcW w:w="7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Order of reaction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First-order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–ln(1–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Second-order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(1–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–1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Third-order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[(1–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–1]/2</w:t>
            </w:r>
          </w:p>
        </w:tc>
      </w:tr>
      <w:tr w:rsidR="001E196D">
        <w:trPr>
          <w:trHeight w:val="340"/>
          <w:jc w:val="center"/>
        </w:trPr>
        <w:tc>
          <w:tcPr>
            <w:tcW w:w="7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Diffusion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One-way transport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" w:name="OLE_LINK2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bookmarkEnd w:id="5"/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Two-way transport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(1–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)ln(1–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)+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Three-way transport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[1–(1–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1/3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Ginstling-Brounshtein equation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(1–2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/3)–(1–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2/3</w:t>
            </w:r>
          </w:p>
        </w:tc>
      </w:tr>
      <w:tr w:rsidR="001E196D">
        <w:trPr>
          <w:trHeight w:val="340"/>
          <w:jc w:val="center"/>
        </w:trPr>
        <w:tc>
          <w:tcPr>
            <w:tcW w:w="7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Limiting surface reaction between both phases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One dimension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Two dimensions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1–(1–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1/2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Three dimensions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1–(1–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1/3</w:t>
            </w:r>
          </w:p>
        </w:tc>
      </w:tr>
      <w:tr w:rsidR="001E196D">
        <w:trPr>
          <w:trHeight w:val="340"/>
          <w:jc w:val="center"/>
        </w:trPr>
        <w:tc>
          <w:tcPr>
            <w:tcW w:w="7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Random nucleation and nuclei growth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Two-dimensional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[–ln(1–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)]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1/2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Three-dimensional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[–ln(1–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)]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1/3</w:t>
            </w:r>
          </w:p>
        </w:tc>
      </w:tr>
      <w:tr w:rsidR="001E196D">
        <w:trPr>
          <w:trHeight w:val="340"/>
          <w:jc w:val="center"/>
        </w:trPr>
        <w:tc>
          <w:tcPr>
            <w:tcW w:w="7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Exponential nucleation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Power law,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=1/2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1/2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Power law,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1/3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1/3</w:t>
            </w:r>
          </w:p>
        </w:tc>
      </w:tr>
      <w:tr w:rsidR="001E196D">
        <w:trPr>
          <w:trHeight w:val="340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Power law,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1/4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96D" w:rsidRDefault="00DB32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1/4</w:t>
            </w:r>
          </w:p>
        </w:tc>
      </w:tr>
    </w:tbl>
    <w:p w:rsidR="001E196D" w:rsidRDefault="001E196D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</w:p>
    <w:p w:rsidR="001E196D" w:rsidRDefault="001E196D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  <w:sectPr w:rsidR="001E196D">
          <w:footerReference w:type="default" r:id="rId7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1E196D" w:rsidRDefault="00DB328E">
      <w:pPr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3599815" cy="2695575"/>
            <wp:effectExtent l="0" t="0" r="635" b="9525"/>
            <wp:docPr id="4" name="图片 4" descr="D:\桌面\0 EBP论文返修\whol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桌面\0 EBP论文返修\whole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96D" w:rsidRDefault="00DB328E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bookmarkStart w:id="6" w:name="OLE_LINK44"/>
      <w:r>
        <w:rPr>
          <w:rFonts w:ascii="Times New Roman" w:eastAsia="宋体" w:hAnsi="Times New Roman" w:cs="Times New Roman"/>
          <w:b/>
          <w:sz w:val="24"/>
          <w:szCs w:val="24"/>
        </w:rPr>
        <w:t>Fig. S1</w:t>
      </w:r>
      <w:bookmarkStart w:id="7" w:name="_Hlk194303558"/>
      <w:r w:rsidR="00464912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(O+N)/C atomic ratios at different depths of leaf-derived hydrochar</w:t>
      </w:r>
      <w:bookmarkEnd w:id="7"/>
      <w:r>
        <w:rPr>
          <w:rFonts w:ascii="Times New Roman" w:eastAsia="宋体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</w:rPr>
        <w:t>CL, LL, PL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PN denote corn leaves, lotus leaves, palm leaves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pine needles, respectively. The suffix -H represents the corresponding hydrochar sample.</w:t>
      </w:r>
    </w:p>
    <w:p w:rsidR="001E196D" w:rsidRDefault="001E196D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</w:p>
    <w:p w:rsidR="001E196D" w:rsidRDefault="001E196D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  <w:sectPr w:rsidR="001E196D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1E196D" w:rsidRDefault="00DB328E">
      <w:pPr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方正仿宋_GBK" w:eastAsia="方正仿宋_GBK"/>
          <w:noProof/>
          <w:sz w:val="30"/>
          <w:szCs w:val="30"/>
        </w:rPr>
        <w:lastRenderedPageBreak/>
        <w:drawing>
          <wp:inline distT="0" distB="0" distL="0" distR="0">
            <wp:extent cx="4319905" cy="6443345"/>
            <wp:effectExtent l="0" t="0" r="4445" b="0"/>
            <wp:docPr id="1" name="图片 1" descr="C:\Users\asus\Downloads\萃取前后对比改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sus\Downloads\萃取前后对比改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732" t="14207" r="25585" b="3552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644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96D" w:rsidRDefault="00DB328E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Fig. S2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Scanning electron microscopy (SEM) images of leaf-derived hydrochars before and after acetone extraction. CL-H, LL-H, PL-H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,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and PN-H represent untreated hydrochar derived from corn leaves, lotus leaves, palm leaves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,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and pine needles, respectively; the suffix -ex denotes the corresponding hydrochar sample after acetone extraction.</w:t>
      </w:r>
    </w:p>
    <w:p w:rsidR="001E196D" w:rsidRDefault="00DB328E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599815" cy="2660015"/>
            <wp:effectExtent l="0" t="0" r="635" b="6985"/>
            <wp:docPr id="2" name="图片 2" descr="C:\Users\asus\AppData\Local\Packages\Microsoft.Windows.Photos_8wekyb3d8bbwe\TempState\ShareServiceTempFolder\幻灯片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sus\AppData\Local\Packages\Microsoft.Windows.Photos_8wekyb3d8bbwe\TempState\ShareServiceTempFolder\幻灯片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725" t="60719" r="33684" b="2107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6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96D" w:rsidRDefault="00DB328E">
      <w:pPr>
        <w:spacing w:line="480" w:lineRule="auto"/>
        <w:jc w:val="left"/>
        <w:rPr>
          <w:rFonts w:ascii="Times New Roman" w:eastAsia="宋体" w:hAnsi="Times New Roman" w:cs="Times New Roman"/>
          <w:bCs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S3</w:t>
      </w:r>
      <w:r>
        <w:rPr>
          <w:rFonts w:ascii="Times New Roman" w:hAnsi="Times New Roman" w:cs="Times New Roman"/>
          <w:sz w:val="24"/>
          <w:szCs w:val="24"/>
        </w:rPr>
        <w:t xml:space="preserve"> Contact angle of hydrochar derived from different biomass before and after acetone extraction. CE, CL, LL, PL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PN represent cellulose, corn leaves, lotus leaves, palm leaves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pine needle biomass, respectively. Hydrochar stands for unextracted hydrochar, and Hydrochar-ex stands for acetone-extracted hydrochar. A–E show contact angles of different raw biomass materials; a–d show contact angles of various unextracted hydrochar samples; I–V show contact angles of hydrochars after acetone extraction. ** means a significant difference at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 0.01, and ns means no significant difference, when comparing contact angles between raw biomass and matching hydrochars, and between hydrochars before and after acetone extraction.</w:t>
      </w:r>
    </w:p>
    <w:p w:rsidR="001E196D" w:rsidRDefault="001E196D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  <w:sectPr w:rsidR="001E196D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bookmarkEnd w:id="6"/>
    <w:p w:rsidR="001E196D" w:rsidRDefault="00DB328E">
      <w:pPr>
        <w:pStyle w:val="a8"/>
        <w:spacing w:line="240" w:lineRule="auto"/>
        <w:ind w:firstLineChars="0" w:firstLine="0"/>
        <w:jc w:val="center"/>
        <w:rPr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lastRenderedPageBreak/>
        <w:drawing>
          <wp:inline distT="0" distB="0" distL="0" distR="0">
            <wp:extent cx="3239770" cy="2319655"/>
            <wp:effectExtent l="0" t="0" r="0" b="4445"/>
            <wp:docPr id="6" name="图片 6" descr="C:\Users\asus\AppData\Local\Packages\Microsoft.Windows.Photos_8wekyb3d8bbwe\TempState\ShareServiceTempFolder\Graph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sus\AppData\Local\Packages\Microsoft.Windows.Photos_8wekyb3d8bbwe\TempState\ShareServiceTempFolder\Graph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64" t="6916" r="4029" b="9147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31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96D" w:rsidRDefault="001E196D">
      <w:pPr>
        <w:pStyle w:val="a8"/>
        <w:spacing w:line="240" w:lineRule="auto"/>
        <w:ind w:firstLineChars="0" w:firstLine="0"/>
        <w:jc w:val="center"/>
        <w:rPr>
          <w:kern w:val="0"/>
          <w:sz w:val="24"/>
        </w:rPr>
      </w:pPr>
    </w:p>
    <w:p w:rsidR="001E196D" w:rsidRDefault="001E196D">
      <w:pPr>
        <w:pStyle w:val="a8"/>
        <w:spacing w:line="240" w:lineRule="auto"/>
        <w:ind w:firstLineChars="0" w:firstLine="0"/>
        <w:jc w:val="center"/>
        <w:rPr>
          <w:kern w:val="0"/>
          <w:sz w:val="24"/>
        </w:rPr>
      </w:pPr>
    </w:p>
    <w:p w:rsidR="001E196D" w:rsidRDefault="00DB328E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Fig. S4</w:t>
      </w:r>
      <w:r>
        <w:rPr>
          <w:rFonts w:ascii="Times New Roman" w:eastAsia="宋体" w:hAnsi="Times New Roman" w:cs="Times New Roman"/>
          <w:sz w:val="24"/>
        </w:rPr>
        <w:t xml:space="preserve"> H/C and O/C atomic ratios of acetone extraction products of different hydrochar</w:t>
      </w:r>
      <w:r>
        <w:rPr>
          <w:rFonts w:ascii="Times New Roman" w:eastAsia="宋体" w:hAnsi="Times New Roman" w:cs="Times New Roman" w:hint="eastAsia"/>
          <w:sz w:val="24"/>
        </w:rPr>
        <w:t>s</w:t>
      </w:r>
      <w:r>
        <w:rPr>
          <w:rFonts w:ascii="Times New Roman" w:eastAsia="宋体" w:hAnsi="Times New Roman" w:cs="Times New Roman"/>
          <w:sz w:val="24"/>
        </w:rPr>
        <w:t>. CE-H, CL-H, LL-H, PL-H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PN-H represent hydrochar derived from cellulose, corn leaves, lotus leaves, palm leaves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pine needles, respectively.</w:t>
      </w:r>
    </w:p>
    <w:p w:rsidR="001E196D" w:rsidRDefault="001E196D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</w:p>
    <w:p w:rsidR="001E196D" w:rsidRDefault="00DB328E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:rsidR="001E196D" w:rsidRDefault="00DB328E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19700" cy="3980180"/>
            <wp:effectExtent l="0" t="0" r="0" b="1270"/>
            <wp:docPr id="7" name="图片 7" descr="C:\Users\asus\AppData\Local\Packages\Microsoft.Windows.Photos_8wekyb3d8bbwe\TempState\ShareServiceTempFolder\幻灯片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sus\AppData\Local\Packages\Microsoft.Windows.Photos_8wekyb3d8bbwe\TempState\ShareServiceTempFolder\幻灯片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06" t="5598" r="7224" b="47573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98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96D" w:rsidRDefault="00DB328E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S5</w:t>
      </w:r>
      <w:r>
        <w:rPr>
          <w:rFonts w:ascii="Times New Roman" w:hAnsi="Times New Roman" w:cs="Times New Roman"/>
          <w:sz w:val="24"/>
          <w:szCs w:val="24"/>
        </w:rPr>
        <w:t xml:space="preserve"> Thermal decomposition and kinetic fitting curves of typical leaf-derived hydrochar before and after acetone extraction. </w:t>
      </w:r>
      <w:r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TG (thermogravimetry) curves;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DTG (derivative thermogravimetry) curves; </w:t>
      </w:r>
      <w:r>
        <w:rPr>
          <w:rFonts w:ascii="Times New Roman" w:hAnsi="Times New Roman" w:cs="Times New Roman"/>
          <w:b/>
          <w:bCs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 fractional conversion curves, where α denotes fractional conversion;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(d) </w:t>
      </w:r>
      <w:r>
        <w:rPr>
          <w:rFonts w:ascii="Times New Roman" w:hAnsi="Times New Roman" w:cs="Times New Roman"/>
          <w:sz w:val="24"/>
          <w:szCs w:val="24"/>
        </w:rPr>
        <w:t xml:space="preserve">Coats–Redfern kinetic fitting plots. In subgraph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>, g(</w:t>
      </w:r>
      <w:r>
        <w:rPr>
          <w:rFonts w:ascii="Times New Roman" w:hAnsi="Times New Roman" w:cs="Times New Roman"/>
          <w:i/>
          <w:sz w:val="24"/>
          <w:szCs w:val="24"/>
        </w:rPr>
        <w:t>α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α</w:t>
      </w:r>
      <w:r>
        <w:rPr>
          <w:rFonts w:ascii="Times New Roman" w:hAnsi="Times New Roman" w:cs="Times New Roman"/>
          <w:sz w:val="24"/>
          <w:szCs w:val="24"/>
        </w:rPr>
        <w:t xml:space="preserve">², and T represents absolute temperature. For linear fitting in subgraph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refers to the slope of fitted lines, </w:t>
      </w:r>
      <w:r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refers to the intercept, and 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² represents the coefficient of determination. PL-H stands for unextracted palm leaf hydrochar, and PL-H-ex stands for acetone-extracted palm leaf hydrochar.</w:t>
      </w:r>
    </w:p>
    <w:p w:rsidR="001E196D" w:rsidRDefault="001E196D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  <w:sectPr w:rsidR="001E196D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1E196D" w:rsidRDefault="00DB328E">
      <w:pPr>
        <w:pStyle w:val="-"/>
        <w:spacing w:line="360" w:lineRule="auto"/>
        <w:jc w:val="center"/>
        <w:rPr>
          <w:color w:val="auto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307080" cy="2880360"/>
            <wp:effectExtent l="0" t="0" r="7620" b="0"/>
            <wp:docPr id="3865499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549953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96D" w:rsidRDefault="00DB328E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Fig. S6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Principal component analysis (PCA) of carbon loss rate and aromaticity, specific surface area (SSA), and hydrophobic intensity of hydrophobic coating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</w:rPr>
        <w:t>PCA is short for principal component analysis, and SSA stands for specific surface area. CE-H, CL-H, LL-H, PL-H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PN-H represent hydrochar derived from cellulose, corn leaves, lotus leaves, palm leaves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pine needles, respectively.</w:t>
      </w:r>
    </w:p>
    <w:p w:rsidR="001E196D" w:rsidRDefault="001E196D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</w:p>
    <w:p w:rsidR="001E196D" w:rsidRDefault="001E196D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  <w:sectPr w:rsidR="001E196D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A50934" w:rsidRDefault="00A50934">
      <w:pPr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bookmarkStart w:id="8" w:name="OLE_LINK728"/>
      <w:bookmarkStart w:id="9" w:name="OLE_LINK729"/>
      <w:r w:rsidRPr="00A50934">
        <w:rPr>
          <w:rFonts w:ascii="Times New Roman" w:eastAsia="宋体" w:hAnsi="Times New Roman" w:cs="Times New Roman"/>
          <w:b/>
          <w:sz w:val="24"/>
          <w:szCs w:val="24"/>
        </w:rPr>
        <w:lastRenderedPageBreak/>
        <w:t>Text 1</w:t>
      </w:r>
    </w:p>
    <w:bookmarkEnd w:id="8"/>
    <w:bookmarkEnd w:id="9"/>
    <w:p w:rsidR="001E196D" w:rsidRDefault="00DB328E">
      <w:pPr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 xml:space="preserve">Python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c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ode for </w:t>
      </w:r>
      <w:r w:rsidR="00A40C42">
        <w:rPr>
          <w:rFonts w:ascii="Times New Roman" w:eastAsia="宋体" w:hAnsi="Times New Roman" w:cs="Times New Roman" w:hint="eastAsia"/>
          <w:b/>
          <w:sz w:val="24"/>
          <w:szCs w:val="24"/>
        </w:rPr>
        <w:t>c</w:t>
      </w:r>
      <w:r w:rsidR="00A40C42">
        <w:rPr>
          <w:rFonts w:ascii="Times New Roman" w:eastAsia="宋体" w:hAnsi="Times New Roman" w:cs="Times New Roman"/>
          <w:b/>
          <w:sz w:val="24"/>
          <w:szCs w:val="24"/>
        </w:rPr>
        <w:t>oats</w:t>
      </w:r>
      <w:r>
        <w:rPr>
          <w:rFonts w:ascii="Times New Roman" w:eastAsia="宋体" w:hAnsi="Times New Roman" w:cs="Times New Roman"/>
          <w:b/>
          <w:sz w:val="24"/>
          <w:szCs w:val="24"/>
        </w:rPr>
        <w:t>–</w:t>
      </w:r>
      <w:r w:rsidR="00A40C42">
        <w:rPr>
          <w:rFonts w:ascii="Times New Roman" w:eastAsia="宋体" w:hAnsi="Times New Roman" w:cs="Times New Roman" w:hint="eastAsia"/>
          <w:b/>
          <w:sz w:val="24"/>
          <w:szCs w:val="24"/>
        </w:rPr>
        <w:t>r</w:t>
      </w:r>
      <w:r w:rsidR="00A40C42">
        <w:rPr>
          <w:rFonts w:ascii="Times New Roman" w:eastAsia="宋体" w:hAnsi="Times New Roman" w:cs="Times New Roman"/>
          <w:b/>
          <w:sz w:val="24"/>
          <w:szCs w:val="24"/>
        </w:rPr>
        <w:t xml:space="preserve">edfern </w:t>
      </w:r>
      <w:r w:rsidR="00A40C42">
        <w:rPr>
          <w:rFonts w:ascii="Times New Roman" w:eastAsia="宋体" w:hAnsi="Times New Roman" w:cs="Times New Roman" w:hint="eastAsia"/>
          <w:b/>
          <w:sz w:val="24"/>
          <w:szCs w:val="24"/>
        </w:rPr>
        <w:t>k</w:t>
      </w:r>
      <w:r w:rsidR="00A40C42">
        <w:rPr>
          <w:rFonts w:ascii="Times New Roman" w:eastAsia="宋体" w:hAnsi="Times New Roman" w:cs="Times New Roman"/>
          <w:b/>
          <w:sz w:val="24"/>
          <w:szCs w:val="24"/>
        </w:rPr>
        <w:t xml:space="preserve">inetic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c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alculation of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h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ydrochar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t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hermal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d</w:t>
      </w:r>
      <w:r>
        <w:rPr>
          <w:rFonts w:ascii="Times New Roman" w:eastAsia="宋体" w:hAnsi="Times New Roman" w:cs="Times New Roman"/>
          <w:b/>
          <w:sz w:val="24"/>
          <w:szCs w:val="24"/>
        </w:rPr>
        <w:t>ecomposition</w:t>
      </w:r>
    </w:p>
    <w:p w:rsidR="001E196D" w:rsidRDefault="00DB328E">
      <w:pPr>
        <w:spacing w:line="480" w:lineRule="auto"/>
        <w:ind w:firstLineChars="200" w:firstLine="480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sz w:val="24"/>
          <w:szCs w:val="24"/>
        </w:rPr>
        <w:t>This Python script implements the Coats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Redfern integral method for thermal decomposition kinetic analysis of the typical hydrochar sample PL-H. The supporting Excel file storing data for PL-H contains only two columns: the first column is temperature in </w:t>
      </w:r>
      <w:r>
        <w:rPr>
          <w:rFonts w:ascii="Times New Roman" w:hAnsi="Times New Roman"/>
          <w:sz w:val="24"/>
        </w:rPr>
        <w:t>°C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with the header name </w:t>
      </w:r>
      <w:r>
        <w:rPr>
          <w:rFonts w:ascii="Times New Roman" w:eastAsia="宋体" w:hAnsi="Times New Roman" w:cs="Times New Roman"/>
          <w:bCs/>
          <w:sz w:val="24"/>
          <w:szCs w:val="24"/>
        </w:rPr>
        <w:t>“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Temp</w:t>
      </w:r>
      <w:r>
        <w:rPr>
          <w:rFonts w:ascii="Times New Roman" w:eastAsia="宋体" w:hAnsi="Times New Roman" w:cs="Times New Roman"/>
          <w:bCs/>
          <w:sz w:val="24"/>
          <w:szCs w:val="24"/>
        </w:rPr>
        <w:t>”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and the second column refers to conversion degree </w:t>
      </w:r>
      <w:r>
        <w:rPr>
          <w:rFonts w:ascii="Times New Roman" w:hAnsi="Times New Roman"/>
          <w:i/>
          <w:iCs/>
          <w:sz w:val="24"/>
        </w:rPr>
        <w:t>α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with the header name </w:t>
      </w:r>
      <w:r>
        <w:rPr>
          <w:rFonts w:ascii="Times New Roman" w:eastAsia="宋体" w:hAnsi="Times New Roman" w:cs="Times New Roman"/>
          <w:bCs/>
          <w:sz w:val="24"/>
          <w:szCs w:val="24"/>
        </w:rPr>
        <w:t>“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Degree</w:t>
      </w:r>
      <w:r>
        <w:rPr>
          <w:rFonts w:ascii="Times New Roman" w:eastAsia="宋体" w:hAnsi="Times New Roman" w:cs="Times New Roman"/>
          <w:bCs/>
          <w:sz w:val="24"/>
          <w:szCs w:val="24"/>
        </w:rPr>
        <w:t>”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All calculations are strictly restricted within the fractional conversion range of </w:t>
      </w:r>
      <w:r>
        <w:rPr>
          <w:rFonts w:ascii="Times New Roman" w:hAnsi="Times New Roman"/>
          <w:i/>
          <w:iCs/>
          <w:sz w:val="24"/>
        </w:rPr>
        <w:t>α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= 0.2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宋体" w:hAnsi="Times New Roman" w:cs="Times New Roman"/>
          <w:bCs/>
          <w:sz w:val="24"/>
          <w:szCs w:val="24"/>
        </w:rPr>
        <w:t>0.8, and activation energy is uniformly calculated with the unit of J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/</w:t>
      </w:r>
      <w:r>
        <w:rPr>
          <w:rFonts w:ascii="Times New Roman" w:eastAsia="宋体" w:hAnsi="Times New Roman" w:cs="Times New Roman"/>
          <w:bCs/>
          <w:sz w:val="24"/>
          <w:szCs w:val="24"/>
        </w:rPr>
        <w:t>mol to prevent unit mismatch errors described in the manuscript.</w:t>
      </w:r>
      <w:bookmarkStart w:id="10" w:name="OLE_LINK42"/>
    </w:p>
    <w:p w:rsidR="001E196D" w:rsidRDefault="00DB328E">
      <w:pPr>
        <w:spacing w:line="480" w:lineRule="auto"/>
        <w:ind w:firstLineChars="200" w:firstLine="480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sz w:val="24"/>
          <w:szCs w:val="24"/>
        </w:rPr>
        <w:t>This script automatically executes linear regression fitting for multiple classical solid-state reaction kinetic models</w:t>
      </w:r>
      <w:bookmarkEnd w:id="10"/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</w:rPr>
        <w:t xml:space="preserve">In addition to the final kinetic fitting results (i.e., </w:t>
      </w:r>
      <w:r>
        <w:rPr>
          <w:rFonts w:ascii="Times New Roman" w:eastAsia="宋体" w:hAnsi="Times New Roman" w:cs="Times New Roman"/>
          <w:i/>
          <w:iCs/>
          <w:color w:val="000000"/>
          <w:sz w:val="24"/>
        </w:rPr>
        <w:t>R</w:t>
      </w:r>
      <w:r>
        <w:rPr>
          <w:rFonts w:ascii="Times New Roman" w:eastAsia="宋体" w:hAnsi="Times New Roman" w:cs="Times New Roman"/>
          <w:color w:val="000000"/>
          <w:sz w:val="24"/>
        </w:rPr>
        <w:t>²</w:t>
      </w:r>
      <w:r>
        <w:rPr>
          <w:rFonts w:ascii="Times New Roman" w:eastAsia="宋体" w:hAnsi="Times New Roman" w:cs="Times New Roman"/>
          <w:sz w:val="24"/>
        </w:rPr>
        <w:t xml:space="preserve">, </w:t>
      </w:r>
      <w:r>
        <w:rPr>
          <w:rFonts w:ascii="Times New Roman" w:eastAsia="宋体" w:hAnsi="Times New Roman" w:cs="Times New Roman"/>
          <w:i/>
          <w:iCs/>
          <w:sz w:val="24"/>
        </w:rPr>
        <w:t>E</w:t>
      </w:r>
      <w:r>
        <w:rPr>
          <w:rFonts w:ascii="Times New Roman" w:eastAsia="宋体" w:hAnsi="Times New Roman" w:cs="Times New Roman"/>
          <w:sz w:val="24"/>
        </w:rPr>
        <w:t xml:space="preserve">, and </w:t>
      </w:r>
      <w:r>
        <w:rPr>
          <w:rFonts w:ascii="Times New Roman" w:eastAsia="宋体" w:hAnsi="Times New Roman" w:cs="Times New Roman"/>
          <w:i/>
          <w:iCs/>
          <w:sz w:val="24"/>
        </w:rPr>
        <w:t>A</w:t>
      </w:r>
      <w:r>
        <w:rPr>
          <w:rFonts w:ascii="Times New Roman" w:eastAsia="宋体" w:hAnsi="Times New Roman" w:cs="Times New Roman"/>
          <w:sz w:val="24"/>
        </w:rPr>
        <w:t>), this code also calculates and outputs the original independent variable (</w:t>
      </w:r>
      <w:r>
        <w:rPr>
          <w:rFonts w:ascii="Times New Roman" w:eastAsia="宋体" w:hAnsi="Times New Roman" w:cs="Times New Roman"/>
          <w:i/>
          <w:iCs/>
          <w:sz w:val="24"/>
        </w:rPr>
        <w:t>x</w:t>
      </w:r>
      <w:r>
        <w:rPr>
          <w:rFonts w:ascii="Times New Roman" w:eastAsia="宋体" w:hAnsi="Times New Roman" w:cs="Times New Roman"/>
          <w:sz w:val="24"/>
        </w:rPr>
        <w:t>=1/</w:t>
      </w:r>
      <w:r>
        <w:rPr>
          <w:rFonts w:ascii="Times New Roman" w:eastAsia="宋体" w:hAnsi="Times New Roman" w:cs="Times New Roman"/>
          <w:i/>
          <w:iCs/>
          <w:sz w:val="24"/>
        </w:rPr>
        <w:t>T</w:t>
      </w:r>
      <w:r>
        <w:rPr>
          <w:rFonts w:ascii="Times New Roman" w:eastAsia="宋体" w:hAnsi="Times New Roman" w:cs="Times New Roman"/>
          <w:sz w:val="24"/>
        </w:rPr>
        <w:t xml:space="preserve">), </w:t>
      </w:r>
      <w:bookmarkStart w:id="11" w:name="OLE_LINK52"/>
      <w:r>
        <w:rPr>
          <w:rFonts w:ascii="Times New Roman" w:eastAsia="宋体" w:hAnsi="Times New Roman" w:cs="Times New Roman"/>
          <w:sz w:val="24"/>
        </w:rPr>
        <w:t>original experimental dependent variable (</w:t>
      </w:r>
      <w:r>
        <w:rPr>
          <w:rFonts w:ascii="Times New Roman" w:eastAsia="宋体" w:hAnsi="Times New Roman" w:cs="Times New Roman"/>
          <w:i/>
          <w:iCs/>
          <w:sz w:val="24"/>
        </w:rPr>
        <w:t>y</w:t>
      </w:r>
      <w:r>
        <w:rPr>
          <w:rFonts w:ascii="Times New Roman" w:eastAsia="宋体" w:hAnsi="Times New Roman" w:cs="Times New Roman"/>
          <w:sz w:val="24"/>
        </w:rPr>
        <w:t>= ln[g(</w:t>
      </w:r>
      <w:r>
        <w:rPr>
          <w:rFonts w:ascii="Times New Roman" w:eastAsia="宋体" w:hAnsi="Times New Roman" w:cs="Times New Roman"/>
          <w:i/>
          <w:iCs/>
          <w:sz w:val="24"/>
        </w:rPr>
        <w:t>α</w:t>
      </w:r>
      <w:r>
        <w:rPr>
          <w:rFonts w:ascii="Times New Roman" w:eastAsia="宋体" w:hAnsi="Times New Roman" w:cs="Times New Roman"/>
          <w:sz w:val="24"/>
        </w:rPr>
        <w:t>)/</w:t>
      </w:r>
      <w:r>
        <w:rPr>
          <w:rFonts w:ascii="Times New Roman" w:eastAsia="宋体" w:hAnsi="Times New Roman" w:cs="Times New Roman"/>
          <w:i/>
          <w:iCs/>
          <w:sz w:val="24"/>
        </w:rPr>
        <w:t>T</w:t>
      </w:r>
      <w:r>
        <w:rPr>
          <w:rFonts w:ascii="Times New Roman" w:eastAsia="宋体" w:hAnsi="Times New Roman" w:cs="Times New Roman"/>
          <w:color w:val="000000"/>
          <w:sz w:val="24"/>
          <w:vertAlign w:val="superscript"/>
        </w:rPr>
        <w:t>2</w:t>
      </w:r>
      <w:r>
        <w:rPr>
          <w:rFonts w:ascii="Times New Roman" w:eastAsia="宋体" w:hAnsi="Times New Roman" w:cs="Times New Roman"/>
          <w:sz w:val="24"/>
        </w:rPr>
        <w:t xml:space="preserve">]), and model-fitted theoretical </w:t>
      </w:r>
      <w:r>
        <w:rPr>
          <w:rFonts w:ascii="Times New Roman" w:eastAsia="宋体" w:hAnsi="Times New Roman" w:cs="Times New Roman"/>
          <w:i/>
          <w:iCs/>
          <w:sz w:val="24"/>
        </w:rPr>
        <w:t>y</w:t>
      </w:r>
      <w:r>
        <w:rPr>
          <w:rFonts w:ascii="Times New Roman" w:eastAsia="宋体" w:hAnsi="Times New Roman" w:cs="Times New Roman"/>
          <w:sz w:val="24"/>
        </w:rPr>
        <w:t xml:space="preserve"> value for each reaction model. </w:t>
      </w:r>
      <w:bookmarkEnd w:id="11"/>
      <w:r>
        <w:rPr>
          <w:rFonts w:ascii="Times New Roman" w:eastAsia="宋体" w:hAnsi="Times New Roman" w:cs="Times New Roman"/>
          <w:sz w:val="24"/>
        </w:rPr>
        <w:t>This one-to-one correspondence of experimental and theoretical data facilitates intuitive comparison, verification of fitting accuracy, and in-depth analysis of fitting deviation. Finally, the script exports a complete collation table containing all raw data and kinetic parameters for all fitted models, which enables the selection of the optimal fitting model with the highest coefficient of determination (</w:t>
      </w:r>
      <w:r>
        <w:rPr>
          <w:rFonts w:ascii="Times New Roman" w:eastAsia="宋体" w:hAnsi="Times New Roman" w:cs="Times New Roman"/>
          <w:i/>
          <w:iCs/>
          <w:sz w:val="24"/>
        </w:rPr>
        <w:t>R</w:t>
      </w:r>
      <w:r>
        <w:rPr>
          <w:rFonts w:ascii="Times New Roman" w:eastAsia="宋体" w:hAnsi="Times New Roman" w:cs="Times New Roman"/>
          <w:sz w:val="24"/>
        </w:rPr>
        <w:t>²).</w:t>
      </w:r>
    </w:p>
    <w:p w:rsidR="001E196D" w:rsidRDefault="00DB32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color w:val="385623" w:themeColor="accent6" w:themeShade="80"/>
        </w:rPr>
        <w:t>"""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Thermal Pyrolysis Kinetic Analysis Code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lastRenderedPageBreak/>
        <w:t>Method: Coats-Redfern integral method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Applicable for kinetic parameter calculation of solid pyrolysis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Main Parameters &amp; Units: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1. Universal gas constant R = 8.314 J/(mol·K)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2. Heating rate β = 10 K/min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3. Activation Energy E: unit = J/mol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4. Pre-exponential factor A: unit = min⁻¹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5. Temperature: Original data is Celsius (°C), converted to Kelvin (K) for calculation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6. Conversion degree α: range filtered as 0.2 &lt; α &lt; 0.8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Calculation Formula (Coats-Redfern):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ln[g(α) / T²] = ln(AR/(βE)) - E/(RT)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- Independent variable x = 1/T (K⁻¹)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- Dependent variable y = ln[g(α) / T²]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- Slope = -E/R  →  E = -Slope × R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- Intercept = ln(AR/(βE))  →  A = (β * E / R) * exp(Intercept)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Output Files: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1. Kinetic_Analysis_Results.xlsx: Summary of regression and kinetic parameters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2. XY_Data_for_Plotting.xlsx: X, original Y and fitted Y for plotting (1 sheet per model)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  <w:t>"""</w:t>
      </w:r>
      <w:r>
        <w:rPr>
          <w:rFonts w:ascii="Times New Roman" w:hAnsi="Times New Roman" w:cs="Times New Roman"/>
          <w:i/>
          <w:iCs/>
          <w:color w:val="385623" w:themeColor="accent6" w:themeShade="80"/>
        </w:rPr>
        <w:br/>
      </w:r>
      <w:r>
        <w:rPr>
          <w:rFonts w:ascii="Times New Roman" w:hAnsi="Times New Roman" w:cs="Times New Roman"/>
          <w:i/>
          <w:iCs/>
        </w:rPr>
        <w:br/>
      </w:r>
      <w:r>
        <w:rPr>
          <w:rFonts w:ascii="Times New Roman" w:hAnsi="Times New Roman" w:cs="Times New Roman"/>
        </w:rPr>
        <w:t>import pandas as pd</w:t>
      </w:r>
      <w:r>
        <w:rPr>
          <w:rFonts w:ascii="Times New Roman" w:hAnsi="Times New Roman" w:cs="Times New Roman"/>
        </w:rPr>
        <w:br/>
        <w:t>import numpy as np</w:t>
      </w:r>
      <w:r>
        <w:rPr>
          <w:rFonts w:ascii="Times New Roman" w:hAnsi="Times New Roman" w:cs="Times New Roman"/>
        </w:rPr>
        <w:br/>
        <w:t>from sklearn.linear_model import LinearRegression</w:t>
      </w:r>
      <w:r>
        <w:rPr>
          <w:rFonts w:ascii="Times New Roman" w:hAnsi="Times New Roman" w:cs="Times New Roman"/>
        </w:rPr>
        <w:br/>
        <w:t>from sklearn.metrics import r2_score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#====== Basic Physical &amp; Experimental Parameters ======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R = 8.314  </w:t>
      </w:r>
      <w:r>
        <w:rPr>
          <w:rFonts w:ascii="Times New Roman" w:hAnsi="Times New Roman" w:cs="Times New Roman"/>
          <w:color w:val="808080" w:themeColor="background1" w:themeShade="80"/>
        </w:rPr>
        <w:t># Universal gas constant, J/(mol·K)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BETA = 10  </w:t>
      </w:r>
      <w:r>
        <w:rPr>
          <w:rFonts w:ascii="Times New Roman" w:hAnsi="Times New Roman" w:cs="Times New Roman"/>
          <w:color w:val="808080" w:themeColor="background1" w:themeShade="80"/>
        </w:rPr>
        <w:t># Heating rate, K/min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====== File Path Configuration ======</w:t>
      </w:r>
      <w:r>
        <w:rPr>
          <w:rFonts w:ascii="Times New Roman" w:hAnsi="Times New Roman" w:cs="Times New Roman"/>
          <w:color w:val="808080" w:themeColor="background1" w:themeShade="80"/>
        </w:rPr>
        <w:br/>
        <w:t># Input raw data (modify the path according to your local file)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>input_file = r"E:/Kinetic-Analysis/PL-H.xlsx"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Output 1: Summary table of kinetic parameters (single sheet)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>summary_result_file = r"E:/Kinetic-Analysis/Results_PL-H.xlsx"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Output 2: Data for plotting (15 sheets, one sheet for each kinetic model)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>plot_data_file = r"E:/Kinetic-Analysis/XY_Data_for_Plotting_PL-H.xlsx"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====== Read Raw Data &amp; Data Filtering======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>df_raw = pd.read_excel(input_file, sheet_name="Sheet1")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Filter data: 0.2 &lt; Conversion degree (Degree) &lt; 0.8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lastRenderedPageBreak/>
        <w:t>df_filtered = df_raw[(df_raw["Degree"] &gt; 0.2) &amp; (df_raw["Degree"] &lt; 0.8)].copy()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Extract variables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T_celsius = df_filtered["Temp"].values  </w:t>
      </w:r>
      <w:r>
        <w:rPr>
          <w:rFonts w:ascii="Times New Roman" w:hAnsi="Times New Roman" w:cs="Times New Roman"/>
          <w:color w:val="808080" w:themeColor="background1" w:themeShade="80"/>
        </w:rPr>
        <w:t># Temperature (°C)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alpha = df_filtered["Degree"].values  </w:t>
      </w:r>
      <w:r>
        <w:rPr>
          <w:rFonts w:ascii="Times New Roman" w:hAnsi="Times New Roman" w:cs="Times New Roman"/>
          <w:color w:val="808080" w:themeColor="background1" w:themeShade="80"/>
        </w:rPr>
        <w:t># Conversion degree α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T_kelvin = T_celsius + 273.15  </w:t>
      </w:r>
      <w:r>
        <w:rPr>
          <w:rFonts w:ascii="Times New Roman" w:hAnsi="Times New Roman" w:cs="Times New Roman"/>
          <w:color w:val="808080" w:themeColor="background1" w:themeShade="80"/>
        </w:rPr>
        <w:t># Convert to Kelvin (K)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====== Define 15 Kinetics Functions g(α) ======</w:t>
      </w:r>
      <w:r>
        <w:rPr>
          <w:rFonts w:ascii="Times New Roman" w:hAnsi="Times New Roman" w:cs="Times New Roman"/>
          <w:color w:val="808080" w:themeColor="background1" w:themeShade="80"/>
        </w:rPr>
        <w:br/>
        <w:t># Add 1e-8 to avoid log(0) and division by zero errors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>g1 = -np.log(1 - alpha + 1e-8)</w:t>
      </w:r>
      <w:r>
        <w:rPr>
          <w:rFonts w:ascii="Times New Roman" w:hAnsi="Times New Roman" w:cs="Times New Roman"/>
        </w:rPr>
        <w:br/>
        <w:t>g2 = (1 - alpha) ** (-1) - 1</w:t>
      </w:r>
      <w:r>
        <w:rPr>
          <w:rFonts w:ascii="Times New Roman" w:hAnsi="Times New Roman" w:cs="Times New Roman"/>
        </w:rPr>
        <w:br/>
        <w:t>g3 = ((1 - alpha) ** (-2) - 1) / 2</w:t>
      </w:r>
      <w:r>
        <w:rPr>
          <w:rFonts w:ascii="Times New Roman" w:hAnsi="Times New Roman" w:cs="Times New Roman"/>
        </w:rPr>
        <w:br/>
        <w:t>g4 = alpha ** 2</w:t>
      </w:r>
      <w:r>
        <w:rPr>
          <w:rFonts w:ascii="Times New Roman" w:hAnsi="Times New Roman" w:cs="Times New Roman"/>
        </w:rPr>
        <w:br/>
        <w:t>g5 = (1 - alpha) * np.log(1 - alpha + 1e-8) + alpha</w:t>
      </w:r>
      <w:r>
        <w:rPr>
          <w:rFonts w:ascii="Times New Roman" w:hAnsi="Times New Roman" w:cs="Times New Roman"/>
        </w:rPr>
        <w:br/>
        <w:t>g6 = (1 - (1 - alpha) ** (1 / 3)) ** 2</w:t>
      </w:r>
      <w:r>
        <w:rPr>
          <w:rFonts w:ascii="Times New Roman" w:hAnsi="Times New Roman" w:cs="Times New Roman"/>
        </w:rPr>
        <w:br/>
        <w:t>g7 = (1 - 2 * alpha / 3) - (1 - alpha) ** (2 / 3)</w:t>
      </w:r>
      <w:r>
        <w:rPr>
          <w:rFonts w:ascii="Times New Roman" w:hAnsi="Times New Roman" w:cs="Times New Roman"/>
        </w:rPr>
        <w:br/>
        <w:t>g8 = alpha</w:t>
      </w:r>
      <w:r>
        <w:rPr>
          <w:rFonts w:ascii="Times New Roman" w:hAnsi="Times New Roman" w:cs="Times New Roman"/>
        </w:rPr>
        <w:br/>
        <w:t>g9 = 1 - (1 - alpha) ** (1 / 2)</w:t>
      </w:r>
      <w:r>
        <w:rPr>
          <w:rFonts w:ascii="Times New Roman" w:hAnsi="Times New Roman" w:cs="Times New Roman"/>
        </w:rPr>
        <w:br/>
        <w:t>g10 = 1 - (1 - alpha) ** (1 / 3)</w:t>
      </w:r>
      <w:r>
        <w:rPr>
          <w:rFonts w:ascii="Times New Roman" w:hAnsi="Times New Roman" w:cs="Times New Roman"/>
        </w:rPr>
        <w:br/>
        <w:t>g11 = (-np.log(1 - alpha + 1e-8)) ** (1 / 2)</w:t>
      </w:r>
      <w:r>
        <w:rPr>
          <w:rFonts w:ascii="Times New Roman" w:hAnsi="Times New Roman" w:cs="Times New Roman"/>
        </w:rPr>
        <w:br/>
        <w:t>g12 = (-np.log(1 - alpha + 1e-8)) ** (1 / 3)</w:t>
      </w:r>
      <w:r>
        <w:rPr>
          <w:rFonts w:ascii="Times New Roman" w:hAnsi="Times New Roman" w:cs="Times New Roman"/>
        </w:rPr>
        <w:br/>
        <w:t>g13 = alpha ** (1 / 2)</w:t>
      </w:r>
      <w:r>
        <w:rPr>
          <w:rFonts w:ascii="Times New Roman" w:hAnsi="Times New Roman" w:cs="Times New Roman"/>
        </w:rPr>
        <w:br/>
        <w:t>g14 = alpha ** (1 / 3)</w:t>
      </w:r>
      <w:r>
        <w:rPr>
          <w:rFonts w:ascii="Times New Roman" w:hAnsi="Times New Roman" w:cs="Times New Roman"/>
        </w:rPr>
        <w:br/>
        <w:t>g15 = alpha ** (1 / 4)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Store kinetic functions and their mathematical expressions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>g_function_list = [g1, g2, g3, g4, g5, g6, g7, g8, g9, g10, g11, g12, g13, g14, g15]</w:t>
      </w:r>
      <w:r>
        <w:rPr>
          <w:rFonts w:ascii="Times New Roman" w:hAnsi="Times New Roman" w:cs="Times New Roman"/>
        </w:rPr>
        <w:br/>
        <w:t>g_expression = [</w:t>
      </w:r>
      <w:r>
        <w:rPr>
          <w:rFonts w:ascii="Times New Roman" w:hAnsi="Times New Roman" w:cs="Times New Roman"/>
        </w:rPr>
        <w:br/>
        <w:t>"-ln(1-α)",</w:t>
      </w:r>
      <w:r>
        <w:rPr>
          <w:rFonts w:ascii="Times New Roman" w:hAnsi="Times New Roman" w:cs="Times New Roman"/>
        </w:rPr>
        <w:br/>
        <w:t>"(1-α)⁻¹-1",</w:t>
      </w:r>
      <w:r>
        <w:rPr>
          <w:rFonts w:ascii="Times New Roman" w:hAnsi="Times New Roman" w:cs="Times New Roman"/>
        </w:rPr>
        <w:br/>
        <w:t>"((1-α)⁻²-1)/2",</w:t>
      </w:r>
      <w:r>
        <w:rPr>
          <w:rFonts w:ascii="Times New Roman" w:hAnsi="Times New Roman" w:cs="Times New Roman"/>
        </w:rPr>
        <w:br/>
        <w:t>"α²",</w:t>
      </w:r>
      <w:r>
        <w:rPr>
          <w:rFonts w:ascii="Times New Roman" w:hAnsi="Times New Roman" w:cs="Times New Roman"/>
        </w:rPr>
        <w:br/>
        <w:t>"(1-α)ln(1-α)+α",</w:t>
      </w:r>
      <w:r>
        <w:rPr>
          <w:rFonts w:ascii="Times New Roman" w:hAnsi="Times New Roman" w:cs="Times New Roman"/>
        </w:rPr>
        <w:br/>
        <w:t>"(1-(1-α)^(1/3))²",</w:t>
      </w:r>
      <w:r>
        <w:rPr>
          <w:rFonts w:ascii="Times New Roman" w:hAnsi="Times New Roman" w:cs="Times New Roman"/>
        </w:rPr>
        <w:br/>
        <w:t>"(1-2α/3)-(1-α)^(2/3)",</w:t>
      </w:r>
      <w:r>
        <w:rPr>
          <w:rFonts w:ascii="Times New Roman" w:hAnsi="Times New Roman" w:cs="Times New Roman"/>
        </w:rPr>
        <w:br/>
        <w:t>"α",</w:t>
      </w:r>
      <w:r>
        <w:rPr>
          <w:rFonts w:ascii="Times New Roman" w:hAnsi="Times New Roman" w:cs="Times New Roman"/>
        </w:rPr>
        <w:br/>
        <w:t>"1-(1-α)^(1/2)",</w:t>
      </w:r>
      <w:r>
        <w:rPr>
          <w:rFonts w:ascii="Times New Roman" w:hAnsi="Times New Roman" w:cs="Times New Roman"/>
        </w:rPr>
        <w:br/>
        <w:t>"1-(1-α)^(1/3)",</w:t>
      </w:r>
      <w:r>
        <w:rPr>
          <w:rFonts w:ascii="Times New Roman" w:hAnsi="Times New Roman" w:cs="Times New Roman"/>
        </w:rPr>
        <w:br/>
        <w:t>"(-ln(1-α))^(1/2)",</w:t>
      </w:r>
      <w:r>
        <w:rPr>
          <w:rFonts w:ascii="Times New Roman" w:hAnsi="Times New Roman" w:cs="Times New Roman"/>
        </w:rPr>
        <w:br/>
        <w:t>"(-ln(1-α))^(1/3)",</w:t>
      </w:r>
      <w:r>
        <w:rPr>
          <w:rFonts w:ascii="Times New Roman" w:hAnsi="Times New Roman" w:cs="Times New Roman"/>
        </w:rPr>
        <w:br/>
        <w:t>"α^(1/2)",</w:t>
      </w:r>
      <w:r>
        <w:rPr>
          <w:rFonts w:ascii="Times New Roman" w:hAnsi="Times New Roman" w:cs="Times New Roman"/>
        </w:rPr>
        <w:br/>
        <w:t>"α^(1/3)",</w:t>
      </w:r>
      <w:r>
        <w:rPr>
          <w:rFonts w:ascii="Times New Roman" w:hAnsi="Times New Roman" w:cs="Times New Roman"/>
        </w:rPr>
        <w:br/>
        <w:t>"α^(1/4)"</w:t>
      </w:r>
      <w:r>
        <w:rPr>
          <w:rFonts w:ascii="Times New Roman" w:hAnsi="Times New Roman" w:cs="Times New Roman"/>
        </w:rPr>
        <w:br/>
        <w:t>]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br/>
      </w:r>
      <w:r>
        <w:rPr>
          <w:rFonts w:ascii="Times New Roman" w:hAnsi="Times New Roman" w:cs="Times New Roman"/>
          <w:color w:val="808080" w:themeColor="background1" w:themeShade="80"/>
        </w:rPr>
        <w:t># ====== Construct Independent Variable x ======</w:t>
      </w:r>
      <w:r>
        <w:rPr>
          <w:rFonts w:ascii="Times New Roman" w:hAnsi="Times New Roman" w:cs="Times New Roman"/>
          <w:color w:val="808080" w:themeColor="background1" w:themeShade="80"/>
        </w:rPr>
        <w:br/>
        <w:t># x = 1/T (K⁻¹), no multiplication by 1000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>x = 1 / T_kelvin</w:t>
      </w:r>
      <w:r>
        <w:rPr>
          <w:rFonts w:ascii="Times New Roman" w:hAnsi="Times New Roman" w:cs="Times New Roman"/>
        </w:rPr>
        <w:br/>
        <w:t xml:space="preserve">x_2d = x.reshape(-1, 1)  </w:t>
      </w:r>
      <w:r>
        <w:rPr>
          <w:rFonts w:ascii="Times New Roman" w:hAnsi="Times New Roman" w:cs="Times New Roman"/>
          <w:color w:val="808080" w:themeColor="background1" w:themeShade="80"/>
        </w:rPr>
        <w:t># 2D array for sklearn linear regression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x_1d = x.flatten()  </w:t>
      </w:r>
      <w:r>
        <w:rPr>
          <w:rFonts w:ascii="Times New Roman" w:hAnsi="Times New Roman" w:cs="Times New Roman"/>
          <w:color w:val="808080" w:themeColor="background1" w:themeShade="80"/>
        </w:rPr>
        <w:t># 1D array for writing to Excel table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====== Linear Regression &amp; Parameter Calculation ======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>summary_results = []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Create multi-sheet Excel file for plotting data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>with pd.ExcelWriter(plot_data_file, engine="openpyxl") as writer:</w:t>
      </w:r>
      <w:r>
        <w:rPr>
          <w:rFonts w:ascii="Times New Roman" w:hAnsi="Times New Roman" w:cs="Times New Roman"/>
        </w:rPr>
        <w:br/>
        <w:t xml:space="preserve">    for idx, (g_func, g_expr) in enumerate(zip(g_function_list, g_expression), 1):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Calculate original dependent variable y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        y = np.log(g_func / (T_kelvin ** 2) + 1e-8)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Linear regression fitting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        lr_model = LinearRegression()</w:t>
      </w:r>
      <w:r>
        <w:rPr>
          <w:rFonts w:ascii="Times New Roman" w:hAnsi="Times New Roman" w:cs="Times New Roman"/>
        </w:rPr>
        <w:br/>
        <w:t xml:space="preserve">        lr_model.fit(x_2d, y)</w:t>
      </w:r>
      <w:r>
        <w:rPr>
          <w:rFonts w:ascii="Times New Roman" w:hAnsi="Times New Roman" w:cs="Times New Roman"/>
        </w:rPr>
        <w:br/>
        <w:t xml:space="preserve">        y_fitted = lr_model.predict(x_2d)  # Fitted y values from regression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Extract regression coefficients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        intercept = lr_model.intercept_</w:t>
      </w:r>
      <w:r>
        <w:rPr>
          <w:rFonts w:ascii="Times New Roman" w:hAnsi="Times New Roman" w:cs="Times New Roman"/>
        </w:rPr>
        <w:br/>
        <w:t xml:space="preserve">        slope = lr_model.coef_[0]</w:t>
      </w:r>
      <w:r>
        <w:rPr>
          <w:rFonts w:ascii="Times New Roman" w:hAnsi="Times New Roman" w:cs="Times New Roman"/>
        </w:rPr>
        <w:br/>
        <w:t xml:space="preserve">        r_square = r2_score(y, y_fitted)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Calculate Activation Energy E (J/mol)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        E = -slope * R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Calculate Pre-exponential factor A (min⁻¹)</w:t>
      </w:r>
      <w:r>
        <w:rPr>
          <w:rFonts w:ascii="Times New Roman" w:hAnsi="Times New Roman" w:cs="Times New Roman"/>
          <w:color w:val="808080" w:themeColor="background1" w:themeShade="80"/>
        </w:rPr>
        <w:br/>
        <w:t># Formula matched with manuscript: A = (β * E / R) * exp(intercept)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        if E &gt; 0:</w:t>
      </w:r>
      <w:r>
        <w:rPr>
          <w:rFonts w:ascii="Times New Roman" w:hAnsi="Times New Roman" w:cs="Times New Roman"/>
        </w:rPr>
        <w:br/>
        <w:t xml:space="preserve">            A = (BETA * E / R) * np.exp(intercept)</w:t>
      </w:r>
      <w:r>
        <w:rPr>
          <w:rFonts w:ascii="Times New Roman" w:hAnsi="Times New Roman" w:cs="Times New Roman"/>
        </w:rPr>
        <w:br/>
        <w:t xml:space="preserve">        else:</w:t>
      </w:r>
      <w:r>
        <w:rPr>
          <w:rFonts w:ascii="Times New Roman" w:hAnsi="Times New Roman" w:cs="Times New Roman"/>
        </w:rPr>
        <w:br/>
        <w:t xml:space="preserve">            A = np.nan  # Invalid result for negative activation energy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1. Append data to parameter summary list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        summary_results.append({</w:t>
      </w:r>
      <w:r>
        <w:rPr>
          <w:rFonts w:ascii="Times New Roman" w:hAnsi="Times New Roman" w:cs="Times New Roman"/>
        </w:rPr>
        <w:br/>
        <w:t>"Model_ID": f"Model_{idx}",</w:t>
      </w:r>
      <w:r>
        <w:rPr>
          <w:rFonts w:ascii="Times New Roman" w:hAnsi="Times New Roman" w:cs="Times New Roman"/>
        </w:rPr>
        <w:br/>
        <w:t>"Kinetic_Function": g_expr,</w:t>
      </w:r>
      <w:r>
        <w:rPr>
          <w:rFonts w:ascii="Times New Roman" w:hAnsi="Times New Roman" w:cs="Times New Roman"/>
        </w:rPr>
        <w:br/>
        <w:t>"Intercept": round(intercept, 6),</w:t>
      </w:r>
      <w:r>
        <w:rPr>
          <w:rFonts w:ascii="Times New Roman" w:hAnsi="Times New Roman" w:cs="Times New Roman"/>
        </w:rPr>
        <w:br/>
        <w:t>"Slope_(K)": round(slope, 6),</w:t>
      </w:r>
      <w:r>
        <w:rPr>
          <w:rFonts w:ascii="Times New Roman" w:hAnsi="Times New Roman" w:cs="Times New Roman"/>
        </w:rPr>
        <w:br/>
        <w:t>"R_squared": round(r_square, 6),</w:t>
      </w:r>
      <w:r>
        <w:rPr>
          <w:rFonts w:ascii="Times New Roman" w:hAnsi="Times New Roman" w:cs="Times New Roman"/>
        </w:rPr>
        <w:br/>
        <w:t>"Activation_Energy_E_(J/mol)": round(E, 2),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>"Pre_exponential_Factor_A_(min^-1)": round(A, 2) if not np.isnan(A) else A</w:t>
      </w:r>
      <w:r>
        <w:rPr>
          <w:rFonts w:ascii="Times New Roman" w:hAnsi="Times New Roman" w:cs="Times New Roman"/>
        </w:rPr>
        <w:br/>
        <w:t xml:space="preserve">        })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2. Write X-Y data to independent sheet (for plotting)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        plot_df = pd.DataFrame({</w:t>
      </w:r>
      <w:r>
        <w:rPr>
          <w:rFonts w:ascii="Times New Roman" w:hAnsi="Times New Roman" w:cs="Times New Roman"/>
        </w:rPr>
        <w:br/>
        <w:t>"x (1/K)": x_1d,</w:t>
      </w:r>
      <w:r>
        <w:rPr>
          <w:rFonts w:ascii="Times New Roman" w:hAnsi="Times New Roman" w:cs="Times New Roman"/>
        </w:rPr>
        <w:br/>
        <w:t>"Original_y": y,</w:t>
      </w:r>
      <w:r>
        <w:rPr>
          <w:rFonts w:ascii="Times New Roman" w:hAnsi="Times New Roman" w:cs="Times New Roman"/>
        </w:rPr>
        <w:br/>
        <w:t>"Fitted_y": y_fitted</w:t>
      </w:r>
      <w:r>
        <w:rPr>
          <w:rFonts w:ascii="Times New Roman" w:hAnsi="Times New Roman" w:cs="Times New Roman"/>
        </w:rPr>
        <w:br/>
        <w:t xml:space="preserve">        })</w:t>
      </w:r>
      <w:r>
        <w:rPr>
          <w:rFonts w:ascii="Times New Roman" w:hAnsi="Times New Roman" w:cs="Times New Roman"/>
        </w:rPr>
        <w:br/>
        <w:t xml:space="preserve">        sheet_name = f"Model_{idx}"</w:t>
      </w:r>
      <w:r>
        <w:rPr>
          <w:rFonts w:ascii="Times New Roman" w:hAnsi="Times New Roman" w:cs="Times New Roman"/>
        </w:rPr>
        <w:br/>
        <w:t xml:space="preserve">        plot_df.to_excel(writer, sheet_name=sheet_name, index=False)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 xml:space="preserve"> # 3. Print results to console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 xml:space="preserve">        print(f"========== Model {idx} Regression Results ==========")</w:t>
      </w:r>
      <w:r>
        <w:rPr>
          <w:rFonts w:ascii="Times New Roman" w:hAnsi="Times New Roman" w:cs="Times New Roman"/>
        </w:rPr>
        <w:br/>
        <w:t xml:space="preserve">        print(f"Kinetic Function: {g_expr}")</w:t>
      </w:r>
      <w:r>
        <w:rPr>
          <w:rFonts w:ascii="Times New Roman" w:hAnsi="Times New Roman" w:cs="Times New Roman"/>
        </w:rPr>
        <w:br/>
        <w:t xml:space="preserve">        print(f"Intercept: {intercept:.6f}")</w:t>
      </w:r>
      <w:r>
        <w:rPr>
          <w:rFonts w:ascii="Times New Roman" w:hAnsi="Times New Roman" w:cs="Times New Roman"/>
        </w:rPr>
        <w:br/>
        <w:t xml:space="preserve">        print(f"Slope (K): {slope:.6f}")</w:t>
      </w:r>
      <w:r>
        <w:rPr>
          <w:rFonts w:ascii="Times New Roman" w:hAnsi="Times New Roman" w:cs="Times New Roman"/>
        </w:rPr>
        <w:br/>
        <w:t xml:space="preserve">        print(f"R²: {r_square:.6f}")</w:t>
      </w:r>
      <w:r>
        <w:rPr>
          <w:rFonts w:ascii="Times New Roman" w:hAnsi="Times New Roman" w:cs="Times New Roman"/>
        </w:rPr>
        <w:br/>
        <w:t xml:space="preserve">        print(f"Activation Energy E: {E:.2f} J/mol")</w:t>
      </w:r>
      <w:r>
        <w:rPr>
          <w:rFonts w:ascii="Times New Roman" w:hAnsi="Times New Roman" w:cs="Times New Roman"/>
        </w:rPr>
        <w:br/>
        <w:t xml:space="preserve">        if np.isnan(A):</w:t>
      </w:r>
      <w:r>
        <w:rPr>
          <w:rFonts w:ascii="Times New Roman" w:hAnsi="Times New Roman" w:cs="Times New Roman"/>
        </w:rPr>
        <w:br/>
        <w:t xml:space="preserve">            print("Pre-exponential Factor A: Invalid (Negative activation energy)\n")</w:t>
      </w:r>
      <w:r>
        <w:rPr>
          <w:rFonts w:ascii="Times New Roman" w:hAnsi="Times New Roman" w:cs="Times New Roman"/>
        </w:rPr>
        <w:br/>
        <w:t xml:space="preserve">        else:</w:t>
      </w:r>
      <w:r>
        <w:rPr>
          <w:rFonts w:ascii="Times New Roman" w:hAnsi="Times New Roman" w:cs="Times New Roman"/>
        </w:rPr>
        <w:br/>
        <w:t xml:space="preserve">            print(f"Pre-exponential Factor A: {A:.2f} min⁻¹\n")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====== Export Parameter Summary to Excel ======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>summary_df = pd.DataFrame(summary_results)</w:t>
      </w:r>
      <w:r>
        <w:rPr>
          <w:rFonts w:ascii="Times New Roman" w:hAnsi="Times New Roman" w:cs="Times New Roman"/>
        </w:rPr>
        <w:br/>
        <w:t>summary_df.to_excel(summary_result_file, index=False)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8080" w:themeColor="background1" w:themeShade="80"/>
        </w:rPr>
        <w:t># ====== Running Completion Prompt ======</w:t>
      </w:r>
      <w:r>
        <w:rPr>
          <w:rFonts w:ascii="Times New Roman" w:hAnsi="Times New Roman" w:cs="Times New Roman"/>
          <w:color w:val="808080" w:themeColor="background1" w:themeShade="80"/>
        </w:rPr>
        <w:br/>
      </w:r>
      <w:r>
        <w:rPr>
          <w:rFonts w:ascii="Times New Roman" w:hAnsi="Times New Roman" w:cs="Times New Roman"/>
        </w:rPr>
        <w:t>print("=" * 70)</w:t>
      </w:r>
      <w:r>
        <w:rPr>
          <w:rFonts w:ascii="Times New Roman" w:hAnsi="Times New Roman" w:cs="Times New Roman"/>
        </w:rPr>
        <w:br/>
        <w:t>print("Execution completed successfully! Two Excel files have been generated:")</w:t>
      </w:r>
      <w:r>
        <w:rPr>
          <w:rFonts w:ascii="Times New Roman" w:hAnsi="Times New Roman" w:cs="Times New Roman"/>
        </w:rPr>
        <w:br/>
        <w:t>print(f"1. Parameter Summary: {summary_result_file}")</w:t>
      </w:r>
      <w:r>
        <w:rPr>
          <w:rFonts w:ascii="Times New Roman" w:hAnsi="Times New Roman" w:cs="Times New Roman"/>
        </w:rPr>
        <w:br/>
        <w:t>print(f"2. Plotting Data (Multi-sheet): {plot_data_file}")</w:t>
      </w:r>
      <w:r>
        <w:rPr>
          <w:rFonts w:ascii="Times New Roman" w:hAnsi="Times New Roman" w:cs="Times New Roman"/>
        </w:rPr>
        <w:br/>
        <w:t>print("=" * 70)</w:t>
      </w:r>
    </w:p>
    <w:p w:rsidR="001E196D" w:rsidRDefault="001E196D">
      <w:pPr>
        <w:rPr>
          <w:rFonts w:ascii="Times New Roman" w:hAnsi="Times New Roman" w:cs="Times New Roman"/>
        </w:rPr>
      </w:pPr>
    </w:p>
    <w:p w:rsidR="001E196D" w:rsidRDefault="001E196D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</w:p>
    <w:sectPr w:rsidR="001E196D" w:rsidSect="001E196D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C4C" w:rsidRPr="002132BE" w:rsidRDefault="00C16C4C" w:rsidP="001E196D">
      <w:pPr>
        <w:ind w:firstLine="496"/>
        <w:rPr>
          <w:rFonts w:ascii="Times New Roman" w:hAnsi="Times New Roman"/>
          <w:szCs w:val="24"/>
        </w:rPr>
      </w:pPr>
      <w:r>
        <w:separator/>
      </w:r>
    </w:p>
  </w:endnote>
  <w:endnote w:type="continuationSeparator" w:id="1">
    <w:p w:rsidR="00C16C4C" w:rsidRPr="002132BE" w:rsidRDefault="00C16C4C" w:rsidP="001E196D">
      <w:pPr>
        <w:ind w:firstLine="496"/>
        <w:rPr>
          <w:rFonts w:ascii="Times New Roman" w:hAnsi="Times New Roman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1898775"/>
    </w:sdtPr>
    <w:sdtEndPr>
      <w:rPr>
        <w:rFonts w:ascii="Times New Roman" w:hAnsi="Times New Roman" w:cs="Times New Roman"/>
      </w:rPr>
    </w:sdtEndPr>
    <w:sdtContent>
      <w:p w:rsidR="001E196D" w:rsidRDefault="006F1503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DB328E"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A40C42" w:rsidRPr="00A40C42">
          <w:rPr>
            <w:rFonts w:ascii="Times New Roman" w:hAnsi="Times New Roman" w:cs="Times New Roman"/>
            <w:noProof/>
            <w:lang w:val="zh-CN"/>
          </w:rPr>
          <w:t>14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C4C" w:rsidRPr="002132BE" w:rsidRDefault="00C16C4C" w:rsidP="001E196D">
      <w:pPr>
        <w:ind w:firstLine="496"/>
        <w:rPr>
          <w:rFonts w:ascii="Times New Roman" w:hAnsi="Times New Roman"/>
          <w:szCs w:val="24"/>
        </w:rPr>
      </w:pPr>
      <w:r>
        <w:separator/>
      </w:r>
    </w:p>
  </w:footnote>
  <w:footnote w:type="continuationSeparator" w:id="1">
    <w:p w:rsidR="00C16C4C" w:rsidRPr="002132BE" w:rsidRDefault="00C16C4C" w:rsidP="001E196D">
      <w:pPr>
        <w:ind w:firstLine="496"/>
        <w:rPr>
          <w:rFonts w:ascii="Times New Roman" w:hAnsi="Times New Roman"/>
          <w:szCs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1024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3B56"/>
    <w:rsid w:val="00002195"/>
    <w:rsid w:val="00002DD4"/>
    <w:rsid w:val="000055C5"/>
    <w:rsid w:val="00046D95"/>
    <w:rsid w:val="0005034C"/>
    <w:rsid w:val="000A0B46"/>
    <w:rsid w:val="000B2EB3"/>
    <w:rsid w:val="000B7D7F"/>
    <w:rsid w:val="000E1CB6"/>
    <w:rsid w:val="000F6611"/>
    <w:rsid w:val="00106285"/>
    <w:rsid w:val="00112773"/>
    <w:rsid w:val="00115464"/>
    <w:rsid w:val="00154719"/>
    <w:rsid w:val="001639AA"/>
    <w:rsid w:val="001754F8"/>
    <w:rsid w:val="00177111"/>
    <w:rsid w:val="001827C1"/>
    <w:rsid w:val="001A0C68"/>
    <w:rsid w:val="001A21F1"/>
    <w:rsid w:val="001E196D"/>
    <w:rsid w:val="001E5535"/>
    <w:rsid w:val="001E68F7"/>
    <w:rsid w:val="001E795D"/>
    <w:rsid w:val="001F3AA6"/>
    <w:rsid w:val="00214525"/>
    <w:rsid w:val="002145AC"/>
    <w:rsid w:val="002179FD"/>
    <w:rsid w:val="0023599E"/>
    <w:rsid w:val="00251457"/>
    <w:rsid w:val="0026056C"/>
    <w:rsid w:val="0029336F"/>
    <w:rsid w:val="002B02DA"/>
    <w:rsid w:val="002C277C"/>
    <w:rsid w:val="002E22B3"/>
    <w:rsid w:val="003010DB"/>
    <w:rsid w:val="00347655"/>
    <w:rsid w:val="003A315C"/>
    <w:rsid w:val="003A4063"/>
    <w:rsid w:val="003E5DE5"/>
    <w:rsid w:val="003F1E93"/>
    <w:rsid w:val="003F2313"/>
    <w:rsid w:val="003F6D2A"/>
    <w:rsid w:val="004148AC"/>
    <w:rsid w:val="004232D6"/>
    <w:rsid w:val="004440A2"/>
    <w:rsid w:val="00464912"/>
    <w:rsid w:val="004B4C18"/>
    <w:rsid w:val="004E2467"/>
    <w:rsid w:val="004E6269"/>
    <w:rsid w:val="004F4CBC"/>
    <w:rsid w:val="004F5841"/>
    <w:rsid w:val="0050611F"/>
    <w:rsid w:val="00537D5B"/>
    <w:rsid w:val="00537F94"/>
    <w:rsid w:val="0054333E"/>
    <w:rsid w:val="0055197B"/>
    <w:rsid w:val="0057648A"/>
    <w:rsid w:val="00594342"/>
    <w:rsid w:val="005A7161"/>
    <w:rsid w:val="005C0E27"/>
    <w:rsid w:val="005F4C96"/>
    <w:rsid w:val="005F6495"/>
    <w:rsid w:val="00612311"/>
    <w:rsid w:val="00632DFA"/>
    <w:rsid w:val="00661384"/>
    <w:rsid w:val="00663619"/>
    <w:rsid w:val="0066542F"/>
    <w:rsid w:val="00671F1B"/>
    <w:rsid w:val="006A3C92"/>
    <w:rsid w:val="006A4129"/>
    <w:rsid w:val="006D2EA4"/>
    <w:rsid w:val="006D5B79"/>
    <w:rsid w:val="006E4000"/>
    <w:rsid w:val="006F1503"/>
    <w:rsid w:val="00741EA4"/>
    <w:rsid w:val="00755930"/>
    <w:rsid w:val="00760326"/>
    <w:rsid w:val="00773298"/>
    <w:rsid w:val="007760EF"/>
    <w:rsid w:val="00793F44"/>
    <w:rsid w:val="007A2EDC"/>
    <w:rsid w:val="007A4AC4"/>
    <w:rsid w:val="007A71FF"/>
    <w:rsid w:val="007B1378"/>
    <w:rsid w:val="007B51CE"/>
    <w:rsid w:val="007C78B7"/>
    <w:rsid w:val="007D355D"/>
    <w:rsid w:val="007D3B76"/>
    <w:rsid w:val="007F0FD6"/>
    <w:rsid w:val="0080337A"/>
    <w:rsid w:val="00803BA6"/>
    <w:rsid w:val="008411A3"/>
    <w:rsid w:val="00867183"/>
    <w:rsid w:val="008764BF"/>
    <w:rsid w:val="00880762"/>
    <w:rsid w:val="00892E61"/>
    <w:rsid w:val="008B2068"/>
    <w:rsid w:val="008B6D8F"/>
    <w:rsid w:val="008C1937"/>
    <w:rsid w:val="008D1571"/>
    <w:rsid w:val="008E4F41"/>
    <w:rsid w:val="00920A96"/>
    <w:rsid w:val="00922889"/>
    <w:rsid w:val="0093085D"/>
    <w:rsid w:val="009479D1"/>
    <w:rsid w:val="0095091D"/>
    <w:rsid w:val="00977008"/>
    <w:rsid w:val="009D3736"/>
    <w:rsid w:val="009E36F3"/>
    <w:rsid w:val="00A033D2"/>
    <w:rsid w:val="00A37EEC"/>
    <w:rsid w:val="00A40C42"/>
    <w:rsid w:val="00A46521"/>
    <w:rsid w:val="00A50934"/>
    <w:rsid w:val="00A6381F"/>
    <w:rsid w:val="00AE7499"/>
    <w:rsid w:val="00B1406B"/>
    <w:rsid w:val="00B14532"/>
    <w:rsid w:val="00B2489A"/>
    <w:rsid w:val="00B265B6"/>
    <w:rsid w:val="00B33E84"/>
    <w:rsid w:val="00B47EFA"/>
    <w:rsid w:val="00B54C81"/>
    <w:rsid w:val="00B564E5"/>
    <w:rsid w:val="00B728F3"/>
    <w:rsid w:val="00B730F6"/>
    <w:rsid w:val="00BB5A85"/>
    <w:rsid w:val="00BC231B"/>
    <w:rsid w:val="00BD5501"/>
    <w:rsid w:val="00BD75DF"/>
    <w:rsid w:val="00BF60BE"/>
    <w:rsid w:val="00C16C4C"/>
    <w:rsid w:val="00C17D19"/>
    <w:rsid w:val="00C33A30"/>
    <w:rsid w:val="00C3699F"/>
    <w:rsid w:val="00C4423B"/>
    <w:rsid w:val="00C8414A"/>
    <w:rsid w:val="00C90A76"/>
    <w:rsid w:val="00C97C6D"/>
    <w:rsid w:val="00CD6605"/>
    <w:rsid w:val="00CD7509"/>
    <w:rsid w:val="00D256BB"/>
    <w:rsid w:val="00D36B19"/>
    <w:rsid w:val="00D65E41"/>
    <w:rsid w:val="00D66986"/>
    <w:rsid w:val="00D724CD"/>
    <w:rsid w:val="00D76DA3"/>
    <w:rsid w:val="00DA1E24"/>
    <w:rsid w:val="00DA2670"/>
    <w:rsid w:val="00DA2733"/>
    <w:rsid w:val="00DA638B"/>
    <w:rsid w:val="00DB328E"/>
    <w:rsid w:val="00DB3B56"/>
    <w:rsid w:val="00DE6D6D"/>
    <w:rsid w:val="00DF6CE1"/>
    <w:rsid w:val="00E04018"/>
    <w:rsid w:val="00E235E1"/>
    <w:rsid w:val="00E324E7"/>
    <w:rsid w:val="00E75038"/>
    <w:rsid w:val="00E81325"/>
    <w:rsid w:val="00EA2911"/>
    <w:rsid w:val="00EB6392"/>
    <w:rsid w:val="00EC6838"/>
    <w:rsid w:val="00EC79FD"/>
    <w:rsid w:val="00EF7123"/>
    <w:rsid w:val="00F07C6B"/>
    <w:rsid w:val="00F14470"/>
    <w:rsid w:val="00F40F2B"/>
    <w:rsid w:val="00F64551"/>
    <w:rsid w:val="00F75203"/>
    <w:rsid w:val="00F93F62"/>
    <w:rsid w:val="1A326FD1"/>
    <w:rsid w:val="1EC57AEB"/>
    <w:rsid w:val="2FF67589"/>
    <w:rsid w:val="3BC4710D"/>
    <w:rsid w:val="435F6129"/>
    <w:rsid w:val="457648B0"/>
    <w:rsid w:val="4A54394D"/>
    <w:rsid w:val="4DB81AE2"/>
    <w:rsid w:val="57C739B1"/>
    <w:rsid w:val="58DE72AB"/>
    <w:rsid w:val="608257BE"/>
    <w:rsid w:val="65143FAD"/>
    <w:rsid w:val="6D04417C"/>
    <w:rsid w:val="70271038"/>
    <w:rsid w:val="722203D8"/>
    <w:rsid w:val="7CFD607F"/>
    <w:rsid w:val="7EEB3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semiHidden="0" w:uiPriority="0" w:unhideWhenUsed="0" w:qFormat="1"/>
    <w:lsdException w:name="annotation reference" w:qFormat="1"/>
    <w:lsdException w:name="line number" w:semiHidden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96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E19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1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19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196D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196D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196D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196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196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196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1E196D"/>
    <w:rPr>
      <w:sz w:val="20"/>
      <w:szCs w:val="20"/>
    </w:rPr>
  </w:style>
  <w:style w:type="paragraph" w:styleId="a4">
    <w:name w:val="footer"/>
    <w:basedOn w:val="a"/>
    <w:link w:val="Char0"/>
    <w:uiPriority w:val="99"/>
    <w:unhideWhenUsed/>
    <w:qFormat/>
    <w:rsid w:val="001E19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1E19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Char2"/>
    <w:uiPriority w:val="11"/>
    <w:qFormat/>
    <w:rsid w:val="001E196D"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footnote text"/>
    <w:basedOn w:val="a"/>
    <w:link w:val="Char3"/>
    <w:uiPriority w:val="99"/>
    <w:qFormat/>
    <w:rsid w:val="001E196D"/>
    <w:pPr>
      <w:snapToGrid w:val="0"/>
      <w:jc w:val="left"/>
    </w:pPr>
    <w:rPr>
      <w:sz w:val="18"/>
      <w:szCs w:val="24"/>
    </w:rPr>
  </w:style>
  <w:style w:type="paragraph" w:styleId="a8">
    <w:name w:val="Normal (Web)"/>
    <w:basedOn w:val="a"/>
    <w:uiPriority w:val="99"/>
    <w:qFormat/>
    <w:rsid w:val="001E196D"/>
    <w:pPr>
      <w:spacing w:line="360" w:lineRule="exact"/>
      <w:ind w:firstLineChars="200" w:firstLine="200"/>
    </w:pPr>
    <w:rPr>
      <w:rFonts w:ascii="Times New Roman" w:eastAsia="宋体" w:hAnsi="Times New Roman" w:cs="Times New Roman"/>
      <w:szCs w:val="24"/>
    </w:rPr>
  </w:style>
  <w:style w:type="paragraph" w:styleId="a9">
    <w:name w:val="Title"/>
    <w:basedOn w:val="a"/>
    <w:next w:val="a"/>
    <w:link w:val="Char4"/>
    <w:qFormat/>
    <w:rsid w:val="001E19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a">
    <w:name w:val="Table Grid"/>
    <w:basedOn w:val="a1"/>
    <w:uiPriority w:val="39"/>
    <w:qFormat/>
    <w:rsid w:val="001E196D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c"/>
    <w:uiPriority w:val="22"/>
    <w:qFormat/>
    <w:rsid w:val="001E196D"/>
    <w:rPr>
      <w:rFonts w:ascii="Times New Roman" w:eastAsia="Times New Roman" w:hAnsi="Times New Roman"/>
      <w:b/>
      <w:bCs/>
    </w:rPr>
  </w:style>
  <w:style w:type="character" w:styleId="ac">
    <w:name w:val="line number"/>
    <w:basedOn w:val="a0"/>
    <w:uiPriority w:val="99"/>
    <w:unhideWhenUsed/>
    <w:qFormat/>
    <w:rsid w:val="001E196D"/>
    <w:rPr>
      <w:rFonts w:ascii="Times New Roman" w:hAnsi="Times New Roman"/>
    </w:rPr>
  </w:style>
  <w:style w:type="character" w:styleId="ad">
    <w:name w:val="Hyperlink"/>
    <w:basedOn w:val="a0"/>
    <w:uiPriority w:val="99"/>
    <w:unhideWhenUsed/>
    <w:qFormat/>
    <w:rsid w:val="001E196D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sid w:val="001E196D"/>
    <w:rPr>
      <w:sz w:val="16"/>
      <w:szCs w:val="16"/>
    </w:rPr>
  </w:style>
  <w:style w:type="character" w:styleId="af">
    <w:name w:val="footnote reference"/>
    <w:basedOn w:val="a0"/>
    <w:qFormat/>
    <w:rsid w:val="001E196D"/>
    <w:rPr>
      <w:vertAlign w:val="superscript"/>
    </w:rPr>
  </w:style>
  <w:style w:type="character" w:customStyle="1" w:styleId="1Char">
    <w:name w:val="标题 1 Char"/>
    <w:basedOn w:val="a0"/>
    <w:link w:val="1"/>
    <w:uiPriority w:val="9"/>
    <w:qFormat/>
    <w:rsid w:val="001E196D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sid w:val="001E19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sid w:val="001E19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1E196D"/>
    <w:rPr>
      <w:rFonts w:cstheme="majorBidi"/>
      <w:color w:val="2E74B5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1E196D"/>
    <w:rPr>
      <w:rFonts w:cstheme="majorBidi"/>
      <w:color w:val="2E74B5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sid w:val="001E196D"/>
    <w:rPr>
      <w:rFonts w:cstheme="majorBidi"/>
      <w:b/>
      <w:bCs/>
      <w:color w:val="2E74B5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sid w:val="001E196D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sid w:val="001E196D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sid w:val="001E196D"/>
    <w:rPr>
      <w:rFonts w:eastAsiaTheme="majorEastAsia" w:cstheme="majorBidi"/>
      <w:color w:val="595959" w:themeColor="text1" w:themeTint="A6"/>
    </w:rPr>
  </w:style>
  <w:style w:type="character" w:customStyle="1" w:styleId="Char4">
    <w:name w:val="标题 Char"/>
    <w:basedOn w:val="a0"/>
    <w:link w:val="a9"/>
    <w:qFormat/>
    <w:rsid w:val="001E1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副标题 Char"/>
    <w:basedOn w:val="a0"/>
    <w:link w:val="a6"/>
    <w:uiPriority w:val="11"/>
    <w:qFormat/>
    <w:rsid w:val="001E19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0">
    <w:name w:val="Quote"/>
    <w:basedOn w:val="a"/>
    <w:next w:val="a"/>
    <w:link w:val="Char5"/>
    <w:uiPriority w:val="29"/>
    <w:qFormat/>
    <w:rsid w:val="001E19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5">
    <w:name w:val="引用 Char"/>
    <w:basedOn w:val="a0"/>
    <w:link w:val="af0"/>
    <w:uiPriority w:val="29"/>
    <w:qFormat/>
    <w:rsid w:val="001E196D"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rsid w:val="001E196D"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sid w:val="001E196D"/>
    <w:rPr>
      <w:i/>
      <w:iCs/>
      <w:color w:val="2E74B5" w:themeColor="accent1" w:themeShade="BF"/>
    </w:rPr>
  </w:style>
  <w:style w:type="paragraph" w:styleId="af2">
    <w:name w:val="Intense Quote"/>
    <w:basedOn w:val="a"/>
    <w:next w:val="a"/>
    <w:link w:val="Char6"/>
    <w:uiPriority w:val="30"/>
    <w:qFormat/>
    <w:rsid w:val="001E19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6">
    <w:name w:val="明显引用 Char"/>
    <w:basedOn w:val="a0"/>
    <w:link w:val="af2"/>
    <w:uiPriority w:val="30"/>
    <w:qFormat/>
    <w:rsid w:val="001E196D"/>
    <w:rPr>
      <w:i/>
      <w:iCs/>
      <w:color w:val="2E74B5" w:themeColor="accent1" w:themeShade="BF"/>
    </w:rPr>
  </w:style>
  <w:style w:type="character" w:customStyle="1" w:styleId="11">
    <w:name w:val="明显参考1"/>
    <w:basedOn w:val="a0"/>
    <w:uiPriority w:val="32"/>
    <w:qFormat/>
    <w:rsid w:val="001E196D"/>
    <w:rPr>
      <w:b/>
      <w:bCs/>
      <w:smallCaps/>
      <w:color w:val="2E74B5" w:themeColor="accent1" w:themeShade="BF"/>
      <w:spacing w:val="5"/>
    </w:rPr>
  </w:style>
  <w:style w:type="character" w:customStyle="1" w:styleId="Char1">
    <w:name w:val="页眉 Char"/>
    <w:basedOn w:val="a0"/>
    <w:link w:val="a5"/>
    <w:uiPriority w:val="99"/>
    <w:qFormat/>
    <w:rsid w:val="001E196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E196D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sid w:val="001E196D"/>
    <w:rPr>
      <w:sz w:val="20"/>
      <w:szCs w:val="20"/>
    </w:rPr>
  </w:style>
  <w:style w:type="paragraph" w:customStyle="1" w:styleId="Authors">
    <w:name w:val="Authors"/>
    <w:basedOn w:val="a"/>
    <w:next w:val="a"/>
    <w:qFormat/>
    <w:rsid w:val="001E196D"/>
    <w:pPr>
      <w:framePr w:w="9072" w:hSpace="187" w:vSpace="187" w:wrap="notBeside" w:vAnchor="text" w:hAnchor="page" w:xAlign="center" w:y="1"/>
      <w:widowControl/>
      <w:autoSpaceDE w:val="0"/>
      <w:autoSpaceDN w:val="0"/>
      <w:spacing w:after="320"/>
      <w:jc w:val="center"/>
    </w:pPr>
    <w:rPr>
      <w:rFonts w:ascii="Times New Roman" w:eastAsia="宋体" w:hAnsi="Times New Roman" w:cs="Times New Roman"/>
      <w:kern w:val="0"/>
      <w:sz w:val="22"/>
      <w:lang w:eastAsia="en-US"/>
    </w:rPr>
  </w:style>
  <w:style w:type="paragraph" w:customStyle="1" w:styleId="12">
    <w:name w:val="修订1"/>
    <w:hidden/>
    <w:uiPriority w:val="99"/>
    <w:semiHidden/>
    <w:qFormat/>
    <w:rsid w:val="001E196D"/>
    <w:rPr>
      <w:kern w:val="2"/>
      <w:sz w:val="21"/>
      <w:szCs w:val="22"/>
    </w:rPr>
  </w:style>
  <w:style w:type="paragraph" w:customStyle="1" w:styleId="-">
    <w:name w:val="样式-五号字体"/>
    <w:basedOn w:val="a"/>
    <w:link w:val="-0"/>
    <w:qFormat/>
    <w:rsid w:val="001E196D"/>
    <w:rPr>
      <w:rFonts w:ascii="Times New Roman" w:eastAsia="宋体" w:hAnsi="Times New Roman" w:cs="Times New Roman"/>
      <w:iCs/>
      <w:color w:val="003399"/>
    </w:rPr>
  </w:style>
  <w:style w:type="character" w:customStyle="1" w:styleId="-0">
    <w:name w:val="样式-五号字体 字符"/>
    <w:basedOn w:val="a0"/>
    <w:link w:val="-"/>
    <w:qFormat/>
    <w:rsid w:val="001E196D"/>
    <w:rPr>
      <w:rFonts w:ascii="Times New Roman" w:eastAsia="宋体" w:hAnsi="Times New Roman" w:cs="Times New Roman"/>
      <w:iCs/>
      <w:color w:val="003399"/>
    </w:rPr>
  </w:style>
  <w:style w:type="paragraph" w:customStyle="1" w:styleId="20">
    <w:name w:val="正文文本2"/>
    <w:basedOn w:val="a"/>
    <w:link w:val="2Char0"/>
    <w:qFormat/>
    <w:rsid w:val="001E196D"/>
    <w:pPr>
      <w:spacing w:line="360" w:lineRule="exact"/>
      <w:ind w:firstLineChars="236" w:firstLine="566"/>
      <w:jc w:val="left"/>
    </w:pPr>
    <w:rPr>
      <w:rFonts w:ascii="Calibri" w:eastAsia="宋体" w:hAnsi="Calibri" w:cs="Times New Roman"/>
      <w:kern w:val="0"/>
      <w:sz w:val="24"/>
      <w:szCs w:val="20"/>
    </w:rPr>
  </w:style>
  <w:style w:type="character" w:customStyle="1" w:styleId="2Char0">
    <w:name w:val="正文文本2 Char"/>
    <w:link w:val="20"/>
    <w:qFormat/>
    <w:locked/>
    <w:rsid w:val="001E196D"/>
    <w:rPr>
      <w:rFonts w:ascii="Calibri" w:eastAsia="宋体" w:hAnsi="Calibri" w:cs="Times New Roman"/>
      <w:kern w:val="0"/>
      <w:sz w:val="24"/>
      <w:szCs w:val="20"/>
    </w:rPr>
  </w:style>
  <w:style w:type="character" w:customStyle="1" w:styleId="Char3">
    <w:name w:val="脚注文本 Char"/>
    <w:basedOn w:val="a0"/>
    <w:link w:val="a7"/>
    <w:uiPriority w:val="99"/>
    <w:qFormat/>
    <w:rsid w:val="001E196D"/>
    <w:rPr>
      <w:kern w:val="2"/>
      <w:sz w:val="18"/>
      <w:szCs w:val="24"/>
    </w:rPr>
  </w:style>
  <w:style w:type="paragraph" w:customStyle="1" w:styleId="21">
    <w:name w:val="修订2"/>
    <w:hidden/>
    <w:uiPriority w:val="99"/>
    <w:unhideWhenUsed/>
    <w:qFormat/>
    <w:rsid w:val="001E196D"/>
    <w:rPr>
      <w:kern w:val="2"/>
      <w:sz w:val="21"/>
      <w:szCs w:val="22"/>
    </w:rPr>
  </w:style>
  <w:style w:type="paragraph" w:styleId="af3">
    <w:name w:val="Balloon Text"/>
    <w:basedOn w:val="a"/>
    <w:link w:val="Char7"/>
    <w:uiPriority w:val="99"/>
    <w:semiHidden/>
    <w:unhideWhenUsed/>
    <w:rsid w:val="0023599E"/>
    <w:rPr>
      <w:sz w:val="18"/>
      <w:szCs w:val="18"/>
    </w:rPr>
  </w:style>
  <w:style w:type="character" w:customStyle="1" w:styleId="Char7">
    <w:name w:val="批注框文本 Char"/>
    <w:basedOn w:val="a0"/>
    <w:link w:val="af3"/>
    <w:uiPriority w:val="99"/>
    <w:semiHidden/>
    <w:rsid w:val="0023599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D16AD-1EC3-463E-BCCD-5D8FA491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2049</Words>
  <Characters>11682</Characters>
  <Application>Microsoft Office Word</Application>
  <DocSecurity>0</DocSecurity>
  <Lines>97</Lines>
  <Paragraphs>27</Paragraphs>
  <ScaleCrop>false</ScaleCrop>
  <Company/>
  <LinksUpToDate>false</LinksUpToDate>
  <CharactersWithSpaces>13704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健宜 王</dc:creator>
  <cp:lastModifiedBy>Admin</cp:lastModifiedBy>
  <cp:revision>6</cp:revision>
  <dcterms:created xsi:type="dcterms:W3CDTF">2026-07-30T14:04:00Z</dcterms:created>
  <dcterms:modified xsi:type="dcterms:W3CDTF">2026-08-02T05:15:00Z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eyJoZGlkIjoiNDE3NmYxMGNiNzg0YzAwNTUyODRhZmQ5NGFjYjJlNjIiLCJ1c2VySWQiOiI0MzUyNTAyNTUifQ==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BC19EEE39F32498BBD9F58F39FCB92DC_13</vt:lpwstr>
  </property>
</Properties>
</file>