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CEF3C5">
      <w:pPr>
        <w:adjustRightInd w:val="0"/>
        <w:snapToGrid w:val="0"/>
        <w:spacing w:line="480" w:lineRule="auto"/>
        <w:jc w:val="center"/>
        <w:rPr>
          <w:rFonts w:ascii="Times New Roman" w:hAnsi="Times New Roman" w:eastAsia="等线" w:cs="Times New Roman"/>
          <w:b/>
          <w:bCs/>
          <w:iCs/>
          <w:sz w:val="28"/>
          <w:szCs w:val="28"/>
        </w:rPr>
      </w:pPr>
      <w:bookmarkStart w:id="0" w:name="_Hlk167786293"/>
      <w:bookmarkEnd w:id="0"/>
      <w:r>
        <w:rPr>
          <w:rFonts w:ascii="Times New Roman" w:hAnsi="Times New Roman" w:eastAsia="等线" w:cs="Times New Roman"/>
          <w:b/>
          <w:bCs/>
          <w:iCs/>
          <w:sz w:val="28"/>
          <w:szCs w:val="28"/>
        </w:rPr>
        <w:t>S</w:t>
      </w:r>
      <w:r>
        <w:rPr>
          <w:rFonts w:hint="eastAsia" w:ascii="Times New Roman" w:hAnsi="Times New Roman" w:eastAsia="等线" w:cs="Times New Roman"/>
          <w:b/>
          <w:bCs/>
          <w:iCs/>
          <w:sz w:val="28"/>
          <w:szCs w:val="28"/>
        </w:rPr>
        <w:t>u</w:t>
      </w:r>
      <w:r>
        <w:rPr>
          <w:rFonts w:ascii="Times New Roman" w:hAnsi="Times New Roman" w:eastAsia="等线" w:cs="Times New Roman"/>
          <w:b/>
          <w:bCs/>
          <w:iCs/>
          <w:sz w:val="28"/>
          <w:szCs w:val="28"/>
        </w:rPr>
        <w:t>pp</w:t>
      </w:r>
      <w:r>
        <w:rPr>
          <w:rFonts w:hint="eastAsia" w:ascii="Times New Roman" w:hAnsi="Times New Roman" w:eastAsia="等线" w:cs="Times New Roman"/>
          <w:b/>
          <w:bCs/>
          <w:iCs/>
          <w:sz w:val="28"/>
          <w:szCs w:val="28"/>
        </w:rPr>
        <w:t>lementary</w:t>
      </w:r>
      <w:r>
        <w:rPr>
          <w:rFonts w:ascii="Times New Roman" w:hAnsi="Times New Roman" w:eastAsia="等线" w:cs="Times New Roman"/>
          <w:b/>
          <w:bCs/>
          <w:iCs/>
          <w:sz w:val="28"/>
          <w:szCs w:val="28"/>
        </w:rPr>
        <w:t xml:space="preserve"> Information</w:t>
      </w:r>
    </w:p>
    <w:p w14:paraId="156AC162">
      <w:pPr>
        <w:adjustRightInd w:val="0"/>
        <w:snapToGrid w:val="0"/>
        <w:spacing w:line="480" w:lineRule="auto"/>
        <w:jc w:val="center"/>
        <w:rPr>
          <w:rFonts w:ascii="Times New Roman" w:hAnsi="Times New Roman" w:eastAsia="等线" w:cs="Times New Roman"/>
          <w:iCs/>
          <w:sz w:val="24"/>
          <w:szCs w:val="24"/>
        </w:rPr>
      </w:pPr>
    </w:p>
    <w:p w14:paraId="4C860753">
      <w:pPr>
        <w:widowControl/>
        <w:adjustRightInd w:val="0"/>
        <w:snapToGrid w:val="0"/>
        <w:spacing w:line="480" w:lineRule="auto"/>
        <w:jc w:val="center"/>
        <w:rPr>
          <w:rFonts w:ascii="Times New Roman" w:hAnsi="Times New Roman" w:eastAsia="宋体" w:cs="Times New Roman"/>
          <w:b/>
          <w:bCs/>
          <w:kern w:val="0"/>
          <w:sz w:val="32"/>
          <w:szCs w:val="32"/>
        </w:rPr>
      </w:pPr>
      <w:bookmarkStart w:id="1" w:name="_Hlk98319696"/>
      <w:r>
        <w:rPr>
          <w:rFonts w:ascii="Times New Roman" w:hAnsi="Times New Roman" w:eastAsia="宋体" w:cs="Times New Roman"/>
          <w:b/>
          <w:bCs/>
          <w:kern w:val="0"/>
          <w:sz w:val="32"/>
          <w:szCs w:val="32"/>
        </w:rPr>
        <w:t xml:space="preserve">Polymer </w:t>
      </w:r>
      <w:r>
        <w:rPr>
          <w:rFonts w:hint="eastAsia" w:ascii="Times New Roman" w:hAnsi="Times New Roman" w:eastAsia="宋体" w:cs="Times New Roman"/>
          <w:b/>
          <w:bCs/>
          <w:kern w:val="0"/>
          <w:sz w:val="32"/>
          <w:szCs w:val="32"/>
          <w:lang w:val="en-US" w:eastAsia="zh-CN"/>
        </w:rPr>
        <w:t>t</w:t>
      </w:r>
      <w:r>
        <w:rPr>
          <w:rFonts w:ascii="Times New Roman" w:hAnsi="Times New Roman" w:eastAsia="宋体" w:cs="Times New Roman"/>
          <w:b/>
          <w:bCs/>
          <w:kern w:val="0"/>
          <w:sz w:val="32"/>
          <w:szCs w:val="32"/>
        </w:rPr>
        <w:t xml:space="preserve">ype, </w:t>
      </w:r>
      <w:r>
        <w:rPr>
          <w:rFonts w:hint="eastAsia" w:ascii="Times New Roman" w:hAnsi="Times New Roman" w:eastAsia="宋体" w:cs="Times New Roman"/>
          <w:b/>
          <w:bCs/>
          <w:kern w:val="0"/>
          <w:sz w:val="32"/>
          <w:szCs w:val="32"/>
          <w:lang w:val="en-US" w:eastAsia="zh-CN"/>
        </w:rPr>
        <w:t>e</w:t>
      </w:r>
      <w:r>
        <w:rPr>
          <w:rFonts w:ascii="Times New Roman" w:hAnsi="Times New Roman" w:eastAsia="宋体" w:cs="Times New Roman"/>
          <w:b/>
          <w:bCs/>
          <w:kern w:val="0"/>
          <w:sz w:val="32"/>
          <w:szCs w:val="32"/>
        </w:rPr>
        <w:t xml:space="preserve">nvironmental </w:t>
      </w:r>
      <w:r>
        <w:rPr>
          <w:rFonts w:hint="eastAsia" w:ascii="Times New Roman" w:hAnsi="Times New Roman" w:eastAsia="宋体" w:cs="Times New Roman"/>
          <w:b/>
          <w:bCs/>
          <w:kern w:val="0"/>
          <w:sz w:val="32"/>
          <w:szCs w:val="32"/>
          <w:lang w:val="en-US" w:eastAsia="zh-CN"/>
        </w:rPr>
        <w:t>a</w:t>
      </w:r>
      <w:r>
        <w:rPr>
          <w:rFonts w:ascii="Times New Roman" w:hAnsi="Times New Roman" w:eastAsia="宋体" w:cs="Times New Roman"/>
          <w:b/>
          <w:bCs/>
          <w:kern w:val="0"/>
          <w:sz w:val="32"/>
          <w:szCs w:val="32"/>
        </w:rPr>
        <w:t xml:space="preserve">ging, and DOM </w:t>
      </w:r>
      <w:r>
        <w:rPr>
          <w:rFonts w:hint="eastAsia" w:ascii="Times New Roman" w:hAnsi="Times New Roman" w:eastAsia="宋体" w:cs="Times New Roman"/>
          <w:b/>
          <w:bCs/>
          <w:kern w:val="0"/>
          <w:sz w:val="32"/>
          <w:szCs w:val="32"/>
          <w:lang w:val="en-US" w:eastAsia="zh-CN"/>
        </w:rPr>
        <w:t>c</w:t>
      </w:r>
      <w:r>
        <w:rPr>
          <w:rFonts w:ascii="Times New Roman" w:hAnsi="Times New Roman" w:eastAsia="宋体" w:cs="Times New Roman"/>
          <w:b/>
          <w:bCs/>
          <w:kern w:val="0"/>
          <w:sz w:val="32"/>
          <w:szCs w:val="32"/>
        </w:rPr>
        <w:t xml:space="preserve">ompositions </w:t>
      </w:r>
      <w:r>
        <w:rPr>
          <w:rFonts w:hint="eastAsia" w:ascii="Times New Roman" w:hAnsi="Times New Roman" w:eastAsia="宋体" w:cs="Times New Roman"/>
          <w:b/>
          <w:bCs/>
          <w:kern w:val="0"/>
          <w:sz w:val="32"/>
          <w:szCs w:val="32"/>
          <w:lang w:val="en-US" w:eastAsia="zh-CN"/>
        </w:rPr>
        <w:t>c</w:t>
      </w:r>
      <w:r>
        <w:rPr>
          <w:rFonts w:ascii="Times New Roman" w:hAnsi="Times New Roman" w:eastAsia="宋体" w:cs="Times New Roman"/>
          <w:b/>
          <w:bCs/>
          <w:kern w:val="0"/>
          <w:sz w:val="32"/>
          <w:szCs w:val="32"/>
        </w:rPr>
        <w:t xml:space="preserve">ollectively </w:t>
      </w:r>
      <w:r>
        <w:rPr>
          <w:rFonts w:hint="eastAsia" w:ascii="Times New Roman" w:hAnsi="Times New Roman" w:eastAsia="宋体" w:cs="Times New Roman"/>
          <w:b/>
          <w:bCs/>
          <w:kern w:val="0"/>
          <w:sz w:val="32"/>
          <w:szCs w:val="32"/>
          <w:lang w:val="en-US" w:eastAsia="zh-CN"/>
        </w:rPr>
        <w:t>c</w:t>
      </w:r>
      <w:r>
        <w:rPr>
          <w:rFonts w:ascii="Times New Roman" w:hAnsi="Times New Roman" w:eastAsia="宋体" w:cs="Times New Roman"/>
          <w:b/>
          <w:bCs/>
          <w:kern w:val="0"/>
          <w:sz w:val="32"/>
          <w:szCs w:val="32"/>
        </w:rPr>
        <w:t xml:space="preserve">ontrol DOM </w:t>
      </w:r>
      <w:r>
        <w:rPr>
          <w:rFonts w:hint="eastAsia" w:ascii="Times New Roman" w:hAnsi="Times New Roman" w:eastAsia="宋体" w:cs="Times New Roman"/>
          <w:b/>
          <w:bCs/>
          <w:kern w:val="0"/>
          <w:sz w:val="32"/>
          <w:szCs w:val="32"/>
          <w:lang w:val="en-US" w:eastAsia="zh-CN"/>
        </w:rPr>
        <w:t>f</w:t>
      </w:r>
      <w:r>
        <w:rPr>
          <w:rFonts w:ascii="Times New Roman" w:hAnsi="Times New Roman" w:eastAsia="宋体" w:cs="Times New Roman"/>
          <w:b/>
          <w:bCs/>
          <w:kern w:val="0"/>
          <w:sz w:val="32"/>
          <w:szCs w:val="32"/>
        </w:rPr>
        <w:t xml:space="preserve">ractionation on </w:t>
      </w:r>
      <w:r>
        <w:rPr>
          <w:rFonts w:hint="eastAsia" w:ascii="Times New Roman" w:hAnsi="Times New Roman" w:eastAsia="宋体" w:cs="Times New Roman"/>
          <w:b/>
          <w:bCs/>
          <w:kern w:val="0"/>
          <w:sz w:val="32"/>
          <w:szCs w:val="32"/>
          <w:lang w:val="en-US" w:eastAsia="zh-CN"/>
        </w:rPr>
        <w:t>m</w:t>
      </w:r>
      <w:r>
        <w:rPr>
          <w:rFonts w:ascii="Times New Roman" w:hAnsi="Times New Roman" w:eastAsia="宋体" w:cs="Times New Roman"/>
          <w:b/>
          <w:bCs/>
          <w:kern w:val="0"/>
          <w:sz w:val="32"/>
          <w:szCs w:val="32"/>
        </w:rPr>
        <w:t>icroplastics</w:t>
      </w:r>
    </w:p>
    <w:bookmarkEnd w:id="1"/>
    <w:p w14:paraId="607D3E9B">
      <w:pPr>
        <w:widowControl/>
        <w:adjustRightInd w:val="0"/>
        <w:snapToGrid w:val="0"/>
        <w:spacing w:line="480" w:lineRule="auto"/>
        <w:jc w:val="center"/>
        <w:rPr>
          <w:rFonts w:ascii="Times New Roman" w:hAnsi="Times New Roman" w:eastAsia="宋体" w:cs="Times New Roman"/>
          <w:i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i/>
          <w:kern w:val="0"/>
          <w:sz w:val="24"/>
          <w:szCs w:val="24"/>
          <w:lang w:val="en-GB"/>
        </w:rPr>
        <w:t>Xiaoxia Zhang</w:t>
      </w:r>
      <w:r>
        <w:rPr>
          <w:rFonts w:ascii="Times New Roman" w:hAnsi="Times New Roman" w:eastAsia="宋体" w:cs="Times New Roman"/>
          <w:i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eastAsia="宋体" w:cs="Times New Roman"/>
          <w:i/>
          <w:color w:val="000000"/>
          <w:kern w:val="0"/>
          <w:sz w:val="24"/>
          <w:szCs w:val="24"/>
        </w:rPr>
        <w:t>, Yan Lin</w:t>
      </w:r>
      <w:r>
        <w:rPr>
          <w:rFonts w:ascii="Times New Roman" w:hAnsi="Times New Roman" w:eastAsia="宋体" w:cs="Times New Roman"/>
          <w:i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eastAsia="宋体" w:cs="Times New Roman"/>
          <w:i/>
          <w:color w:val="000000"/>
          <w:kern w:val="0"/>
          <w:sz w:val="24"/>
          <w:szCs w:val="24"/>
        </w:rPr>
        <w:t>, Mengting Zhao</w:t>
      </w:r>
      <w:r>
        <w:rPr>
          <w:rFonts w:ascii="Times New Roman" w:hAnsi="Times New Roman" w:eastAsia="宋体" w:cs="Times New Roman"/>
          <w:i/>
          <w:kern w:val="0"/>
          <w:sz w:val="24"/>
          <w:szCs w:val="24"/>
          <w:vertAlign w:val="superscript"/>
        </w:rPr>
        <w:t>1,2</w:t>
      </w:r>
      <w:r>
        <w:rPr>
          <w:rFonts w:ascii="Times New Roman" w:hAnsi="Times New Roman" w:eastAsia="宋体" w:cs="Times New Roman"/>
          <w:i/>
          <w:color w:val="000000"/>
          <w:kern w:val="0"/>
          <w:sz w:val="24"/>
          <w:szCs w:val="24"/>
        </w:rPr>
        <w:t>, Meiling Zhu</w:t>
      </w:r>
      <w:r>
        <w:rPr>
          <w:rFonts w:ascii="Times New Roman" w:hAnsi="Times New Roman" w:eastAsia="宋体" w:cs="Times New Roman"/>
          <w:i/>
          <w:kern w:val="0"/>
          <w:sz w:val="24"/>
          <w:szCs w:val="24"/>
          <w:vertAlign w:val="superscript"/>
        </w:rPr>
        <w:t>1,3</w:t>
      </w:r>
      <w:r>
        <w:rPr>
          <w:rFonts w:ascii="Times New Roman" w:hAnsi="Times New Roman" w:eastAsia="宋体" w:cs="Times New Roman"/>
          <w:i/>
          <w:kern w:val="0"/>
          <w:sz w:val="24"/>
          <w:szCs w:val="24"/>
        </w:rPr>
        <w:t>, Tianchi Cao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>*</w:t>
      </w:r>
      <w:r>
        <w:rPr>
          <w:rFonts w:ascii="Times New Roman" w:hAnsi="Times New Roman" w:eastAsia="宋体" w:cs="Times New Roman"/>
          <w:i/>
          <w:kern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Thilo Hofmann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4</w:t>
      </w:r>
      <w:r>
        <w:rPr>
          <w:rFonts w:ascii="Times New Roman" w:hAnsi="Times New Roman" w:eastAsia="宋体" w:cs="Times New Roman"/>
          <w:i/>
          <w:kern w:val="0"/>
          <w:sz w:val="24"/>
          <w:szCs w:val="24"/>
        </w:rPr>
        <w:t xml:space="preserve">, and </w:t>
      </w:r>
      <w:r>
        <w:rPr>
          <w:rFonts w:ascii="Times New Roman" w:hAnsi="Times New Roman" w:eastAsia="宋体" w:cs="Times New Roman"/>
          <w:i/>
          <w:color w:val="000000"/>
          <w:kern w:val="0"/>
          <w:sz w:val="24"/>
          <w:szCs w:val="24"/>
          <w:lang w:eastAsia="en-US"/>
        </w:rPr>
        <w:t>Wei Chen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</w:p>
    <w:p w14:paraId="3FD7B6B2">
      <w:pPr>
        <w:widowControl/>
        <w:adjustRightInd w:val="0"/>
        <w:snapToGrid w:val="0"/>
        <w:spacing w:line="480" w:lineRule="auto"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  <w:vertAlign w:val="superscript"/>
          <w:lang w:eastAsia="en-US"/>
        </w:rPr>
        <w:t>1</w:t>
      </w:r>
      <w:r>
        <w:rPr>
          <w:rFonts w:ascii="Times New Roman" w:hAnsi="Times New Roman" w:eastAsia="宋体" w:cs="Times New Roman"/>
          <w:kern w:val="0"/>
          <w:sz w:val="24"/>
          <w:szCs w:val="24"/>
          <w:lang w:eastAsia="en-US"/>
        </w:rPr>
        <w:t xml:space="preserve"> </w:t>
      </w:r>
      <w:bookmarkStart w:id="2" w:name="_Hlk114233226"/>
      <w:r>
        <w:rPr>
          <w:rFonts w:ascii="Times New Roman" w:hAnsi="Times New Roman" w:eastAsia="宋体" w:cs="Times New Roman"/>
          <w:kern w:val="0"/>
          <w:sz w:val="24"/>
          <w:szCs w:val="24"/>
          <w:lang w:eastAsia="en-US"/>
        </w:rPr>
        <w:t>College of Environmental Science and Engineering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, Ministry of Education</w:t>
      </w:r>
      <w:r>
        <w:rPr>
          <w:rFonts w:ascii="Times New Roman" w:hAnsi="Times New Roman" w:eastAsia="宋体" w:cs="Times New Roman"/>
          <w:kern w:val="0"/>
          <w:sz w:val="24"/>
          <w:szCs w:val="24"/>
          <w:lang w:eastAsia="en-US"/>
        </w:rPr>
        <w:t xml:space="preserve"> Key Laboratory of 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Pollution Processes and Environmental Criteria, Tianjin Key Laboratory of Environmental Remediation and Pollution Control</w:t>
      </w:r>
      <w:r>
        <w:rPr>
          <w:rFonts w:ascii="Times New Roman" w:hAnsi="Times New Roman" w:eastAsia="宋体" w:cs="Times New Roman"/>
          <w:kern w:val="0"/>
          <w:sz w:val="24"/>
          <w:szCs w:val="24"/>
          <w:lang w:eastAsia="en-US"/>
        </w:rPr>
        <w:t>, Nankai University,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 xml:space="preserve"> 3</w:t>
      </w:r>
      <w:r>
        <w:rPr>
          <w:rFonts w:ascii="Times New Roman" w:hAnsi="Times New Roman" w:eastAsia="宋体" w:cs="Times New Roman"/>
          <w:kern w:val="0"/>
          <w:sz w:val="24"/>
          <w:szCs w:val="24"/>
          <w:lang w:eastAsia="en-US"/>
        </w:rPr>
        <w:t>8 Tongyan Road, Tianjin 300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350</w:t>
      </w:r>
      <w:r>
        <w:rPr>
          <w:rFonts w:ascii="Times New Roman" w:hAnsi="Times New Roman" w:eastAsia="宋体" w:cs="Times New Roman"/>
          <w:kern w:val="0"/>
          <w:sz w:val="24"/>
          <w:szCs w:val="24"/>
          <w:lang w:eastAsia="en-US"/>
        </w:rPr>
        <w:t>, China</w:t>
      </w:r>
      <w:bookmarkEnd w:id="2"/>
    </w:p>
    <w:p w14:paraId="5188A434">
      <w:pPr>
        <w:widowControl/>
        <w:adjustRightInd w:val="0"/>
        <w:snapToGrid w:val="0"/>
        <w:spacing w:line="480" w:lineRule="auto"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  <w:vertAlign w:val="superscript"/>
        </w:rPr>
        <w:t>2</w:t>
      </w:r>
      <w:r>
        <w:rPr>
          <w:rFonts w:ascii="Times New Roman" w:hAnsi="Times New Roman" w:eastAsia="宋体" w:cs="Times New Roman"/>
          <w:kern w:val="0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S</w:t>
      </w:r>
      <w:r>
        <w:rPr>
          <w:rFonts w:ascii="Times New Roman" w:hAnsi="Times New Roman" w:eastAsia="宋体" w:cs="Times New Roman"/>
          <w:kern w:val="0"/>
          <w:sz w:val="24"/>
          <w:szCs w:val="24"/>
          <w:lang w:eastAsia="en-US"/>
        </w:rPr>
        <w:t>inopec Engineering Incorporation, Beijing 100101, China</w:t>
      </w:r>
    </w:p>
    <w:p w14:paraId="02103B0E">
      <w:pPr>
        <w:widowControl/>
        <w:adjustRightInd w:val="0"/>
        <w:snapToGrid w:val="0"/>
        <w:spacing w:line="480" w:lineRule="auto"/>
        <w:jc w:val="left"/>
        <w:rPr>
          <w:rFonts w:ascii="Times New Roman" w:hAnsi="Times New Roman" w:eastAsia="宋体" w:cs="Times New Roman"/>
          <w:kern w:val="0"/>
          <w:sz w:val="24"/>
          <w:szCs w:val="24"/>
          <w:lang w:eastAsia="en-US"/>
        </w:rPr>
      </w:pPr>
      <w:r>
        <w:rPr>
          <w:rFonts w:ascii="Times New Roman" w:hAnsi="Times New Roman" w:eastAsia="宋体" w:cs="Times New Roman"/>
          <w:kern w:val="0"/>
          <w:sz w:val="24"/>
          <w:szCs w:val="24"/>
          <w:vertAlign w:val="superscript"/>
        </w:rPr>
        <w:t>3</w:t>
      </w:r>
      <w:r>
        <w:rPr>
          <w:rFonts w:ascii="Times New Roman" w:hAnsi="Times New Roman" w:eastAsia="宋体" w:cs="Times New Roman"/>
          <w:kern w:val="0"/>
          <w:sz w:val="24"/>
          <w:szCs w:val="24"/>
          <w:lang w:eastAsia="en-US"/>
        </w:rPr>
        <w:t xml:space="preserve"> Department of Environmental Protection, Changchun Gold Research Institute Co., Ltd., Changchun130000, China</w:t>
      </w:r>
    </w:p>
    <w:p w14:paraId="43B64B99">
      <w:pPr>
        <w:widowControl/>
        <w:adjustRightInd w:val="0"/>
        <w:snapToGrid w:val="0"/>
        <w:spacing w:line="480" w:lineRule="auto"/>
        <w:jc w:val="left"/>
        <w:rPr>
          <w:rFonts w:ascii="Times New Roman" w:hAnsi="Times New Roman" w:eastAsia="宋体" w:cs="Times New Roman"/>
          <w:color w:val="000000" w:themeColor="text1"/>
          <w:kern w:val="0"/>
          <w:sz w:val="24"/>
          <w:szCs w:val="24"/>
          <w:lang w:eastAsia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kern w:val="0"/>
          <w:sz w:val="24"/>
          <w:szCs w:val="24"/>
          <w:vertAlign w:val="superscript"/>
        </w:rPr>
        <w:t>4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 xml:space="preserve"> Department of Environmental Geosciences, Centre for Microbiology and Environmental Systems Science, University of Vienna, </w:t>
      </w:r>
      <w:r>
        <w:rPr>
          <w:rFonts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1090 Vienna, Austria</w:t>
      </w:r>
    </w:p>
    <w:p w14:paraId="6F151840">
      <w:pPr>
        <w:spacing w:line="480" w:lineRule="auto"/>
        <w:rPr>
          <w:rFonts w:ascii="等线" w:hAnsi="等线" w:eastAsia="等线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1750530D">
      <w:pPr>
        <w:widowControl/>
        <w:snapToGrid w:val="0"/>
        <w:spacing w:line="480" w:lineRule="auto"/>
        <w:jc w:val="center"/>
        <w:rPr>
          <w:rFonts w:hint="eastAsia"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 w:val="24"/>
          <w:szCs w:val="24"/>
          <w:lang w:eastAsia="en-US"/>
          <w14:textFill>
            <w14:solidFill>
              <w14:schemeClr w14:val="tx1"/>
            </w14:solidFill>
          </w14:textFill>
        </w:rPr>
        <w:t>Number of pages:</w:t>
      </w:r>
      <w:r>
        <w:rPr>
          <w:rFonts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12</w:t>
      </w:r>
    </w:p>
    <w:p w14:paraId="7F8EE0AD">
      <w:pPr>
        <w:widowControl/>
        <w:snapToGrid w:val="0"/>
        <w:spacing w:line="480" w:lineRule="auto"/>
        <w:jc w:val="center"/>
        <w:rPr>
          <w:rFonts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Number of tables: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4</w:t>
      </w:r>
    </w:p>
    <w:p w14:paraId="42D74A0F">
      <w:pPr>
        <w:widowControl/>
        <w:snapToGrid w:val="0"/>
        <w:spacing w:line="480" w:lineRule="auto"/>
        <w:jc w:val="center"/>
        <w:rPr>
          <w:rFonts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 w:val="24"/>
          <w:szCs w:val="24"/>
          <w:lang w:eastAsia="en-US"/>
          <w14:textFill>
            <w14:solidFill>
              <w14:schemeClr w14:val="tx1"/>
            </w14:solidFill>
          </w14:textFill>
        </w:rPr>
        <w:t xml:space="preserve">Number of figures: </w:t>
      </w:r>
      <w:r>
        <w:rPr>
          <w:rFonts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5</w:t>
      </w:r>
    </w:p>
    <w:p w14:paraId="3DE2C5A2">
      <w:pPr>
        <w:widowControl/>
        <w:snapToGrid w:val="0"/>
        <w:spacing w:line="480" w:lineRule="auto"/>
        <w:jc w:val="center"/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</w:pPr>
    </w:p>
    <w:p w14:paraId="5DD2852D">
      <w:pPr>
        <w:widowControl/>
        <w:adjustRightInd w:val="0"/>
        <w:snapToGrid w:val="0"/>
        <w:spacing w:line="480" w:lineRule="auto"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  <w:vertAlign w:val="superscript"/>
        </w:rPr>
        <w:t>*</w:t>
      </w:r>
      <w:r>
        <w:t xml:space="preserve"> 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>Corresponding author: tianchi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  <w:lang w:val="en-GB"/>
        </w:rPr>
        <w:t>.cao@nankai.edu.cn</w:t>
      </w:r>
    </w:p>
    <w:p w14:paraId="76176381">
      <w:pPr>
        <w:widowControl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br w:type="page"/>
      </w:r>
    </w:p>
    <w:p w14:paraId="4AAA54AB">
      <w:pPr>
        <w:widowControl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Text S1. 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Fluorescence </w:t>
      </w:r>
      <w:r>
        <w:rPr>
          <w:rFonts w:hint="eastAsia" w:ascii="Times New Roman" w:hAnsi="Times New Roman" w:cs="Times New Roman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arallel </w:t>
      </w:r>
      <w:r>
        <w:rPr>
          <w:rFonts w:hint="eastAsia" w:ascii="Times New Roman" w:hAnsi="Times New Roman" w:cs="Times New Roman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actor (PARAFAC) </w:t>
      </w:r>
      <w:r>
        <w:rPr>
          <w:rFonts w:hint="eastAsia" w:ascii="Times New Roman" w:hAnsi="Times New Roman" w:cs="Times New Roman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nalysis</w:t>
      </w:r>
    </w:p>
    <w:p w14:paraId="3B1D6BF8">
      <w:pPr>
        <w:widowControl/>
        <w:adjustRightInd w:val="0"/>
        <w:snapToGrid w:val="0"/>
        <w:spacing w:line="480" w:lineRule="auto"/>
        <w:ind w:firstLine="4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Fluorescence excitation–emission matrices (EEMs) were collected using a fluorescence spectrophotometer (F-7100, Hitachi, Japan). Emission spectra were recorded from 280 to 550 nm at 1 nm intervals, while excitation wavelengths were scanned from 220 to 450 nm with 5 nm increments. Both excitation and emission slit widths were set to 5 nm, and the scanning speed was maintained at 12,000 nm min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 w:eastAsia="zh-CN"/>
        </w:rPr>
        <w:t>−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. A 290 nm cutoff filter was applied to minimize second-order Rayleigh scattering. Inner-filter effects were corrected using an absorbance-based correction method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instrText xml:space="preserve"> ADDIN EN.CITE &lt;EndNote&gt;&lt;Cite&gt;&lt;Author&gt;Kothawala&lt;/Author&gt;&lt;Year&gt;2013&lt;/Year&gt;&lt;RecNum&gt;384&lt;/RecNum&gt;&lt;DisplayText&gt;&lt;style face="superscript"&gt;[1]&lt;/style&gt;&lt;/DisplayText&gt;&lt;record&gt;&lt;rec-number&gt;384&lt;/rec-number&gt;&lt;foreign-keys&gt;&lt;key app="EN" db-id="v9v2dxt2hr2w2oesrpv5555caev5txaszvvf" timestamp="1717144395"&gt;384&lt;/key&gt;&lt;/foreign-keys&gt;&lt;ref-type name="Journal Article"&gt;17&lt;/ref-type&gt;&lt;contributors&gt;&lt;authors&gt;&lt;author&gt;Kothawala, Dolly N.&lt;/author&gt;&lt;author&gt;Murphy, Kathleen R.&lt;/author&gt;&lt;author&gt;Stedmon, Colin A.&lt;/author&gt;&lt;author&gt;Weyhenmeyer, Gesa A.&lt;/author&gt;&lt;author&gt;Tranvik, Lars J.&lt;/author&gt;&lt;/authors&gt;&lt;/contributors&gt;&lt;titles&gt;&lt;title&gt;Inner filter correction of dissolved organic matter fluorescence&lt;/title&gt;&lt;secondary-title&gt;Limnology and Oceanography: Methods&lt;/secondary-title&gt;&lt;/titles&gt;&lt;periodical&gt;&lt;full-title&gt;Limnology and Oceanography: Methods&lt;/full-title&gt;&lt;/periodical&gt;&lt;pages&gt;616-630&lt;/pages&gt;&lt;volume&gt;11&lt;/volume&gt;&lt;number&gt;12&lt;/number&gt;&lt;dates&gt;&lt;year&gt;2013&lt;/year&gt;&lt;/dates&gt;&lt;isbn&gt;1541-5856&lt;/isbn&gt;&lt;urls&gt;&lt;related-urls&gt;&lt;url&gt;https://aslopubs.onlinelibrary.wiley.com/doi/abs/10.4319/lom.2013.11.616&lt;/url&gt;&lt;/related-urls&gt;&lt;/urls&gt;&lt;electronic-resource-num&gt;https://doi.org/10.4319/lom.2013.11.616&lt;/electronic-resource-num&gt;&lt;/record&gt;&lt;/Cite&gt;&lt;/EndNote&gt;</w:instrTex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[1]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. PARAFAC modeling was performed in MATLAB R2015b (MathWorks, Natick, MA, USA) using the DOMFluor toolbox (http://www.models.life.ku.dk). The PARAFAC procedure followed established protocols described in previous studies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fldChar w:fldCharType="begin">
          <w:fldData xml:space="preserve">PEVuZE5vdGU+PENpdGU+PEF1dGhvcj5TdGVkbW9uPC9BdXRob3I+PFllYXI+MjAwODwvWWVhcj48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</w:fldData>
        </w:fldChar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instrText xml:space="preserve"> ADDIN EN.CITE </w:instrTex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fldChar w:fldCharType="begin">
          <w:fldData xml:space="preserve">PEVuZE5vdGU+PENpdGU+PEF1dGhvcj5TdGVkbW9uPC9BdXRob3I+PFllYXI+MjAwODwvWWVhcj48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</w:fldData>
        </w:fldChar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instrText xml:space="preserve"> ADDIN EN.CITE.DATA </w:instrTex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[2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–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4]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appropriate number of components was determined based on model residuals, explained variance, and split-half validation to ensure model robustness and component stability. The maximum fluorescence intensity (</w:t>
      </w:r>
      <w:r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max</w:t>
      </w:r>
      <w:r>
        <w:rPr>
          <w:rFonts w:ascii="Times New Roman" w:hAnsi="Times New Roman" w:cs="Times New Roman"/>
          <w:sz w:val="24"/>
          <w:szCs w:val="24"/>
        </w:rPr>
        <w:t>) of each PARAFAC component was used as a proxy for its relative abundance. In total, 110 EEM datasets obtained from eight independent adsorption experiments were included in the PARAFAC analysis.</w:t>
      </w:r>
    </w:p>
    <w:p w14:paraId="29A89650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</w:rPr>
        <w:br w:type="page"/>
      </w:r>
      <w:r>
        <w:rPr>
          <w:rFonts w:hint="eastAsia" w:ascii="Times New Roman" w:hAnsi="Times New Roman"/>
          <w:b/>
          <w:bCs/>
          <w:sz w:val="24"/>
          <w:szCs w:val="24"/>
        </w:rPr>
        <w:t>Table S1</w:t>
      </w:r>
      <w:r>
        <w:rPr>
          <w:rFonts w:hint="eastAsia" w:ascii="Times New Roman" w:hAnsi="Times New Roman"/>
          <w:sz w:val="24"/>
          <w:szCs w:val="24"/>
        </w:rPr>
        <w:t xml:space="preserve">. Chemical </w:t>
      </w:r>
      <w:r>
        <w:rPr>
          <w:rFonts w:ascii="Times New Roman" w:hAnsi="Times New Roman"/>
          <w:sz w:val="24"/>
          <w:szCs w:val="24"/>
        </w:rPr>
        <w:t>structure</w:t>
      </w:r>
      <w:r>
        <w:rPr>
          <w:rFonts w:hint="eastAsia" w:ascii="Times New Roman" w:hAnsi="Times New Roman"/>
          <w:sz w:val="24"/>
          <w:szCs w:val="24"/>
        </w:rPr>
        <w:t xml:space="preserve"> of model microplastics</w:t>
      </w:r>
      <w:r>
        <w:rPr>
          <w:rFonts w:ascii="Times New Roman" w:hAnsi="Times New Roman"/>
          <w:sz w:val="24"/>
          <w:szCs w:val="24"/>
        </w:rPr>
        <w:t xml:space="preserve"> (MPs)</w:t>
      </w:r>
    </w:p>
    <w:tbl>
      <w:tblPr>
        <w:tblStyle w:val="7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7"/>
        <w:gridCol w:w="3117"/>
        <w:gridCol w:w="3118"/>
      </w:tblGrid>
      <w:tr w14:paraId="590182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7" w:type="dxa"/>
            <w:tcBorders>
              <w:top w:val="single" w:color="auto" w:sz="18" w:space="0"/>
              <w:bottom w:val="single" w:color="auto" w:sz="18" w:space="0"/>
            </w:tcBorders>
            <w:vAlign w:val="center"/>
          </w:tcPr>
          <w:p w14:paraId="7A8EFEEE">
            <w:pPr>
              <w:widowControl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Microplastic</w:t>
            </w:r>
          </w:p>
        </w:tc>
        <w:tc>
          <w:tcPr>
            <w:tcW w:w="3117" w:type="dxa"/>
            <w:tcBorders>
              <w:top w:val="single" w:color="auto" w:sz="18" w:space="0"/>
              <w:bottom w:val="single" w:color="auto" w:sz="18" w:space="0"/>
            </w:tcBorders>
            <w:vAlign w:val="center"/>
          </w:tcPr>
          <w:p w14:paraId="5AD6E160">
            <w:pPr>
              <w:widowControl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Abbreviation</w:t>
            </w:r>
          </w:p>
        </w:tc>
        <w:tc>
          <w:tcPr>
            <w:tcW w:w="3118" w:type="dxa"/>
            <w:tcBorders>
              <w:top w:val="single" w:color="auto" w:sz="18" w:space="0"/>
              <w:bottom w:val="single" w:color="auto" w:sz="18" w:space="0"/>
            </w:tcBorders>
            <w:vAlign w:val="center"/>
          </w:tcPr>
          <w:p w14:paraId="009115E4">
            <w:pPr>
              <w:widowControl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Chemical structure</w:t>
            </w:r>
          </w:p>
        </w:tc>
      </w:tr>
      <w:tr w14:paraId="4A9F15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7" w:type="dxa"/>
            <w:tcBorders>
              <w:top w:val="single" w:color="auto" w:sz="18" w:space="0"/>
            </w:tcBorders>
          </w:tcPr>
          <w:p w14:paraId="29F93F73">
            <w:pPr>
              <w:widowControl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Polyethylene</w:t>
            </w:r>
          </w:p>
        </w:tc>
        <w:tc>
          <w:tcPr>
            <w:tcW w:w="3117" w:type="dxa"/>
            <w:tcBorders>
              <w:top w:val="single" w:color="auto" w:sz="18" w:space="0"/>
            </w:tcBorders>
          </w:tcPr>
          <w:p w14:paraId="5A03EBE1">
            <w:pPr>
              <w:widowControl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PE</w:t>
            </w:r>
          </w:p>
        </w:tc>
        <w:tc>
          <w:tcPr>
            <w:tcW w:w="3118" w:type="dxa"/>
            <w:tcBorders>
              <w:top w:val="single" w:color="auto" w:sz="18" w:space="0"/>
            </w:tcBorders>
          </w:tcPr>
          <w:p w14:paraId="637CED0E">
            <w:pPr>
              <w:widowControl/>
              <w:spacing w:after="200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drawing>
                <wp:inline distT="0" distB="0" distL="0" distR="0">
                  <wp:extent cx="829310" cy="574040"/>
                  <wp:effectExtent l="0" t="0" r="889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79" cy="5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8515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7" w:type="dxa"/>
          </w:tcPr>
          <w:p w14:paraId="54094437">
            <w:pPr>
              <w:widowControl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bookmarkStart w:id="3" w:name="_Hlk166763626"/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Polypropylene</w:t>
            </w:r>
            <w:bookmarkEnd w:id="3"/>
          </w:p>
        </w:tc>
        <w:tc>
          <w:tcPr>
            <w:tcW w:w="3117" w:type="dxa"/>
          </w:tcPr>
          <w:p w14:paraId="028AD4F7">
            <w:pPr>
              <w:widowControl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PP</w:t>
            </w:r>
          </w:p>
        </w:tc>
        <w:tc>
          <w:tcPr>
            <w:tcW w:w="3118" w:type="dxa"/>
          </w:tcPr>
          <w:p w14:paraId="2318B92F">
            <w:pPr>
              <w:widowControl/>
              <w:spacing w:after="200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810260" cy="599440"/>
                  <wp:effectExtent l="0" t="0" r="889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517" cy="60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7D50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7" w:type="dxa"/>
          </w:tcPr>
          <w:p w14:paraId="3A939671">
            <w:pPr>
              <w:widowControl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P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olyethylene terephthalate</w:t>
            </w:r>
          </w:p>
        </w:tc>
        <w:tc>
          <w:tcPr>
            <w:tcW w:w="3117" w:type="dxa"/>
          </w:tcPr>
          <w:p w14:paraId="4AFF4E75">
            <w:pPr>
              <w:widowControl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PET</w:t>
            </w:r>
          </w:p>
        </w:tc>
        <w:tc>
          <w:tcPr>
            <w:tcW w:w="3118" w:type="dxa"/>
          </w:tcPr>
          <w:p w14:paraId="3F71BD70">
            <w:pPr>
              <w:widowControl/>
              <w:spacing w:after="200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drawing>
                <wp:inline distT="0" distB="0" distL="0" distR="0">
                  <wp:extent cx="1488440" cy="494030"/>
                  <wp:effectExtent l="0" t="0" r="0" b="127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284" cy="49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FE04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7" w:type="dxa"/>
          </w:tcPr>
          <w:p w14:paraId="27936289">
            <w:pPr>
              <w:widowControl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bookmarkStart w:id="4" w:name="_Hlk166763672"/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P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olystyrene</w:t>
            </w:r>
            <w:bookmarkEnd w:id="4"/>
          </w:p>
        </w:tc>
        <w:tc>
          <w:tcPr>
            <w:tcW w:w="3117" w:type="dxa"/>
          </w:tcPr>
          <w:p w14:paraId="5C37E31B">
            <w:pPr>
              <w:widowControl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PS</w:t>
            </w:r>
          </w:p>
        </w:tc>
        <w:tc>
          <w:tcPr>
            <w:tcW w:w="3118" w:type="dxa"/>
          </w:tcPr>
          <w:p w14:paraId="67106BA2">
            <w:pPr>
              <w:widowControl/>
              <w:tabs>
                <w:tab w:val="left" w:pos="1260"/>
              </w:tabs>
              <w:spacing w:after="200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drawing>
                <wp:inline distT="0" distB="0" distL="0" distR="0">
                  <wp:extent cx="643890" cy="822960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71" cy="834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8A51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7" w:type="dxa"/>
            <w:tcBorders>
              <w:bottom w:val="single" w:color="auto" w:sz="18" w:space="0"/>
            </w:tcBorders>
          </w:tcPr>
          <w:p w14:paraId="5AF09357">
            <w:pPr>
              <w:widowControl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P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olyvinyl chloride</w:t>
            </w:r>
          </w:p>
        </w:tc>
        <w:tc>
          <w:tcPr>
            <w:tcW w:w="3117" w:type="dxa"/>
            <w:tcBorders>
              <w:bottom w:val="single" w:color="auto" w:sz="18" w:space="0"/>
            </w:tcBorders>
          </w:tcPr>
          <w:p w14:paraId="5A516378">
            <w:pPr>
              <w:widowControl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PVC</w:t>
            </w:r>
          </w:p>
        </w:tc>
        <w:tc>
          <w:tcPr>
            <w:tcW w:w="3118" w:type="dxa"/>
            <w:tcBorders>
              <w:bottom w:val="single" w:color="auto" w:sz="18" w:space="0"/>
            </w:tcBorders>
          </w:tcPr>
          <w:p w14:paraId="7F61DDE3">
            <w:pPr>
              <w:widowControl/>
              <w:spacing w:after="200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797560" cy="699135"/>
                  <wp:effectExtent l="0" t="0" r="2540" b="571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857" cy="70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0F0440">
      <w:pPr>
        <w:widowControl/>
        <w:jc w:val="left"/>
        <w:rPr>
          <w:rFonts w:ascii="Times New Roman" w:hAnsi="Times New Roman"/>
          <w:b/>
          <w:bCs/>
        </w:rPr>
        <w:sectPr>
          <w:footerReference r:id="rId3" w:type="default"/>
          <w:pgSz w:w="12242" w:h="15842"/>
          <w:pgMar w:top="1440" w:right="1440" w:bottom="1440" w:left="1440" w:header="851" w:footer="992" w:gutter="0"/>
          <w:cols w:space="425" w:num="1"/>
          <w:docGrid w:type="linesAndChars" w:linePitch="312" w:charSpace="0"/>
        </w:sectPr>
      </w:pPr>
    </w:p>
    <w:p w14:paraId="44CC77E8">
      <w:pPr>
        <w:widowControl/>
        <w:jc w:val="left"/>
        <w:rPr>
          <w:rFonts w:ascii="Times New Roman" w:hAnsi="Times New Roma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Table S2</w:t>
      </w:r>
      <w:r>
        <w:rPr>
          <w:rFonts w:hint="eastAsia"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/>
        </w:rPr>
        <w:t>Selected physicochemical properties of pristine, 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-aged</w:t>
      </w:r>
      <w:r>
        <w:rPr>
          <w:rFonts w:hint="eastAsia" w:ascii="Times New Roman" w:hAnsi="Times New Roman"/>
          <w:lang w:val="en-US" w:eastAsia="zh-CN"/>
        </w:rPr>
        <w:t>,</w:t>
      </w:r>
      <w:r>
        <w:rPr>
          <w:rFonts w:ascii="Times New Roman" w:hAnsi="Times New Roman"/>
        </w:rPr>
        <w:t xml:space="preserve"> and UV-aged MPs</w:t>
      </w:r>
    </w:p>
    <w:tbl>
      <w:tblPr>
        <w:tblStyle w:val="7"/>
        <w:tblpPr w:leftFromText="180" w:rightFromText="180" w:vertAnchor="page" w:horzAnchor="margin" w:tblpXSpec="center" w:tblpY="1781"/>
        <w:tblW w:w="1269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4"/>
        <w:gridCol w:w="937"/>
        <w:gridCol w:w="558"/>
        <w:gridCol w:w="276"/>
        <w:gridCol w:w="1082"/>
        <w:gridCol w:w="1357"/>
        <w:gridCol w:w="1231"/>
        <w:gridCol w:w="1169"/>
        <w:gridCol w:w="1112"/>
        <w:gridCol w:w="819"/>
        <w:gridCol w:w="576"/>
        <w:gridCol w:w="576"/>
        <w:gridCol w:w="1061"/>
        <w:gridCol w:w="990"/>
      </w:tblGrid>
      <w:tr w14:paraId="4F238D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0" w:type="dxa"/>
            <w:vMerge w:val="restart"/>
            <w:tcBorders>
              <w:top w:val="single" w:color="auto" w:sz="18" w:space="0"/>
              <w:bottom w:val="single" w:color="auto" w:sz="4" w:space="0"/>
            </w:tcBorders>
            <w:vAlign w:val="center"/>
          </w:tcPr>
          <w:p w14:paraId="7320C8EF">
            <w:pPr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bookmarkStart w:id="5" w:name="_Hlk174316945"/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 xml:space="preserve">MPs </w:t>
            </w:r>
            <w:r>
              <w:rPr>
                <w:rFonts w:ascii="Times New Roman" w:hAnsi="Times New Roman" w:eastAsia="宋体" w:cs="Times New Roman"/>
                <w:i/>
                <w:iCs/>
                <w:kern w:val="2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514" w:type="dxa"/>
            <w:gridSpan w:val="2"/>
            <w:tcBorders>
              <w:top w:val="single" w:color="auto" w:sz="18" w:space="0"/>
              <w:bottom w:val="single" w:color="auto" w:sz="4" w:space="0"/>
            </w:tcBorders>
            <w:vAlign w:val="center"/>
          </w:tcPr>
          <w:p w14:paraId="4BC967D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 xml:space="preserve">Molecular weight 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278" w:type="dxa"/>
            <w:tcBorders>
              <w:top w:val="single" w:color="auto" w:sz="18" w:space="0"/>
            </w:tcBorders>
          </w:tcPr>
          <w:p w14:paraId="08A290FC">
            <w:pPr>
              <w:widowControl/>
              <w:adjustRightInd w:val="0"/>
              <w:snapToGrid w:val="0"/>
              <w:spacing w:after="200"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17" w:type="dxa"/>
            <w:gridSpan w:val="3"/>
            <w:tcBorders>
              <w:top w:val="single" w:color="auto" w:sz="18" w:space="0"/>
              <w:bottom w:val="single" w:color="auto" w:sz="4" w:space="0"/>
            </w:tcBorders>
            <w:vAlign w:val="center"/>
          </w:tcPr>
          <w:p w14:paraId="5FA0C526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BET</w:t>
            </w:r>
          </w:p>
        </w:tc>
        <w:tc>
          <w:tcPr>
            <w:tcW w:w="1186" w:type="dxa"/>
            <w:vMerge w:val="restart"/>
            <w:tcBorders>
              <w:top w:val="single" w:color="auto" w:sz="18" w:space="0"/>
              <w:bottom w:val="single" w:color="auto" w:sz="4" w:space="0"/>
            </w:tcBorders>
            <w:vAlign w:val="center"/>
          </w:tcPr>
          <w:p w14:paraId="35B82616">
            <w:pPr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Average </w:t>
            </w:r>
          </w:p>
          <w:p w14:paraId="7499E751">
            <w:pPr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particle size </w:t>
            </w:r>
            <w:r>
              <w:rPr>
                <w:rFonts w:ascii="Times New Roman" w:hAnsi="Times New Roman" w:eastAsia="宋体" w:cs="Times New Roman"/>
                <w:i/>
                <w:iCs/>
                <w:color w:val="000000" w:themeColor="text1"/>
                <w:kern w:val="2"/>
                <w:sz w:val="16"/>
                <w:szCs w:val="16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 w14:paraId="4F4BF9A6">
            <w:pPr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(μm)</w:t>
            </w:r>
          </w:p>
        </w:tc>
        <w:tc>
          <w:tcPr>
            <w:tcW w:w="1133" w:type="dxa"/>
            <w:vMerge w:val="restart"/>
            <w:tcBorders>
              <w:top w:val="single" w:color="auto" w:sz="18" w:space="0"/>
              <w:bottom w:val="single" w:color="auto" w:sz="4" w:space="0"/>
            </w:tcBorders>
            <w:vAlign w:val="center"/>
          </w:tcPr>
          <w:p w14:paraId="0BEC4CE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 xml:space="preserve">Total C </w:t>
            </w:r>
            <w:r>
              <w:rPr>
                <w:rFonts w:ascii="Times New Roman" w:hAnsi="Times New Roman" w:eastAsia="宋体" w:cs="Times New Roman"/>
                <w:i/>
                <w:iCs/>
                <w:kern w:val="2"/>
                <w:sz w:val="16"/>
                <w:szCs w:val="16"/>
                <w:vertAlign w:val="superscript"/>
              </w:rPr>
              <w:t>d</w:t>
            </w:r>
          </w:p>
          <w:p w14:paraId="30B52C73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(%)</w:t>
            </w:r>
          </w:p>
        </w:tc>
        <w:tc>
          <w:tcPr>
            <w:tcW w:w="829" w:type="dxa"/>
            <w:vMerge w:val="restart"/>
            <w:tcBorders>
              <w:top w:val="single" w:color="auto" w:sz="18" w:space="0"/>
              <w:bottom w:val="single" w:color="auto" w:sz="4" w:space="0"/>
            </w:tcBorders>
            <w:vAlign w:val="center"/>
          </w:tcPr>
          <w:p w14:paraId="5794ADAB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Total O</w:t>
            </w:r>
          </w:p>
          <w:p w14:paraId="3176F4C5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(%)</w:t>
            </w:r>
          </w:p>
        </w:tc>
        <w:tc>
          <w:tcPr>
            <w:tcW w:w="566" w:type="dxa"/>
            <w:vMerge w:val="restart"/>
            <w:tcBorders>
              <w:top w:val="single" w:color="auto" w:sz="18" w:space="0"/>
              <w:bottom w:val="single" w:color="auto" w:sz="4" w:space="0"/>
            </w:tcBorders>
            <w:vAlign w:val="center"/>
          </w:tcPr>
          <w:p w14:paraId="3B98FDD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O/C</w:t>
            </w:r>
          </w:p>
        </w:tc>
        <w:tc>
          <w:tcPr>
            <w:tcW w:w="566" w:type="dxa"/>
            <w:vMerge w:val="restart"/>
            <w:tcBorders>
              <w:top w:val="single" w:color="auto" w:sz="18" w:space="0"/>
              <w:bottom w:val="single" w:color="auto" w:sz="4" w:space="0"/>
            </w:tcBorders>
            <w:vAlign w:val="center"/>
          </w:tcPr>
          <w:p w14:paraId="774FC805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H/C</w:t>
            </w:r>
          </w:p>
        </w:tc>
        <w:tc>
          <w:tcPr>
            <w:tcW w:w="1008" w:type="dxa"/>
            <w:vMerge w:val="restart"/>
            <w:tcBorders>
              <w:top w:val="single" w:color="auto" w:sz="18" w:space="0"/>
              <w:bottom w:val="single" w:color="auto" w:sz="4" w:space="0"/>
            </w:tcBorders>
            <w:vAlign w:val="center"/>
          </w:tcPr>
          <w:p w14:paraId="4AB9659F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Hydrophobic C</w:t>
            </w: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 xml:space="preserve"> (%)</w:t>
            </w:r>
          </w:p>
        </w:tc>
        <w:tc>
          <w:tcPr>
            <w:tcW w:w="941" w:type="dxa"/>
            <w:vMerge w:val="restart"/>
            <w:tcBorders>
              <w:top w:val="single" w:color="auto" w:sz="18" w:space="0"/>
              <w:bottom w:val="single" w:color="auto" w:sz="4" w:space="0"/>
            </w:tcBorders>
            <w:vAlign w:val="center"/>
          </w:tcPr>
          <w:p w14:paraId="457C5DB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Hydrophilic C</w:t>
            </w: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 xml:space="preserve"> (%)</w:t>
            </w:r>
          </w:p>
        </w:tc>
      </w:tr>
      <w:tr w14:paraId="31F44F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0" w:type="dxa"/>
            <w:vMerge w:val="continue"/>
            <w:tcBorders>
              <w:top w:val="single" w:color="auto" w:sz="4" w:space="0"/>
              <w:bottom w:val="single" w:color="auto" w:sz="12" w:space="0"/>
            </w:tcBorders>
            <w:vAlign w:val="center"/>
          </w:tcPr>
          <w:p w14:paraId="21EB8F1A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</w:p>
        </w:tc>
        <w:tc>
          <w:tcPr>
            <w:tcW w:w="954" w:type="dxa"/>
            <w:tcBorders>
              <w:top w:val="single" w:color="auto" w:sz="4" w:space="0"/>
              <w:bottom w:val="single" w:color="auto" w:sz="12" w:space="0"/>
            </w:tcBorders>
            <w:vAlign w:val="center"/>
          </w:tcPr>
          <w:p w14:paraId="64DDA22C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:vertAlign w:val="subscript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 w14:paraId="25A3680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(10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Da) </w:t>
            </w:r>
          </w:p>
        </w:tc>
        <w:tc>
          <w:tcPr>
            <w:tcW w:w="560" w:type="dxa"/>
            <w:tcBorders>
              <w:top w:val="single" w:color="auto" w:sz="4" w:space="0"/>
              <w:bottom w:val="single" w:color="auto" w:sz="12" w:space="0"/>
            </w:tcBorders>
            <w:vAlign w:val="center"/>
          </w:tcPr>
          <w:p w14:paraId="08D97EB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PDI</w:t>
            </w:r>
          </w:p>
        </w:tc>
        <w:tc>
          <w:tcPr>
            <w:tcW w:w="278" w:type="dxa"/>
            <w:tcBorders>
              <w:bottom w:val="single" w:color="auto" w:sz="12" w:space="0"/>
            </w:tcBorders>
          </w:tcPr>
          <w:p w14:paraId="1ADE636F">
            <w:pPr>
              <w:widowControl/>
              <w:adjustRightInd w:val="0"/>
              <w:snapToGrid w:val="0"/>
              <w:spacing w:after="200"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98" w:type="dxa"/>
            <w:tcBorders>
              <w:top w:val="single" w:color="auto" w:sz="4" w:space="0"/>
              <w:bottom w:val="single" w:color="auto" w:sz="12" w:space="0"/>
            </w:tcBorders>
            <w:vAlign w:val="center"/>
          </w:tcPr>
          <w:p w14:paraId="60995AF6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surface area (m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:vertAlign w:val="super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default" w:ascii="Times New Roman" w:hAnsi="Times New Roman" w:cs="Times New Roman"/>
                <w:sz w:val="16"/>
                <w:szCs w:val="16"/>
                <w:vertAlign w:val="superscript"/>
                <w:lang w:val="en-US" w:eastAsia="zh-CN"/>
              </w:rPr>
              <w:t>−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375" w:type="dxa"/>
            <w:tcBorders>
              <w:top w:val="single" w:color="auto" w:sz="4" w:space="0"/>
              <w:bottom w:val="single" w:color="auto" w:sz="12" w:space="0"/>
            </w:tcBorders>
            <w:vAlign w:val="center"/>
          </w:tcPr>
          <w:p w14:paraId="76436DB3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Micropore volume</w:t>
            </w:r>
          </w:p>
          <w:p w14:paraId="13D4602B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(10</w:t>
            </w:r>
            <w:r>
              <w:rPr>
                <w:rFonts w:hint="default" w:ascii="Times New Roman" w:hAnsi="Times New Roman" w:cs="Times New Roman"/>
                <w:sz w:val="16"/>
                <w:szCs w:val="16"/>
                <w:vertAlign w:val="superscript"/>
                <w:lang w:val="en-US" w:eastAsia="zh-CN"/>
              </w:rPr>
              <w:t>−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cm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:vertAlign w:val="super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default" w:ascii="Times New Roman" w:hAnsi="Times New Roman" w:cs="Times New Roman"/>
                <w:sz w:val="16"/>
                <w:szCs w:val="16"/>
                <w:vertAlign w:val="superscript"/>
                <w:lang w:val="en-US" w:eastAsia="zh-CN"/>
              </w:rPr>
              <w:t>−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244" w:type="dxa"/>
            <w:tcBorders>
              <w:top w:val="single" w:color="auto" w:sz="4" w:space="0"/>
              <w:bottom w:val="single" w:color="auto" w:sz="12" w:space="0"/>
            </w:tcBorders>
            <w:vAlign w:val="center"/>
          </w:tcPr>
          <w:p w14:paraId="557A1A13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Micropore width</w:t>
            </w:r>
          </w:p>
          <w:p w14:paraId="48473D8B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2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(nm)</w:t>
            </w:r>
          </w:p>
        </w:tc>
        <w:tc>
          <w:tcPr>
            <w:tcW w:w="1186" w:type="dxa"/>
            <w:vMerge w:val="continue"/>
            <w:tcBorders>
              <w:bottom w:val="single" w:color="auto" w:sz="12" w:space="0"/>
            </w:tcBorders>
            <w:vAlign w:val="center"/>
          </w:tcPr>
          <w:p w14:paraId="7010D3E3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</w:p>
        </w:tc>
        <w:tc>
          <w:tcPr>
            <w:tcW w:w="1133" w:type="dxa"/>
            <w:vMerge w:val="continue"/>
            <w:tcBorders>
              <w:bottom w:val="single" w:color="auto" w:sz="12" w:space="0"/>
            </w:tcBorders>
            <w:vAlign w:val="center"/>
          </w:tcPr>
          <w:p w14:paraId="509D95D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</w:p>
        </w:tc>
        <w:tc>
          <w:tcPr>
            <w:tcW w:w="829" w:type="dxa"/>
            <w:vMerge w:val="continue"/>
            <w:tcBorders>
              <w:bottom w:val="single" w:color="auto" w:sz="12" w:space="0"/>
            </w:tcBorders>
            <w:vAlign w:val="center"/>
          </w:tcPr>
          <w:p w14:paraId="488B166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</w:p>
        </w:tc>
        <w:tc>
          <w:tcPr>
            <w:tcW w:w="566" w:type="dxa"/>
            <w:vMerge w:val="continue"/>
            <w:tcBorders>
              <w:bottom w:val="single" w:color="auto" w:sz="12" w:space="0"/>
            </w:tcBorders>
            <w:vAlign w:val="center"/>
          </w:tcPr>
          <w:p w14:paraId="1AE836F5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</w:p>
        </w:tc>
        <w:tc>
          <w:tcPr>
            <w:tcW w:w="566" w:type="dxa"/>
            <w:vMerge w:val="continue"/>
            <w:tcBorders>
              <w:bottom w:val="single" w:color="auto" w:sz="12" w:space="0"/>
            </w:tcBorders>
            <w:vAlign w:val="center"/>
          </w:tcPr>
          <w:p w14:paraId="599102EF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</w:p>
        </w:tc>
        <w:tc>
          <w:tcPr>
            <w:tcW w:w="1008" w:type="dxa"/>
            <w:vMerge w:val="continue"/>
            <w:tcBorders>
              <w:bottom w:val="single" w:color="auto" w:sz="12" w:space="0"/>
            </w:tcBorders>
            <w:vAlign w:val="center"/>
          </w:tcPr>
          <w:p w14:paraId="2B2A71E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</w:p>
        </w:tc>
        <w:tc>
          <w:tcPr>
            <w:tcW w:w="941" w:type="dxa"/>
            <w:vMerge w:val="continue"/>
            <w:tcBorders>
              <w:bottom w:val="single" w:color="auto" w:sz="12" w:space="0"/>
            </w:tcBorders>
            <w:vAlign w:val="center"/>
          </w:tcPr>
          <w:p w14:paraId="1661688B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</w:p>
        </w:tc>
      </w:tr>
      <w:tr w14:paraId="79ED14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60" w:type="dxa"/>
            <w:tcBorders>
              <w:top w:val="single" w:color="auto" w:sz="18" w:space="0"/>
            </w:tcBorders>
            <w:vAlign w:val="center"/>
          </w:tcPr>
          <w:p w14:paraId="048776D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PE</w:t>
            </w:r>
          </w:p>
        </w:tc>
        <w:tc>
          <w:tcPr>
            <w:tcW w:w="954" w:type="dxa"/>
            <w:tcBorders>
              <w:top w:val="single" w:color="auto" w:sz="18" w:space="0"/>
            </w:tcBorders>
            <w:vAlign w:val="center"/>
          </w:tcPr>
          <w:p w14:paraId="5BE5CBCC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2.28 ±</w:t>
            </w: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0.07</w:t>
            </w:r>
          </w:p>
        </w:tc>
        <w:tc>
          <w:tcPr>
            <w:tcW w:w="560" w:type="dxa"/>
            <w:tcBorders>
              <w:top w:val="single" w:color="auto" w:sz="18" w:space="0"/>
            </w:tcBorders>
            <w:vAlign w:val="center"/>
          </w:tcPr>
          <w:p w14:paraId="19C840D5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1.74</w:t>
            </w:r>
          </w:p>
        </w:tc>
        <w:tc>
          <w:tcPr>
            <w:tcW w:w="278" w:type="dxa"/>
            <w:tcBorders>
              <w:top w:val="single" w:color="auto" w:sz="18" w:space="0"/>
            </w:tcBorders>
          </w:tcPr>
          <w:p w14:paraId="326BD830">
            <w:pPr>
              <w:widowControl/>
              <w:adjustRightInd w:val="0"/>
              <w:snapToGrid w:val="0"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color="auto" w:sz="18" w:space="0"/>
            </w:tcBorders>
            <w:vAlign w:val="center"/>
          </w:tcPr>
          <w:p w14:paraId="6E5174B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0.26 ± 0.01</w:t>
            </w:r>
          </w:p>
        </w:tc>
        <w:tc>
          <w:tcPr>
            <w:tcW w:w="1375" w:type="dxa"/>
            <w:tcBorders>
              <w:top w:val="single" w:color="auto" w:sz="18" w:space="0"/>
            </w:tcBorders>
            <w:vAlign w:val="center"/>
          </w:tcPr>
          <w:p w14:paraId="45F8658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0.17 ± 0.04</w:t>
            </w:r>
          </w:p>
        </w:tc>
        <w:tc>
          <w:tcPr>
            <w:tcW w:w="1244" w:type="dxa"/>
            <w:tcBorders>
              <w:top w:val="single" w:color="auto" w:sz="18" w:space="0"/>
            </w:tcBorders>
            <w:vAlign w:val="center"/>
          </w:tcPr>
          <w:p w14:paraId="655CCBD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1.13 ± 0.06</w:t>
            </w:r>
          </w:p>
        </w:tc>
        <w:tc>
          <w:tcPr>
            <w:tcW w:w="1186" w:type="dxa"/>
            <w:tcBorders>
              <w:top w:val="single" w:color="auto" w:sz="18" w:space="0"/>
            </w:tcBorders>
            <w:vAlign w:val="center"/>
          </w:tcPr>
          <w:p w14:paraId="34047CA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61.2 ± 26.4</w:t>
            </w:r>
          </w:p>
        </w:tc>
        <w:tc>
          <w:tcPr>
            <w:tcW w:w="1133" w:type="dxa"/>
            <w:tcBorders>
              <w:top w:val="single" w:color="auto" w:sz="18" w:space="0"/>
            </w:tcBorders>
            <w:vAlign w:val="center"/>
          </w:tcPr>
          <w:p w14:paraId="2B2ED71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91.32</w:t>
            </w:r>
          </w:p>
        </w:tc>
        <w:tc>
          <w:tcPr>
            <w:tcW w:w="829" w:type="dxa"/>
            <w:tcBorders>
              <w:top w:val="single" w:color="auto" w:sz="18" w:space="0"/>
            </w:tcBorders>
            <w:vAlign w:val="center"/>
          </w:tcPr>
          <w:p w14:paraId="3EFDEDE3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7.71</w:t>
            </w:r>
          </w:p>
        </w:tc>
        <w:tc>
          <w:tcPr>
            <w:tcW w:w="566" w:type="dxa"/>
            <w:tcBorders>
              <w:top w:val="single" w:color="auto" w:sz="18" w:space="0"/>
            </w:tcBorders>
            <w:vAlign w:val="center"/>
          </w:tcPr>
          <w:p w14:paraId="2E9BEC3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0.084</w:t>
            </w:r>
          </w:p>
        </w:tc>
        <w:tc>
          <w:tcPr>
            <w:tcW w:w="566" w:type="dxa"/>
            <w:tcBorders>
              <w:top w:val="single" w:color="auto" w:sz="18" w:space="0"/>
            </w:tcBorders>
            <w:vAlign w:val="center"/>
          </w:tcPr>
          <w:p w14:paraId="2EC1D026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0.147</w:t>
            </w:r>
          </w:p>
        </w:tc>
        <w:tc>
          <w:tcPr>
            <w:tcW w:w="1008" w:type="dxa"/>
            <w:tcBorders>
              <w:top w:val="single" w:color="auto" w:sz="18" w:space="0"/>
            </w:tcBorders>
            <w:vAlign w:val="center"/>
          </w:tcPr>
          <w:p w14:paraId="5C5B174C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95.54</w:t>
            </w:r>
          </w:p>
        </w:tc>
        <w:tc>
          <w:tcPr>
            <w:tcW w:w="941" w:type="dxa"/>
            <w:tcBorders>
              <w:top w:val="single" w:color="auto" w:sz="18" w:space="0"/>
            </w:tcBorders>
            <w:vAlign w:val="center"/>
          </w:tcPr>
          <w:p w14:paraId="2D99A21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4.46</w:t>
            </w:r>
          </w:p>
        </w:tc>
      </w:tr>
      <w:tr w14:paraId="391C63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0" w:type="dxa"/>
            <w:vAlign w:val="center"/>
          </w:tcPr>
          <w:p w14:paraId="17428211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PE-O</w:t>
            </w: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54" w:type="dxa"/>
            <w:vAlign w:val="center"/>
          </w:tcPr>
          <w:p w14:paraId="6D84782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2.40 ± 0.07</w:t>
            </w:r>
          </w:p>
        </w:tc>
        <w:tc>
          <w:tcPr>
            <w:tcW w:w="560" w:type="dxa"/>
            <w:vAlign w:val="center"/>
          </w:tcPr>
          <w:p w14:paraId="0E024FE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1.71</w:t>
            </w:r>
          </w:p>
        </w:tc>
        <w:tc>
          <w:tcPr>
            <w:tcW w:w="278" w:type="dxa"/>
          </w:tcPr>
          <w:p w14:paraId="09C11656">
            <w:pPr>
              <w:widowControl/>
              <w:adjustRightInd w:val="0"/>
              <w:snapToGrid w:val="0"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16"/>
                <w:szCs w:val="16"/>
              </w:rPr>
            </w:pPr>
          </w:p>
        </w:tc>
        <w:tc>
          <w:tcPr>
            <w:tcW w:w="1098" w:type="dxa"/>
            <w:vAlign w:val="center"/>
          </w:tcPr>
          <w:p w14:paraId="4F828F8C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1.12 ± 0.05</w:t>
            </w:r>
          </w:p>
        </w:tc>
        <w:tc>
          <w:tcPr>
            <w:tcW w:w="1375" w:type="dxa"/>
            <w:vAlign w:val="center"/>
          </w:tcPr>
          <w:p w14:paraId="5EC9D17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0.32 ± 0.06</w:t>
            </w:r>
          </w:p>
        </w:tc>
        <w:tc>
          <w:tcPr>
            <w:tcW w:w="1244" w:type="dxa"/>
            <w:vAlign w:val="center"/>
          </w:tcPr>
          <w:p w14:paraId="7F749EE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1.13 ± 0.05</w:t>
            </w:r>
          </w:p>
        </w:tc>
        <w:tc>
          <w:tcPr>
            <w:tcW w:w="1186" w:type="dxa"/>
            <w:vAlign w:val="center"/>
          </w:tcPr>
          <w:p w14:paraId="3800453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27.1 ± 19.4</w:t>
            </w:r>
          </w:p>
        </w:tc>
        <w:tc>
          <w:tcPr>
            <w:tcW w:w="1133" w:type="dxa"/>
            <w:vAlign w:val="center"/>
          </w:tcPr>
          <w:p w14:paraId="7D6BB48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84.47</w:t>
            </w:r>
          </w:p>
        </w:tc>
        <w:tc>
          <w:tcPr>
            <w:tcW w:w="829" w:type="dxa"/>
            <w:vAlign w:val="center"/>
          </w:tcPr>
          <w:p w14:paraId="27F99AA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14.97</w:t>
            </w:r>
          </w:p>
        </w:tc>
        <w:tc>
          <w:tcPr>
            <w:tcW w:w="566" w:type="dxa"/>
            <w:vAlign w:val="center"/>
          </w:tcPr>
          <w:p w14:paraId="2DAFAD99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0.177</w:t>
            </w:r>
          </w:p>
        </w:tc>
        <w:tc>
          <w:tcPr>
            <w:tcW w:w="566" w:type="dxa"/>
            <w:vAlign w:val="center"/>
          </w:tcPr>
          <w:p w14:paraId="47A39CC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0.149</w:t>
            </w:r>
          </w:p>
        </w:tc>
        <w:tc>
          <w:tcPr>
            <w:tcW w:w="1008" w:type="dxa"/>
            <w:vAlign w:val="center"/>
          </w:tcPr>
          <w:p w14:paraId="6AC1473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82.93</w:t>
            </w:r>
          </w:p>
        </w:tc>
        <w:tc>
          <w:tcPr>
            <w:tcW w:w="941" w:type="dxa"/>
            <w:vAlign w:val="center"/>
          </w:tcPr>
          <w:p w14:paraId="13D6F908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17.07</w:t>
            </w:r>
          </w:p>
        </w:tc>
      </w:tr>
      <w:tr w14:paraId="39AB50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0" w:type="dxa"/>
            <w:vAlign w:val="center"/>
          </w:tcPr>
          <w:p w14:paraId="112C81CB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PE-UV</w:t>
            </w:r>
          </w:p>
        </w:tc>
        <w:tc>
          <w:tcPr>
            <w:tcW w:w="954" w:type="dxa"/>
            <w:vAlign w:val="center"/>
          </w:tcPr>
          <w:p w14:paraId="737BFA9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2.42 ± 0.07</w:t>
            </w:r>
          </w:p>
        </w:tc>
        <w:tc>
          <w:tcPr>
            <w:tcW w:w="560" w:type="dxa"/>
            <w:vAlign w:val="center"/>
          </w:tcPr>
          <w:p w14:paraId="7648AB39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1.66</w:t>
            </w:r>
          </w:p>
        </w:tc>
        <w:tc>
          <w:tcPr>
            <w:tcW w:w="278" w:type="dxa"/>
          </w:tcPr>
          <w:p w14:paraId="5CDD9108">
            <w:pPr>
              <w:widowControl/>
              <w:adjustRightInd w:val="0"/>
              <w:snapToGrid w:val="0"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16"/>
                <w:szCs w:val="16"/>
              </w:rPr>
            </w:pPr>
          </w:p>
        </w:tc>
        <w:tc>
          <w:tcPr>
            <w:tcW w:w="1098" w:type="dxa"/>
            <w:vAlign w:val="center"/>
          </w:tcPr>
          <w:p w14:paraId="3B11CC5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1.64 ± 0.09</w:t>
            </w:r>
          </w:p>
        </w:tc>
        <w:tc>
          <w:tcPr>
            <w:tcW w:w="1375" w:type="dxa"/>
            <w:vAlign w:val="center"/>
          </w:tcPr>
          <w:p w14:paraId="34D885F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0.38 ± 0.09</w:t>
            </w:r>
          </w:p>
        </w:tc>
        <w:tc>
          <w:tcPr>
            <w:tcW w:w="1244" w:type="dxa"/>
            <w:vAlign w:val="center"/>
          </w:tcPr>
          <w:p w14:paraId="7198FBB8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1.13 ± 0.06</w:t>
            </w:r>
          </w:p>
        </w:tc>
        <w:tc>
          <w:tcPr>
            <w:tcW w:w="1186" w:type="dxa"/>
            <w:vAlign w:val="center"/>
          </w:tcPr>
          <w:p w14:paraId="14FDC69F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24.8 ± 19.4</w:t>
            </w:r>
          </w:p>
        </w:tc>
        <w:tc>
          <w:tcPr>
            <w:tcW w:w="1133" w:type="dxa"/>
            <w:vAlign w:val="center"/>
          </w:tcPr>
          <w:p w14:paraId="66B9702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91.06</w:t>
            </w:r>
          </w:p>
        </w:tc>
        <w:tc>
          <w:tcPr>
            <w:tcW w:w="829" w:type="dxa"/>
            <w:vAlign w:val="center"/>
          </w:tcPr>
          <w:p w14:paraId="730FFFA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8.08</w:t>
            </w:r>
          </w:p>
        </w:tc>
        <w:tc>
          <w:tcPr>
            <w:tcW w:w="566" w:type="dxa"/>
            <w:vAlign w:val="center"/>
          </w:tcPr>
          <w:p w14:paraId="47CE823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0.089</w:t>
            </w:r>
          </w:p>
        </w:tc>
        <w:tc>
          <w:tcPr>
            <w:tcW w:w="566" w:type="dxa"/>
            <w:vAlign w:val="center"/>
          </w:tcPr>
          <w:p w14:paraId="5865E01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0.153</w:t>
            </w:r>
          </w:p>
        </w:tc>
        <w:tc>
          <w:tcPr>
            <w:tcW w:w="1008" w:type="dxa"/>
            <w:vAlign w:val="center"/>
          </w:tcPr>
          <w:p w14:paraId="57523B4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91.43</w:t>
            </w:r>
          </w:p>
        </w:tc>
        <w:tc>
          <w:tcPr>
            <w:tcW w:w="941" w:type="dxa"/>
            <w:vAlign w:val="center"/>
          </w:tcPr>
          <w:p w14:paraId="08B8EEBC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8.57</w:t>
            </w:r>
          </w:p>
        </w:tc>
      </w:tr>
      <w:tr w14:paraId="2E7EB0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0" w:type="dxa"/>
            <w:vAlign w:val="center"/>
          </w:tcPr>
          <w:p w14:paraId="7C4B8701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PP</w:t>
            </w:r>
          </w:p>
        </w:tc>
        <w:tc>
          <w:tcPr>
            <w:tcW w:w="954" w:type="dxa"/>
            <w:vAlign w:val="center"/>
          </w:tcPr>
          <w:p w14:paraId="7887307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2.60 ± 0.08</w:t>
            </w:r>
          </w:p>
        </w:tc>
        <w:tc>
          <w:tcPr>
            <w:tcW w:w="560" w:type="dxa"/>
            <w:vAlign w:val="center"/>
          </w:tcPr>
          <w:p w14:paraId="755A3B49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1.68</w:t>
            </w:r>
          </w:p>
        </w:tc>
        <w:tc>
          <w:tcPr>
            <w:tcW w:w="278" w:type="dxa"/>
          </w:tcPr>
          <w:p w14:paraId="21A15070">
            <w:pPr>
              <w:widowControl/>
              <w:adjustRightInd w:val="0"/>
              <w:snapToGrid w:val="0"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16"/>
                <w:szCs w:val="16"/>
              </w:rPr>
            </w:pPr>
          </w:p>
        </w:tc>
        <w:tc>
          <w:tcPr>
            <w:tcW w:w="1098" w:type="dxa"/>
            <w:vAlign w:val="center"/>
          </w:tcPr>
          <w:p w14:paraId="4497A856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0.65 ± 0.01</w:t>
            </w:r>
          </w:p>
        </w:tc>
        <w:tc>
          <w:tcPr>
            <w:tcW w:w="1375" w:type="dxa"/>
            <w:vAlign w:val="center"/>
          </w:tcPr>
          <w:p w14:paraId="0921C84F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0.55 ± 0.11</w:t>
            </w:r>
          </w:p>
        </w:tc>
        <w:tc>
          <w:tcPr>
            <w:tcW w:w="1244" w:type="dxa"/>
            <w:vAlign w:val="center"/>
          </w:tcPr>
          <w:p w14:paraId="700E22B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1.10 ± 0.07</w:t>
            </w:r>
          </w:p>
        </w:tc>
        <w:tc>
          <w:tcPr>
            <w:tcW w:w="1186" w:type="dxa"/>
            <w:vAlign w:val="center"/>
          </w:tcPr>
          <w:p w14:paraId="695794A9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131 ± 4</w:t>
            </w: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5.1</w:t>
            </w:r>
          </w:p>
        </w:tc>
        <w:tc>
          <w:tcPr>
            <w:tcW w:w="1133" w:type="dxa"/>
            <w:vAlign w:val="center"/>
          </w:tcPr>
          <w:p w14:paraId="5FEEF5BA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98.70</w:t>
            </w:r>
          </w:p>
        </w:tc>
        <w:tc>
          <w:tcPr>
            <w:tcW w:w="829" w:type="dxa"/>
            <w:vAlign w:val="center"/>
          </w:tcPr>
          <w:p w14:paraId="6D55D4B5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2.30</w:t>
            </w:r>
          </w:p>
        </w:tc>
        <w:tc>
          <w:tcPr>
            <w:tcW w:w="566" w:type="dxa"/>
            <w:vAlign w:val="center"/>
          </w:tcPr>
          <w:p w14:paraId="10CE126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0.000</w:t>
            </w:r>
          </w:p>
        </w:tc>
        <w:tc>
          <w:tcPr>
            <w:tcW w:w="566" w:type="dxa"/>
            <w:vAlign w:val="center"/>
          </w:tcPr>
          <w:p w14:paraId="4CA59E03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 xml:space="preserve">0.149 </w:t>
            </w:r>
          </w:p>
        </w:tc>
        <w:tc>
          <w:tcPr>
            <w:tcW w:w="1008" w:type="dxa"/>
            <w:vAlign w:val="center"/>
          </w:tcPr>
          <w:p w14:paraId="08ABBEB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95.17</w:t>
            </w:r>
          </w:p>
        </w:tc>
        <w:tc>
          <w:tcPr>
            <w:tcW w:w="941" w:type="dxa"/>
            <w:vAlign w:val="center"/>
          </w:tcPr>
          <w:p w14:paraId="3FBF71D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4.83</w:t>
            </w:r>
          </w:p>
        </w:tc>
      </w:tr>
      <w:tr w14:paraId="1B5D3C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0" w:type="dxa"/>
            <w:vAlign w:val="center"/>
          </w:tcPr>
          <w:p w14:paraId="4D48DA15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PP-O</w:t>
            </w: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54" w:type="dxa"/>
            <w:vAlign w:val="center"/>
          </w:tcPr>
          <w:p w14:paraId="7EE339E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2.41 ± 0.07</w:t>
            </w:r>
          </w:p>
        </w:tc>
        <w:tc>
          <w:tcPr>
            <w:tcW w:w="560" w:type="dxa"/>
            <w:vAlign w:val="center"/>
          </w:tcPr>
          <w:p w14:paraId="6E326BA6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1.75</w:t>
            </w:r>
          </w:p>
        </w:tc>
        <w:tc>
          <w:tcPr>
            <w:tcW w:w="278" w:type="dxa"/>
          </w:tcPr>
          <w:p w14:paraId="1F58B9D1">
            <w:pPr>
              <w:widowControl/>
              <w:adjustRightInd w:val="0"/>
              <w:snapToGrid w:val="0"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16"/>
                <w:szCs w:val="16"/>
              </w:rPr>
            </w:pPr>
          </w:p>
        </w:tc>
        <w:tc>
          <w:tcPr>
            <w:tcW w:w="1098" w:type="dxa"/>
            <w:vAlign w:val="center"/>
          </w:tcPr>
          <w:p w14:paraId="29DD39C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0.85 ± 0.03</w:t>
            </w:r>
          </w:p>
        </w:tc>
        <w:tc>
          <w:tcPr>
            <w:tcW w:w="1375" w:type="dxa"/>
            <w:vAlign w:val="center"/>
          </w:tcPr>
          <w:p w14:paraId="26FF542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</w:t>
            </w: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8</w:t>
            </w: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 ± 0.10</w:t>
            </w:r>
          </w:p>
        </w:tc>
        <w:tc>
          <w:tcPr>
            <w:tcW w:w="1244" w:type="dxa"/>
            <w:vAlign w:val="center"/>
          </w:tcPr>
          <w:p w14:paraId="2C4B239F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1.12 ± 0.06</w:t>
            </w:r>
          </w:p>
        </w:tc>
        <w:tc>
          <w:tcPr>
            <w:tcW w:w="1186" w:type="dxa"/>
            <w:vAlign w:val="center"/>
          </w:tcPr>
          <w:p w14:paraId="59A255F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78.4</w:t>
            </w: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 xml:space="preserve"> ± </w:t>
            </w: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19.4</w:t>
            </w:r>
          </w:p>
        </w:tc>
        <w:tc>
          <w:tcPr>
            <w:tcW w:w="1133" w:type="dxa"/>
            <w:vAlign w:val="center"/>
          </w:tcPr>
          <w:p w14:paraId="43C9B2D6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90.85</w:t>
            </w:r>
          </w:p>
        </w:tc>
        <w:tc>
          <w:tcPr>
            <w:tcW w:w="829" w:type="dxa"/>
            <w:vAlign w:val="center"/>
          </w:tcPr>
          <w:p w14:paraId="2BDE931C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8.21</w:t>
            </w:r>
          </w:p>
        </w:tc>
        <w:tc>
          <w:tcPr>
            <w:tcW w:w="566" w:type="dxa"/>
            <w:vAlign w:val="center"/>
          </w:tcPr>
          <w:p w14:paraId="14BE6B1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0.090</w:t>
            </w:r>
          </w:p>
        </w:tc>
        <w:tc>
          <w:tcPr>
            <w:tcW w:w="566" w:type="dxa"/>
            <w:vAlign w:val="center"/>
          </w:tcPr>
          <w:p w14:paraId="681E5978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0.151</w:t>
            </w:r>
          </w:p>
        </w:tc>
        <w:tc>
          <w:tcPr>
            <w:tcW w:w="1008" w:type="dxa"/>
            <w:vAlign w:val="center"/>
          </w:tcPr>
          <w:p w14:paraId="6F5B38D1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66.54</w:t>
            </w:r>
          </w:p>
        </w:tc>
        <w:tc>
          <w:tcPr>
            <w:tcW w:w="941" w:type="dxa"/>
            <w:vAlign w:val="center"/>
          </w:tcPr>
          <w:p w14:paraId="199F9D2B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33.46</w:t>
            </w:r>
          </w:p>
        </w:tc>
      </w:tr>
      <w:tr w14:paraId="3B5681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0" w:type="dxa"/>
            <w:vAlign w:val="center"/>
          </w:tcPr>
          <w:p w14:paraId="62DAAE7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PP-UV</w:t>
            </w:r>
          </w:p>
        </w:tc>
        <w:tc>
          <w:tcPr>
            <w:tcW w:w="954" w:type="dxa"/>
            <w:vAlign w:val="center"/>
          </w:tcPr>
          <w:p w14:paraId="7A62F6F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2.17 ± 0.07</w:t>
            </w:r>
          </w:p>
        </w:tc>
        <w:tc>
          <w:tcPr>
            <w:tcW w:w="560" w:type="dxa"/>
            <w:vAlign w:val="center"/>
          </w:tcPr>
          <w:p w14:paraId="41A89035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1.75</w:t>
            </w:r>
          </w:p>
        </w:tc>
        <w:tc>
          <w:tcPr>
            <w:tcW w:w="278" w:type="dxa"/>
          </w:tcPr>
          <w:p w14:paraId="7AB1297A">
            <w:pPr>
              <w:widowControl/>
              <w:adjustRightInd w:val="0"/>
              <w:snapToGrid w:val="0"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16"/>
                <w:szCs w:val="16"/>
              </w:rPr>
            </w:pPr>
          </w:p>
        </w:tc>
        <w:tc>
          <w:tcPr>
            <w:tcW w:w="1098" w:type="dxa"/>
            <w:vAlign w:val="center"/>
          </w:tcPr>
          <w:p w14:paraId="7991208F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1.47 ± 0.07</w:t>
            </w:r>
          </w:p>
        </w:tc>
        <w:tc>
          <w:tcPr>
            <w:tcW w:w="1375" w:type="dxa"/>
            <w:vAlign w:val="center"/>
          </w:tcPr>
          <w:p w14:paraId="4F9AF5E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1</w:t>
            </w: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.44 ± 0.09</w:t>
            </w:r>
          </w:p>
        </w:tc>
        <w:tc>
          <w:tcPr>
            <w:tcW w:w="1244" w:type="dxa"/>
            <w:vAlign w:val="center"/>
          </w:tcPr>
          <w:p w14:paraId="06D769D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1.13 ± 0.06</w:t>
            </w:r>
          </w:p>
        </w:tc>
        <w:tc>
          <w:tcPr>
            <w:tcW w:w="1186" w:type="dxa"/>
            <w:vAlign w:val="center"/>
          </w:tcPr>
          <w:p w14:paraId="11034FCB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101 ± 42</w:t>
            </w:r>
          </w:p>
        </w:tc>
        <w:tc>
          <w:tcPr>
            <w:tcW w:w="1133" w:type="dxa"/>
            <w:vAlign w:val="center"/>
          </w:tcPr>
          <w:p w14:paraId="4718E28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97.76</w:t>
            </w:r>
          </w:p>
        </w:tc>
        <w:tc>
          <w:tcPr>
            <w:tcW w:w="829" w:type="dxa"/>
            <w:vAlign w:val="center"/>
          </w:tcPr>
          <w:p w14:paraId="20B84A3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1.46</w:t>
            </w:r>
          </w:p>
        </w:tc>
        <w:tc>
          <w:tcPr>
            <w:tcW w:w="566" w:type="dxa"/>
            <w:vAlign w:val="center"/>
          </w:tcPr>
          <w:p w14:paraId="5902DCCB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0.015</w:t>
            </w:r>
          </w:p>
        </w:tc>
        <w:tc>
          <w:tcPr>
            <w:tcW w:w="566" w:type="dxa"/>
            <w:vAlign w:val="center"/>
          </w:tcPr>
          <w:p w14:paraId="5DDD2AEA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0.153</w:t>
            </w:r>
          </w:p>
        </w:tc>
        <w:tc>
          <w:tcPr>
            <w:tcW w:w="1008" w:type="dxa"/>
            <w:vAlign w:val="center"/>
          </w:tcPr>
          <w:p w14:paraId="08C444A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78.74</w:t>
            </w:r>
          </w:p>
        </w:tc>
        <w:tc>
          <w:tcPr>
            <w:tcW w:w="941" w:type="dxa"/>
            <w:vAlign w:val="center"/>
          </w:tcPr>
          <w:p w14:paraId="6C8B696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21.26</w:t>
            </w:r>
          </w:p>
        </w:tc>
      </w:tr>
      <w:tr w14:paraId="21BDDE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0" w:type="dxa"/>
            <w:vAlign w:val="center"/>
          </w:tcPr>
          <w:p w14:paraId="00B24466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PET</w:t>
            </w:r>
          </w:p>
        </w:tc>
        <w:tc>
          <w:tcPr>
            <w:tcW w:w="954" w:type="dxa"/>
            <w:vAlign w:val="center"/>
          </w:tcPr>
          <w:p w14:paraId="51F6A21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2.74 ± 0.08</w:t>
            </w:r>
          </w:p>
        </w:tc>
        <w:tc>
          <w:tcPr>
            <w:tcW w:w="560" w:type="dxa"/>
            <w:vAlign w:val="center"/>
          </w:tcPr>
          <w:p w14:paraId="7DB45C09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1.97</w:t>
            </w:r>
          </w:p>
        </w:tc>
        <w:tc>
          <w:tcPr>
            <w:tcW w:w="278" w:type="dxa"/>
          </w:tcPr>
          <w:p w14:paraId="0B3BC63A">
            <w:pPr>
              <w:widowControl/>
              <w:adjustRightInd w:val="0"/>
              <w:snapToGrid w:val="0"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16"/>
                <w:szCs w:val="16"/>
              </w:rPr>
            </w:pPr>
          </w:p>
        </w:tc>
        <w:tc>
          <w:tcPr>
            <w:tcW w:w="1098" w:type="dxa"/>
            <w:vAlign w:val="center"/>
          </w:tcPr>
          <w:p w14:paraId="0F30436A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0.93 ± 0.03</w:t>
            </w:r>
          </w:p>
        </w:tc>
        <w:tc>
          <w:tcPr>
            <w:tcW w:w="1375" w:type="dxa"/>
            <w:vAlign w:val="center"/>
          </w:tcPr>
          <w:p w14:paraId="4996F0A8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0.59 ± 0.10</w:t>
            </w:r>
          </w:p>
        </w:tc>
        <w:tc>
          <w:tcPr>
            <w:tcW w:w="1244" w:type="dxa"/>
            <w:vAlign w:val="center"/>
          </w:tcPr>
          <w:p w14:paraId="3E9B2AE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1.13± 0.06</w:t>
            </w:r>
          </w:p>
        </w:tc>
        <w:tc>
          <w:tcPr>
            <w:tcW w:w="1186" w:type="dxa"/>
            <w:vAlign w:val="center"/>
          </w:tcPr>
          <w:p w14:paraId="61C8EF6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24.7 ± 7.2</w:t>
            </w:r>
          </w:p>
        </w:tc>
        <w:tc>
          <w:tcPr>
            <w:tcW w:w="1133" w:type="dxa"/>
            <w:vAlign w:val="center"/>
          </w:tcPr>
          <w:p w14:paraId="7494167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69.16</w:t>
            </w:r>
          </w:p>
        </w:tc>
        <w:tc>
          <w:tcPr>
            <w:tcW w:w="829" w:type="dxa"/>
            <w:vAlign w:val="center"/>
          </w:tcPr>
          <w:p w14:paraId="702E6583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30.33</w:t>
            </w:r>
          </w:p>
        </w:tc>
        <w:tc>
          <w:tcPr>
            <w:tcW w:w="566" w:type="dxa"/>
            <w:vAlign w:val="center"/>
          </w:tcPr>
          <w:p w14:paraId="3EF938B8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0.438</w:t>
            </w:r>
          </w:p>
        </w:tc>
        <w:tc>
          <w:tcPr>
            <w:tcW w:w="566" w:type="dxa"/>
            <w:vAlign w:val="center"/>
          </w:tcPr>
          <w:p w14:paraId="7A01B47F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0.0</w:t>
            </w: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54</w:t>
            </w:r>
          </w:p>
        </w:tc>
        <w:tc>
          <w:tcPr>
            <w:tcW w:w="1008" w:type="dxa"/>
            <w:vAlign w:val="center"/>
          </w:tcPr>
          <w:p w14:paraId="2E765B2F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64.40</w:t>
            </w:r>
          </w:p>
        </w:tc>
        <w:tc>
          <w:tcPr>
            <w:tcW w:w="941" w:type="dxa"/>
            <w:vAlign w:val="center"/>
          </w:tcPr>
          <w:p w14:paraId="0D94D50C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35.60</w:t>
            </w:r>
          </w:p>
        </w:tc>
      </w:tr>
      <w:tr w14:paraId="778C3D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0" w:type="dxa"/>
            <w:vAlign w:val="center"/>
          </w:tcPr>
          <w:p w14:paraId="0C1F66A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PET-O3</w:t>
            </w:r>
          </w:p>
        </w:tc>
        <w:tc>
          <w:tcPr>
            <w:tcW w:w="954" w:type="dxa"/>
            <w:vAlign w:val="center"/>
          </w:tcPr>
          <w:p w14:paraId="2BB1BBA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2.29 ± 0.07</w:t>
            </w:r>
          </w:p>
        </w:tc>
        <w:tc>
          <w:tcPr>
            <w:tcW w:w="560" w:type="dxa"/>
            <w:vAlign w:val="center"/>
          </w:tcPr>
          <w:p w14:paraId="5C77FAB6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2.23</w:t>
            </w:r>
          </w:p>
        </w:tc>
        <w:tc>
          <w:tcPr>
            <w:tcW w:w="278" w:type="dxa"/>
          </w:tcPr>
          <w:p w14:paraId="01D9EF30">
            <w:pPr>
              <w:widowControl/>
              <w:adjustRightInd w:val="0"/>
              <w:snapToGrid w:val="0"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16"/>
                <w:szCs w:val="16"/>
              </w:rPr>
            </w:pPr>
          </w:p>
        </w:tc>
        <w:tc>
          <w:tcPr>
            <w:tcW w:w="1098" w:type="dxa"/>
            <w:vAlign w:val="center"/>
          </w:tcPr>
          <w:p w14:paraId="20B9BA7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0.66 ± 0.01</w:t>
            </w:r>
          </w:p>
        </w:tc>
        <w:tc>
          <w:tcPr>
            <w:tcW w:w="1375" w:type="dxa"/>
            <w:vAlign w:val="center"/>
          </w:tcPr>
          <w:p w14:paraId="1033194A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1.23 ± 0.17</w:t>
            </w:r>
          </w:p>
        </w:tc>
        <w:tc>
          <w:tcPr>
            <w:tcW w:w="1244" w:type="dxa"/>
            <w:vAlign w:val="center"/>
          </w:tcPr>
          <w:p w14:paraId="135DDCE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1.11 ± 0.07</w:t>
            </w:r>
          </w:p>
        </w:tc>
        <w:tc>
          <w:tcPr>
            <w:tcW w:w="1186" w:type="dxa"/>
            <w:vAlign w:val="center"/>
          </w:tcPr>
          <w:p w14:paraId="12EFC25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23.0 ± 7.8</w:t>
            </w:r>
          </w:p>
        </w:tc>
        <w:tc>
          <w:tcPr>
            <w:tcW w:w="1133" w:type="dxa"/>
            <w:vAlign w:val="center"/>
          </w:tcPr>
          <w:p w14:paraId="130031B8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70.25</w:t>
            </w:r>
          </w:p>
        </w:tc>
        <w:tc>
          <w:tcPr>
            <w:tcW w:w="829" w:type="dxa"/>
            <w:vAlign w:val="center"/>
          </w:tcPr>
          <w:p w14:paraId="098021B6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29.16</w:t>
            </w:r>
          </w:p>
        </w:tc>
        <w:tc>
          <w:tcPr>
            <w:tcW w:w="566" w:type="dxa"/>
            <w:vAlign w:val="center"/>
          </w:tcPr>
          <w:p w14:paraId="1399E9A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0.415</w:t>
            </w:r>
          </w:p>
        </w:tc>
        <w:tc>
          <w:tcPr>
            <w:tcW w:w="566" w:type="dxa"/>
            <w:vAlign w:val="center"/>
          </w:tcPr>
          <w:p w14:paraId="12A4AD4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0.066</w:t>
            </w:r>
          </w:p>
        </w:tc>
        <w:tc>
          <w:tcPr>
            <w:tcW w:w="1008" w:type="dxa"/>
            <w:vAlign w:val="center"/>
          </w:tcPr>
          <w:p w14:paraId="5297D32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51.55</w:t>
            </w:r>
          </w:p>
        </w:tc>
        <w:tc>
          <w:tcPr>
            <w:tcW w:w="941" w:type="dxa"/>
            <w:vAlign w:val="center"/>
          </w:tcPr>
          <w:p w14:paraId="258B997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48.45</w:t>
            </w:r>
          </w:p>
        </w:tc>
      </w:tr>
      <w:tr w14:paraId="7336C7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0" w:type="dxa"/>
            <w:vAlign w:val="center"/>
          </w:tcPr>
          <w:p w14:paraId="5A31A8E8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PET-UV</w:t>
            </w:r>
          </w:p>
        </w:tc>
        <w:tc>
          <w:tcPr>
            <w:tcW w:w="954" w:type="dxa"/>
            <w:vAlign w:val="center"/>
          </w:tcPr>
          <w:p w14:paraId="3E29C27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 xml:space="preserve">2.74 ± 0.08 </w:t>
            </w:r>
          </w:p>
        </w:tc>
        <w:tc>
          <w:tcPr>
            <w:tcW w:w="560" w:type="dxa"/>
            <w:vAlign w:val="center"/>
          </w:tcPr>
          <w:p w14:paraId="6315540C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2.01</w:t>
            </w:r>
          </w:p>
        </w:tc>
        <w:tc>
          <w:tcPr>
            <w:tcW w:w="278" w:type="dxa"/>
          </w:tcPr>
          <w:p w14:paraId="444638E2">
            <w:pPr>
              <w:widowControl/>
              <w:adjustRightInd w:val="0"/>
              <w:snapToGrid w:val="0"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16"/>
                <w:szCs w:val="16"/>
              </w:rPr>
            </w:pPr>
          </w:p>
        </w:tc>
        <w:tc>
          <w:tcPr>
            <w:tcW w:w="1098" w:type="dxa"/>
            <w:vAlign w:val="center"/>
          </w:tcPr>
          <w:p w14:paraId="55011EDA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0.56 ± 0.01</w:t>
            </w:r>
          </w:p>
        </w:tc>
        <w:tc>
          <w:tcPr>
            <w:tcW w:w="1375" w:type="dxa"/>
            <w:vAlign w:val="center"/>
          </w:tcPr>
          <w:p w14:paraId="2709687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0.75 ± 0.11</w:t>
            </w:r>
          </w:p>
        </w:tc>
        <w:tc>
          <w:tcPr>
            <w:tcW w:w="1244" w:type="dxa"/>
            <w:vAlign w:val="center"/>
          </w:tcPr>
          <w:p w14:paraId="2EFA4E5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1.12 ± 0.06</w:t>
            </w:r>
          </w:p>
        </w:tc>
        <w:tc>
          <w:tcPr>
            <w:tcW w:w="1186" w:type="dxa"/>
            <w:vAlign w:val="center"/>
          </w:tcPr>
          <w:p w14:paraId="539C2BA8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25.3 ± 8.0</w:t>
            </w:r>
          </w:p>
        </w:tc>
        <w:tc>
          <w:tcPr>
            <w:tcW w:w="1133" w:type="dxa"/>
            <w:vAlign w:val="center"/>
          </w:tcPr>
          <w:p w14:paraId="2943B3E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69.11</w:t>
            </w:r>
          </w:p>
        </w:tc>
        <w:tc>
          <w:tcPr>
            <w:tcW w:w="829" w:type="dxa"/>
            <w:vAlign w:val="center"/>
          </w:tcPr>
          <w:p w14:paraId="2558B58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30.23</w:t>
            </w:r>
          </w:p>
        </w:tc>
        <w:tc>
          <w:tcPr>
            <w:tcW w:w="566" w:type="dxa"/>
            <w:vAlign w:val="center"/>
          </w:tcPr>
          <w:p w14:paraId="5737C58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0.437</w:t>
            </w:r>
          </w:p>
        </w:tc>
        <w:tc>
          <w:tcPr>
            <w:tcW w:w="566" w:type="dxa"/>
            <w:vAlign w:val="center"/>
          </w:tcPr>
          <w:p w14:paraId="11A146E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0.064</w:t>
            </w:r>
          </w:p>
        </w:tc>
        <w:tc>
          <w:tcPr>
            <w:tcW w:w="1008" w:type="dxa"/>
            <w:vAlign w:val="center"/>
          </w:tcPr>
          <w:p w14:paraId="7328C4C1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59.83</w:t>
            </w:r>
          </w:p>
        </w:tc>
        <w:tc>
          <w:tcPr>
            <w:tcW w:w="941" w:type="dxa"/>
            <w:vAlign w:val="center"/>
          </w:tcPr>
          <w:p w14:paraId="7E1127F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40.17</w:t>
            </w:r>
          </w:p>
        </w:tc>
      </w:tr>
      <w:tr w14:paraId="13ED78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0" w:type="dxa"/>
            <w:vAlign w:val="center"/>
          </w:tcPr>
          <w:p w14:paraId="17A2CA4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PS</w:t>
            </w:r>
          </w:p>
        </w:tc>
        <w:tc>
          <w:tcPr>
            <w:tcW w:w="954" w:type="dxa"/>
            <w:vAlign w:val="center"/>
          </w:tcPr>
          <w:p w14:paraId="5B3663B3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7.36 ± 0.22</w:t>
            </w:r>
          </w:p>
        </w:tc>
        <w:tc>
          <w:tcPr>
            <w:tcW w:w="560" w:type="dxa"/>
            <w:vAlign w:val="center"/>
          </w:tcPr>
          <w:p w14:paraId="509BB16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2.63</w:t>
            </w:r>
          </w:p>
        </w:tc>
        <w:tc>
          <w:tcPr>
            <w:tcW w:w="278" w:type="dxa"/>
          </w:tcPr>
          <w:p w14:paraId="7FF295E9">
            <w:pPr>
              <w:widowControl/>
              <w:adjustRightInd w:val="0"/>
              <w:snapToGrid w:val="0"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16"/>
                <w:szCs w:val="16"/>
              </w:rPr>
            </w:pPr>
          </w:p>
        </w:tc>
        <w:tc>
          <w:tcPr>
            <w:tcW w:w="1098" w:type="dxa"/>
            <w:vAlign w:val="center"/>
          </w:tcPr>
          <w:p w14:paraId="186DFA6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0.58 ± 0.01</w:t>
            </w:r>
          </w:p>
        </w:tc>
        <w:tc>
          <w:tcPr>
            <w:tcW w:w="1375" w:type="dxa"/>
            <w:vAlign w:val="center"/>
          </w:tcPr>
          <w:p w14:paraId="4E2B93C9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1.02 ± 0.11</w:t>
            </w:r>
          </w:p>
        </w:tc>
        <w:tc>
          <w:tcPr>
            <w:tcW w:w="1244" w:type="dxa"/>
            <w:vAlign w:val="center"/>
          </w:tcPr>
          <w:p w14:paraId="78D16E7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1.12± 0.07</w:t>
            </w:r>
          </w:p>
        </w:tc>
        <w:tc>
          <w:tcPr>
            <w:tcW w:w="1186" w:type="dxa"/>
            <w:vAlign w:val="center"/>
          </w:tcPr>
          <w:p w14:paraId="1587D361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108 ± 36</w:t>
            </w:r>
          </w:p>
        </w:tc>
        <w:tc>
          <w:tcPr>
            <w:tcW w:w="1133" w:type="dxa"/>
            <w:vAlign w:val="center"/>
          </w:tcPr>
          <w:p w14:paraId="16C4E55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100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.0</w:t>
            </w:r>
          </w:p>
        </w:tc>
        <w:tc>
          <w:tcPr>
            <w:tcW w:w="829" w:type="dxa"/>
            <w:vAlign w:val="center"/>
          </w:tcPr>
          <w:p w14:paraId="1A9FF24F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0.00</w:t>
            </w:r>
          </w:p>
        </w:tc>
        <w:tc>
          <w:tcPr>
            <w:tcW w:w="566" w:type="dxa"/>
            <w:vAlign w:val="center"/>
          </w:tcPr>
          <w:p w14:paraId="051F8C28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0.000</w:t>
            </w:r>
          </w:p>
        </w:tc>
        <w:tc>
          <w:tcPr>
            <w:tcW w:w="566" w:type="dxa"/>
            <w:vAlign w:val="center"/>
          </w:tcPr>
          <w:p w14:paraId="26508AA3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0.07</w:t>
            </w:r>
            <w:r>
              <w:rPr>
                <w:rFonts w:hint="eastAsia" w:ascii="Times New Roman" w:hAnsi="Times New Roman" w:eastAsia="宋体" w:cs="Times New Roman"/>
                <w:kern w:val="2"/>
                <w:sz w:val="16"/>
                <w:szCs w:val="16"/>
              </w:rPr>
              <w:t>0</w:t>
            </w:r>
          </w:p>
        </w:tc>
        <w:tc>
          <w:tcPr>
            <w:tcW w:w="1008" w:type="dxa"/>
            <w:vAlign w:val="center"/>
          </w:tcPr>
          <w:p w14:paraId="7AE35A3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96.29</w:t>
            </w:r>
          </w:p>
        </w:tc>
        <w:tc>
          <w:tcPr>
            <w:tcW w:w="941" w:type="dxa"/>
            <w:vAlign w:val="center"/>
          </w:tcPr>
          <w:p w14:paraId="7F08E95C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3.71</w:t>
            </w:r>
          </w:p>
        </w:tc>
      </w:tr>
      <w:tr w14:paraId="619FF9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0" w:type="dxa"/>
            <w:vAlign w:val="center"/>
          </w:tcPr>
          <w:p w14:paraId="183530C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PS-O</w:t>
            </w: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54" w:type="dxa"/>
            <w:vAlign w:val="center"/>
          </w:tcPr>
          <w:p w14:paraId="4B9E01F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6.88 ± 0.20</w:t>
            </w:r>
          </w:p>
        </w:tc>
        <w:tc>
          <w:tcPr>
            <w:tcW w:w="560" w:type="dxa"/>
            <w:vAlign w:val="center"/>
          </w:tcPr>
          <w:p w14:paraId="07BD296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2.73</w:t>
            </w:r>
          </w:p>
        </w:tc>
        <w:tc>
          <w:tcPr>
            <w:tcW w:w="278" w:type="dxa"/>
          </w:tcPr>
          <w:p w14:paraId="7EE95C3B">
            <w:pPr>
              <w:widowControl/>
              <w:adjustRightInd w:val="0"/>
              <w:snapToGrid w:val="0"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16"/>
                <w:szCs w:val="16"/>
              </w:rPr>
            </w:pPr>
          </w:p>
        </w:tc>
        <w:tc>
          <w:tcPr>
            <w:tcW w:w="1098" w:type="dxa"/>
            <w:vAlign w:val="center"/>
          </w:tcPr>
          <w:p w14:paraId="59843626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0.57 ± 0.01</w:t>
            </w:r>
          </w:p>
        </w:tc>
        <w:tc>
          <w:tcPr>
            <w:tcW w:w="1375" w:type="dxa"/>
            <w:vAlign w:val="center"/>
          </w:tcPr>
          <w:p w14:paraId="401E2D3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0.60 ± 0.08</w:t>
            </w:r>
          </w:p>
        </w:tc>
        <w:tc>
          <w:tcPr>
            <w:tcW w:w="1244" w:type="dxa"/>
            <w:vAlign w:val="center"/>
          </w:tcPr>
          <w:p w14:paraId="60BA6A6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1.12 ± 0.06</w:t>
            </w:r>
          </w:p>
        </w:tc>
        <w:tc>
          <w:tcPr>
            <w:tcW w:w="1186" w:type="dxa"/>
            <w:vAlign w:val="center"/>
          </w:tcPr>
          <w:p w14:paraId="6A90EB2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132 ± 33</w:t>
            </w:r>
          </w:p>
        </w:tc>
        <w:tc>
          <w:tcPr>
            <w:tcW w:w="1133" w:type="dxa"/>
            <w:vAlign w:val="center"/>
          </w:tcPr>
          <w:p w14:paraId="549AFD8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59.12</w:t>
            </w:r>
          </w:p>
        </w:tc>
        <w:tc>
          <w:tcPr>
            <w:tcW w:w="829" w:type="dxa"/>
            <w:vAlign w:val="center"/>
          </w:tcPr>
          <w:p w14:paraId="58FE131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38.63</w:t>
            </w:r>
          </w:p>
        </w:tc>
        <w:tc>
          <w:tcPr>
            <w:tcW w:w="566" w:type="dxa"/>
            <w:vAlign w:val="center"/>
          </w:tcPr>
          <w:p w14:paraId="26303A45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0.653</w:t>
            </w:r>
          </w:p>
        </w:tc>
        <w:tc>
          <w:tcPr>
            <w:tcW w:w="566" w:type="dxa"/>
            <w:vAlign w:val="center"/>
          </w:tcPr>
          <w:p w14:paraId="233830C6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0.078</w:t>
            </w:r>
          </w:p>
        </w:tc>
        <w:tc>
          <w:tcPr>
            <w:tcW w:w="1008" w:type="dxa"/>
            <w:vAlign w:val="center"/>
          </w:tcPr>
          <w:p w14:paraId="3DB3EF4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75.69</w:t>
            </w:r>
          </w:p>
        </w:tc>
        <w:tc>
          <w:tcPr>
            <w:tcW w:w="941" w:type="dxa"/>
            <w:vAlign w:val="center"/>
          </w:tcPr>
          <w:p w14:paraId="3AEE437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24.31</w:t>
            </w:r>
          </w:p>
        </w:tc>
      </w:tr>
      <w:tr w14:paraId="4C569E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0" w:type="dxa"/>
            <w:vAlign w:val="center"/>
          </w:tcPr>
          <w:p w14:paraId="5122AEC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PS-UV</w:t>
            </w:r>
          </w:p>
        </w:tc>
        <w:tc>
          <w:tcPr>
            <w:tcW w:w="954" w:type="dxa"/>
            <w:vAlign w:val="center"/>
          </w:tcPr>
          <w:p w14:paraId="3A99066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6.18 ± 0.18</w:t>
            </w:r>
          </w:p>
        </w:tc>
        <w:tc>
          <w:tcPr>
            <w:tcW w:w="560" w:type="dxa"/>
            <w:vAlign w:val="center"/>
          </w:tcPr>
          <w:p w14:paraId="1B986B8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3.17</w:t>
            </w:r>
          </w:p>
        </w:tc>
        <w:tc>
          <w:tcPr>
            <w:tcW w:w="278" w:type="dxa"/>
          </w:tcPr>
          <w:p w14:paraId="4161CB0C">
            <w:pPr>
              <w:widowControl/>
              <w:adjustRightInd w:val="0"/>
              <w:snapToGrid w:val="0"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16"/>
                <w:szCs w:val="16"/>
              </w:rPr>
            </w:pPr>
          </w:p>
        </w:tc>
        <w:tc>
          <w:tcPr>
            <w:tcW w:w="1098" w:type="dxa"/>
            <w:vAlign w:val="center"/>
          </w:tcPr>
          <w:p w14:paraId="5FB75D41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0.86 ± 0.01</w:t>
            </w:r>
          </w:p>
        </w:tc>
        <w:tc>
          <w:tcPr>
            <w:tcW w:w="1375" w:type="dxa"/>
            <w:vAlign w:val="center"/>
          </w:tcPr>
          <w:p w14:paraId="188174E9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1.43 ± 0.19</w:t>
            </w:r>
          </w:p>
        </w:tc>
        <w:tc>
          <w:tcPr>
            <w:tcW w:w="1244" w:type="dxa"/>
            <w:vAlign w:val="center"/>
          </w:tcPr>
          <w:p w14:paraId="396ED08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1.11 ± 0.07</w:t>
            </w:r>
          </w:p>
        </w:tc>
        <w:tc>
          <w:tcPr>
            <w:tcW w:w="1186" w:type="dxa"/>
            <w:vAlign w:val="center"/>
          </w:tcPr>
          <w:p w14:paraId="6B41D81A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135 ± 28</w:t>
            </w:r>
          </w:p>
        </w:tc>
        <w:tc>
          <w:tcPr>
            <w:tcW w:w="1133" w:type="dxa"/>
            <w:vAlign w:val="center"/>
          </w:tcPr>
          <w:p w14:paraId="580C4538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75.23</w:t>
            </w:r>
          </w:p>
        </w:tc>
        <w:tc>
          <w:tcPr>
            <w:tcW w:w="829" w:type="dxa"/>
            <w:vAlign w:val="center"/>
          </w:tcPr>
          <w:p w14:paraId="69C86536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21.37</w:t>
            </w:r>
          </w:p>
        </w:tc>
        <w:tc>
          <w:tcPr>
            <w:tcW w:w="566" w:type="dxa"/>
            <w:vAlign w:val="center"/>
          </w:tcPr>
          <w:p w14:paraId="47DFA9B9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0.284</w:t>
            </w:r>
          </w:p>
        </w:tc>
        <w:tc>
          <w:tcPr>
            <w:tcW w:w="566" w:type="dxa"/>
            <w:vAlign w:val="center"/>
          </w:tcPr>
          <w:p w14:paraId="6A7F07A1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0.078</w:t>
            </w:r>
          </w:p>
        </w:tc>
        <w:tc>
          <w:tcPr>
            <w:tcW w:w="1008" w:type="dxa"/>
            <w:vAlign w:val="center"/>
          </w:tcPr>
          <w:p w14:paraId="26549B2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77.66</w:t>
            </w:r>
          </w:p>
        </w:tc>
        <w:tc>
          <w:tcPr>
            <w:tcW w:w="941" w:type="dxa"/>
            <w:vAlign w:val="center"/>
          </w:tcPr>
          <w:p w14:paraId="16D0338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22.34</w:t>
            </w:r>
          </w:p>
        </w:tc>
      </w:tr>
      <w:tr w14:paraId="2DC2B1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0" w:type="dxa"/>
            <w:vAlign w:val="center"/>
          </w:tcPr>
          <w:p w14:paraId="31F8A13F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PVC</w:t>
            </w:r>
          </w:p>
        </w:tc>
        <w:tc>
          <w:tcPr>
            <w:tcW w:w="954" w:type="dxa"/>
            <w:vAlign w:val="center"/>
          </w:tcPr>
          <w:p w14:paraId="2A4EC4A8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7.84 ± 0.23</w:t>
            </w:r>
          </w:p>
        </w:tc>
        <w:tc>
          <w:tcPr>
            <w:tcW w:w="560" w:type="dxa"/>
            <w:vAlign w:val="center"/>
          </w:tcPr>
          <w:p w14:paraId="2ADB218C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2.09</w:t>
            </w:r>
          </w:p>
        </w:tc>
        <w:tc>
          <w:tcPr>
            <w:tcW w:w="278" w:type="dxa"/>
          </w:tcPr>
          <w:p w14:paraId="33A2BA66">
            <w:pPr>
              <w:widowControl/>
              <w:adjustRightInd w:val="0"/>
              <w:snapToGrid w:val="0"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16"/>
                <w:szCs w:val="16"/>
              </w:rPr>
            </w:pPr>
          </w:p>
        </w:tc>
        <w:tc>
          <w:tcPr>
            <w:tcW w:w="1098" w:type="dxa"/>
            <w:vAlign w:val="center"/>
          </w:tcPr>
          <w:p w14:paraId="04D599EC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4.71 ± 0.05</w:t>
            </w:r>
          </w:p>
        </w:tc>
        <w:tc>
          <w:tcPr>
            <w:tcW w:w="1375" w:type="dxa"/>
            <w:vAlign w:val="center"/>
          </w:tcPr>
          <w:p w14:paraId="117EB56C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7.22 ± 1.10</w:t>
            </w:r>
          </w:p>
        </w:tc>
        <w:tc>
          <w:tcPr>
            <w:tcW w:w="1244" w:type="dxa"/>
            <w:vAlign w:val="center"/>
          </w:tcPr>
          <w:p w14:paraId="4502BD09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1.06 ± 0.07</w:t>
            </w:r>
          </w:p>
        </w:tc>
        <w:tc>
          <w:tcPr>
            <w:tcW w:w="1186" w:type="dxa"/>
            <w:vAlign w:val="center"/>
          </w:tcPr>
          <w:p w14:paraId="151AE31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0.764 ± 0.308</w:t>
            </w:r>
          </w:p>
        </w:tc>
        <w:tc>
          <w:tcPr>
            <w:tcW w:w="1133" w:type="dxa"/>
            <w:vAlign w:val="center"/>
          </w:tcPr>
          <w:p w14:paraId="438643D1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71.81</w:t>
            </w:r>
          </w:p>
        </w:tc>
        <w:tc>
          <w:tcPr>
            <w:tcW w:w="829" w:type="dxa"/>
            <w:vAlign w:val="center"/>
          </w:tcPr>
          <w:p w14:paraId="10E482B1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1.91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566" w:type="dxa"/>
            <w:vAlign w:val="center"/>
          </w:tcPr>
          <w:p w14:paraId="29768B0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0.027</w:t>
            </w:r>
          </w:p>
        </w:tc>
        <w:tc>
          <w:tcPr>
            <w:tcW w:w="566" w:type="dxa"/>
            <w:vAlign w:val="center"/>
          </w:tcPr>
          <w:p w14:paraId="43BF82E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0.122</w:t>
            </w:r>
          </w:p>
        </w:tc>
        <w:tc>
          <w:tcPr>
            <w:tcW w:w="1008" w:type="dxa"/>
            <w:vAlign w:val="center"/>
          </w:tcPr>
          <w:p w14:paraId="250C993A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82.50</w:t>
            </w:r>
          </w:p>
        </w:tc>
        <w:tc>
          <w:tcPr>
            <w:tcW w:w="941" w:type="dxa"/>
            <w:vAlign w:val="center"/>
          </w:tcPr>
          <w:p w14:paraId="6F5F1558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17.50</w:t>
            </w:r>
          </w:p>
        </w:tc>
      </w:tr>
      <w:tr w14:paraId="518556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0" w:type="dxa"/>
            <w:vAlign w:val="center"/>
          </w:tcPr>
          <w:p w14:paraId="21224D4F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PVC-O</w:t>
            </w: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954" w:type="dxa"/>
            <w:vAlign w:val="center"/>
          </w:tcPr>
          <w:p w14:paraId="3BFC966F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2.96 ± 0.09</w:t>
            </w:r>
          </w:p>
        </w:tc>
        <w:tc>
          <w:tcPr>
            <w:tcW w:w="560" w:type="dxa"/>
            <w:vAlign w:val="center"/>
          </w:tcPr>
          <w:p w14:paraId="6423E5C8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1.95</w:t>
            </w:r>
          </w:p>
        </w:tc>
        <w:tc>
          <w:tcPr>
            <w:tcW w:w="278" w:type="dxa"/>
          </w:tcPr>
          <w:p w14:paraId="5033121B">
            <w:pPr>
              <w:widowControl/>
              <w:adjustRightInd w:val="0"/>
              <w:snapToGrid w:val="0"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16"/>
                <w:szCs w:val="16"/>
              </w:rPr>
            </w:pPr>
          </w:p>
        </w:tc>
        <w:tc>
          <w:tcPr>
            <w:tcW w:w="1098" w:type="dxa"/>
            <w:vAlign w:val="center"/>
          </w:tcPr>
          <w:p w14:paraId="524A779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4.75 ± 0.02</w:t>
            </w:r>
          </w:p>
        </w:tc>
        <w:tc>
          <w:tcPr>
            <w:tcW w:w="1375" w:type="dxa"/>
            <w:vAlign w:val="center"/>
          </w:tcPr>
          <w:p w14:paraId="0DDAB745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8.37 ± 1.43</w:t>
            </w:r>
          </w:p>
        </w:tc>
        <w:tc>
          <w:tcPr>
            <w:tcW w:w="1244" w:type="dxa"/>
            <w:vAlign w:val="center"/>
          </w:tcPr>
          <w:p w14:paraId="1AB59C9F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1.03 ± 0.09</w:t>
            </w:r>
          </w:p>
        </w:tc>
        <w:tc>
          <w:tcPr>
            <w:tcW w:w="1186" w:type="dxa"/>
            <w:vAlign w:val="center"/>
          </w:tcPr>
          <w:p w14:paraId="44464F56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0.667 ± 0.293</w:t>
            </w:r>
          </w:p>
        </w:tc>
        <w:tc>
          <w:tcPr>
            <w:tcW w:w="1133" w:type="dxa"/>
            <w:vAlign w:val="center"/>
          </w:tcPr>
          <w:p w14:paraId="585E6C55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71.57</w:t>
            </w:r>
          </w:p>
        </w:tc>
        <w:tc>
          <w:tcPr>
            <w:tcW w:w="829" w:type="dxa"/>
            <w:vAlign w:val="center"/>
          </w:tcPr>
          <w:p w14:paraId="396EEDC5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5.23</w:t>
            </w:r>
          </w:p>
        </w:tc>
        <w:tc>
          <w:tcPr>
            <w:tcW w:w="566" w:type="dxa"/>
            <w:vAlign w:val="center"/>
          </w:tcPr>
          <w:p w14:paraId="6FA45FD4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0.073</w:t>
            </w:r>
          </w:p>
        </w:tc>
        <w:tc>
          <w:tcPr>
            <w:tcW w:w="566" w:type="dxa"/>
            <w:vAlign w:val="center"/>
          </w:tcPr>
          <w:p w14:paraId="0FFD29E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0.116</w:t>
            </w:r>
          </w:p>
        </w:tc>
        <w:tc>
          <w:tcPr>
            <w:tcW w:w="1008" w:type="dxa"/>
            <w:vAlign w:val="center"/>
          </w:tcPr>
          <w:p w14:paraId="7E3C328A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63.28</w:t>
            </w:r>
          </w:p>
        </w:tc>
        <w:tc>
          <w:tcPr>
            <w:tcW w:w="941" w:type="dxa"/>
            <w:vAlign w:val="center"/>
          </w:tcPr>
          <w:p w14:paraId="666BD2D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36.72</w:t>
            </w:r>
          </w:p>
        </w:tc>
      </w:tr>
      <w:tr w14:paraId="5C5B70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60" w:type="dxa"/>
            <w:tcBorders>
              <w:bottom w:val="single" w:color="auto" w:sz="18" w:space="0"/>
            </w:tcBorders>
            <w:vAlign w:val="center"/>
          </w:tcPr>
          <w:p w14:paraId="03547420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PVC-UV</w:t>
            </w:r>
          </w:p>
        </w:tc>
        <w:tc>
          <w:tcPr>
            <w:tcW w:w="954" w:type="dxa"/>
            <w:tcBorders>
              <w:bottom w:val="single" w:color="auto" w:sz="18" w:space="0"/>
            </w:tcBorders>
            <w:vAlign w:val="center"/>
          </w:tcPr>
          <w:p w14:paraId="59F79A4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8.72 ± 0.26</w:t>
            </w:r>
          </w:p>
        </w:tc>
        <w:tc>
          <w:tcPr>
            <w:tcW w:w="560" w:type="dxa"/>
            <w:tcBorders>
              <w:bottom w:val="single" w:color="auto" w:sz="18" w:space="0"/>
            </w:tcBorders>
            <w:vAlign w:val="center"/>
          </w:tcPr>
          <w:p w14:paraId="0AE5BD62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1.93</w:t>
            </w:r>
          </w:p>
        </w:tc>
        <w:tc>
          <w:tcPr>
            <w:tcW w:w="278" w:type="dxa"/>
            <w:tcBorders>
              <w:bottom w:val="single" w:color="auto" w:sz="18" w:space="0"/>
            </w:tcBorders>
          </w:tcPr>
          <w:p w14:paraId="2A9F1632">
            <w:pPr>
              <w:widowControl/>
              <w:adjustRightInd w:val="0"/>
              <w:snapToGrid w:val="0"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color="auto" w:sz="18" w:space="0"/>
            </w:tcBorders>
            <w:vAlign w:val="center"/>
          </w:tcPr>
          <w:p w14:paraId="34233B7B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4.52 ± 0.03</w:t>
            </w:r>
          </w:p>
        </w:tc>
        <w:tc>
          <w:tcPr>
            <w:tcW w:w="1375" w:type="dxa"/>
            <w:tcBorders>
              <w:bottom w:val="single" w:color="auto" w:sz="18" w:space="0"/>
            </w:tcBorders>
            <w:vAlign w:val="center"/>
          </w:tcPr>
          <w:p w14:paraId="46ADA3D1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7.01 ± 1.10</w:t>
            </w:r>
          </w:p>
        </w:tc>
        <w:tc>
          <w:tcPr>
            <w:tcW w:w="1244" w:type="dxa"/>
            <w:tcBorders>
              <w:bottom w:val="single" w:color="auto" w:sz="18" w:space="0"/>
            </w:tcBorders>
            <w:vAlign w:val="center"/>
          </w:tcPr>
          <w:p w14:paraId="0E72635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1.06 ± 0.07</w:t>
            </w:r>
          </w:p>
        </w:tc>
        <w:tc>
          <w:tcPr>
            <w:tcW w:w="1186" w:type="dxa"/>
            <w:tcBorders>
              <w:bottom w:val="single" w:color="auto" w:sz="18" w:space="0"/>
            </w:tcBorders>
            <w:vAlign w:val="center"/>
          </w:tcPr>
          <w:p w14:paraId="555AC9D7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0.620 ± 0.284</w:t>
            </w:r>
          </w:p>
        </w:tc>
        <w:tc>
          <w:tcPr>
            <w:tcW w:w="1133" w:type="dxa"/>
            <w:tcBorders>
              <w:bottom w:val="single" w:color="auto" w:sz="18" w:space="0"/>
            </w:tcBorders>
            <w:vAlign w:val="center"/>
          </w:tcPr>
          <w:p w14:paraId="16FE1BE5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70.01</w:t>
            </w:r>
          </w:p>
        </w:tc>
        <w:tc>
          <w:tcPr>
            <w:tcW w:w="829" w:type="dxa"/>
            <w:tcBorders>
              <w:bottom w:val="single" w:color="auto" w:sz="18" w:space="0"/>
            </w:tcBorders>
            <w:vAlign w:val="center"/>
          </w:tcPr>
          <w:p w14:paraId="2D80CB0D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4.16</w:t>
            </w:r>
          </w:p>
        </w:tc>
        <w:tc>
          <w:tcPr>
            <w:tcW w:w="566" w:type="dxa"/>
            <w:tcBorders>
              <w:bottom w:val="single" w:color="auto" w:sz="18" w:space="0"/>
            </w:tcBorders>
            <w:vAlign w:val="center"/>
          </w:tcPr>
          <w:p w14:paraId="40FA87AA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0.059</w:t>
            </w:r>
          </w:p>
        </w:tc>
        <w:tc>
          <w:tcPr>
            <w:tcW w:w="566" w:type="dxa"/>
            <w:tcBorders>
              <w:bottom w:val="single" w:color="auto" w:sz="18" w:space="0"/>
            </w:tcBorders>
            <w:vAlign w:val="center"/>
          </w:tcPr>
          <w:p w14:paraId="66336BB5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kern w:val="2"/>
                <w:sz w:val="16"/>
                <w:szCs w:val="16"/>
              </w:rPr>
              <w:t>0.115</w:t>
            </w:r>
          </w:p>
        </w:tc>
        <w:tc>
          <w:tcPr>
            <w:tcW w:w="1008" w:type="dxa"/>
            <w:tcBorders>
              <w:bottom w:val="single" w:color="auto" w:sz="18" w:space="0"/>
            </w:tcBorders>
            <w:vAlign w:val="center"/>
          </w:tcPr>
          <w:p w14:paraId="5DB7EE9F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74.78</w:t>
            </w:r>
          </w:p>
        </w:tc>
        <w:tc>
          <w:tcPr>
            <w:tcW w:w="941" w:type="dxa"/>
            <w:tcBorders>
              <w:bottom w:val="single" w:color="auto" w:sz="18" w:space="0"/>
            </w:tcBorders>
            <w:vAlign w:val="center"/>
          </w:tcPr>
          <w:p w14:paraId="744A2ADE">
            <w:pPr>
              <w:widowControl/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16"/>
                <w:szCs w:val="16"/>
              </w:rPr>
              <w:t>25.22</w:t>
            </w:r>
          </w:p>
        </w:tc>
      </w:tr>
      <w:bookmarkEnd w:id="5"/>
    </w:tbl>
    <w:p w14:paraId="009AE5B6">
      <w:pPr>
        <w:widowControl/>
        <w:jc w:val="left"/>
        <w:rPr>
          <w:rFonts w:ascii="Times New Roman" w:hAnsi="Times New Roman" w:eastAsia="宋体" w:cs="Times New Roman"/>
          <w:bCs/>
          <w:sz w:val="20"/>
          <w:szCs w:val="20"/>
        </w:rPr>
      </w:pPr>
      <w:r>
        <w:rPr>
          <w:rFonts w:hint="eastAsia" w:ascii="Times New Roman" w:hAnsi="Times New Roman" w:eastAsia="宋体" w:cs="Times New Roman"/>
          <w:i/>
          <w:iCs/>
          <w:sz w:val="20"/>
          <w:szCs w:val="20"/>
          <w:vertAlign w:val="superscript"/>
        </w:rPr>
        <w:t>a</w:t>
      </w:r>
      <w:r>
        <w:rPr>
          <w:rFonts w:ascii="Times New Roman" w:hAnsi="Times New Roman" w:eastAsia="宋体" w:cs="Times New Roman"/>
          <w:sz w:val="20"/>
          <w:szCs w:val="20"/>
        </w:rPr>
        <w:t xml:space="preserve"> The suffixes “-UV” and “-O</w:t>
      </w:r>
      <w:r>
        <w:rPr>
          <w:rFonts w:ascii="Times New Roman" w:hAnsi="Times New Roman" w:eastAsia="宋体" w:cs="Times New Roman"/>
          <w:sz w:val="20"/>
          <w:szCs w:val="20"/>
          <w:vertAlign w:val="subscript"/>
        </w:rPr>
        <w:t>3</w:t>
      </w:r>
      <w:r>
        <w:rPr>
          <w:rFonts w:ascii="Times New Roman" w:hAnsi="Times New Roman" w:eastAsia="宋体" w:cs="Times New Roman"/>
          <w:sz w:val="20"/>
          <w:szCs w:val="20"/>
        </w:rPr>
        <w:t xml:space="preserve">” denote microplastics subjected to UV and ozone aging, respectively. </w:t>
      </w:r>
      <w:r>
        <w:rPr>
          <w:rFonts w:ascii="Times New Roman" w:hAnsi="Times New Roman" w:eastAsia="宋体" w:cs="Times New Roman"/>
          <w:i/>
          <w:iCs/>
          <w:sz w:val="20"/>
          <w:szCs w:val="20"/>
          <w:vertAlign w:val="superscript"/>
        </w:rPr>
        <w:t>b</w:t>
      </w:r>
      <w:r>
        <w:rPr>
          <w:rFonts w:ascii="Times New Roman" w:hAnsi="Times New Roman" w:eastAsia="宋体" w:cs="Times New Roman"/>
          <w:sz w:val="20"/>
          <w:szCs w:val="20"/>
        </w:rPr>
        <w:t xml:space="preserve"> </w:t>
      </w:r>
      <w:r>
        <w:rPr>
          <w:rFonts w:ascii="Times New Roman" w:hAnsi="Times New Roman" w:eastAsia="宋体" w:cs="Times New Roman"/>
          <w:bCs/>
          <w:i/>
          <w:iCs/>
          <w:sz w:val="20"/>
          <w:szCs w:val="20"/>
        </w:rPr>
        <w:t>M</w:t>
      </w:r>
      <w:r>
        <w:rPr>
          <w:rFonts w:ascii="Times New Roman" w:hAnsi="Times New Roman" w:eastAsia="宋体" w:cs="Times New Roman"/>
          <w:bCs/>
          <w:sz w:val="20"/>
          <w:szCs w:val="20"/>
          <w:vertAlign w:val="subscript"/>
        </w:rPr>
        <w:t>n</w:t>
      </w:r>
      <w:r>
        <w:rPr>
          <w:rFonts w:ascii="Times New Roman" w:hAnsi="Times New Roman" w:eastAsia="宋体" w:cs="Times New Roman"/>
          <w:bCs/>
          <w:sz w:val="20"/>
          <w:szCs w:val="20"/>
        </w:rPr>
        <w:t xml:space="preserve"> represents the number-average molecular weight, determined by gel permeation chromatography (GPC). </w:t>
      </w:r>
      <w:r>
        <w:rPr>
          <w:rFonts w:ascii="Times New Roman" w:hAnsi="Times New Roman" w:eastAsia="宋体" w:cs="Times New Roman"/>
          <w:bCs/>
          <w:i/>
          <w:iCs/>
          <w:sz w:val="20"/>
          <w:szCs w:val="20"/>
          <w:vertAlign w:val="superscript"/>
        </w:rPr>
        <w:t>c</w:t>
      </w:r>
      <w:r>
        <w:rPr>
          <w:rFonts w:ascii="Times New Roman" w:hAnsi="Times New Roman" w:eastAsia="宋体" w:cs="Times New Roman"/>
          <w:bCs/>
          <w:sz w:val="20"/>
          <w:szCs w:val="20"/>
        </w:rPr>
        <w:t xml:space="preserve"> Surface elemental composition and carbon functional group speciation were analyzed by X-ray photoelectron spectroscopy (XPS). </w:t>
      </w:r>
      <w:r>
        <w:rPr>
          <w:rFonts w:ascii="Times New Roman" w:hAnsi="Times New Roman" w:eastAsia="宋体" w:cs="Times New Roman"/>
          <w:bCs/>
          <w:i/>
          <w:iCs/>
          <w:sz w:val="20"/>
          <w:szCs w:val="20"/>
          <w:vertAlign w:val="superscript"/>
        </w:rPr>
        <w:t>d</w:t>
      </w:r>
      <w:r>
        <w:rPr>
          <w:rFonts w:ascii="Times New Roman" w:hAnsi="Times New Roman" w:eastAsia="宋体" w:cs="Times New Roman"/>
          <w:bCs/>
          <w:sz w:val="20"/>
          <w:szCs w:val="20"/>
        </w:rPr>
        <w:t xml:space="preserve"> Surface elemental composition and carbon functional group speciation were analyzed by X-ray photoelectron spectroscopy (XPS).</w:t>
      </w:r>
      <w:r>
        <w:rPr>
          <w:rFonts w:hint="eastAsia" w:ascii="Times New Roman" w:hAnsi="Times New Roman" w:eastAsia="宋体" w:cs="Times New Roman"/>
          <w:bCs/>
          <w:sz w:val="20"/>
          <w:szCs w:val="20"/>
        </w:rPr>
        <w:t xml:space="preserve"> </w:t>
      </w:r>
    </w:p>
    <w:p w14:paraId="1428FF1B">
      <w:pPr>
        <w:widowControl/>
        <w:jc w:val="left"/>
        <w:rPr>
          <w:rFonts w:ascii="Times New Roman" w:hAnsi="Times New Roman" w:eastAsia="宋体" w:cs="Times New Roman"/>
          <w:bCs/>
          <w:sz w:val="15"/>
          <w:szCs w:val="15"/>
        </w:rPr>
      </w:pPr>
    </w:p>
    <w:p w14:paraId="3AE75242">
      <w:pPr>
        <w:widowControl/>
        <w:jc w:val="left"/>
        <w:rPr>
          <w:rFonts w:ascii="Times New Roman" w:hAnsi="Times New Roman" w:cs="Times New Roman"/>
          <w:sz w:val="24"/>
          <w:szCs w:val="24"/>
        </w:rPr>
        <w:sectPr>
          <w:pgSz w:w="15842" w:h="12242" w:orient="landscape"/>
          <w:pgMar w:top="1440" w:right="1440" w:bottom="1440" w:left="1440" w:header="851" w:footer="992" w:gutter="0"/>
          <w:cols w:space="425" w:num="1"/>
          <w:docGrid w:type="linesAndChars" w:linePitch="312" w:charSpace="0"/>
        </w:sectPr>
      </w:pPr>
    </w:p>
    <w:p w14:paraId="2A0EA383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S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3</w:t>
      </w:r>
      <w:r>
        <w:rPr>
          <w:rFonts w:hint="eastAsia"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Freundlich isotherm fitting parameters for SRFA and SRHA adsorption on pristine,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-aged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,</w:t>
      </w:r>
      <w:r>
        <w:rPr>
          <w:rFonts w:ascii="Times New Roman" w:hAnsi="Times New Roman"/>
          <w:sz w:val="24"/>
          <w:szCs w:val="24"/>
        </w:rPr>
        <w:t xml:space="preserve"> and UV-aged MPs</w:t>
      </w:r>
    </w:p>
    <w:tbl>
      <w:tblPr>
        <w:tblStyle w:val="7"/>
        <w:tblW w:w="129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810"/>
        <w:gridCol w:w="2106"/>
        <w:gridCol w:w="762"/>
        <w:gridCol w:w="1843"/>
        <w:gridCol w:w="2126"/>
        <w:gridCol w:w="1701"/>
        <w:gridCol w:w="851"/>
      </w:tblGrid>
      <w:tr w14:paraId="01E2EB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5" w:hRule="exact"/>
        </w:trPr>
        <w:tc>
          <w:tcPr>
            <w:tcW w:w="1701" w:type="dxa"/>
            <w:vMerge w:val="restart"/>
            <w:tcBorders>
              <w:top w:val="single" w:color="auto" w:sz="18" w:space="0"/>
              <w:bottom w:val="single" w:color="auto" w:sz="4" w:space="0"/>
            </w:tcBorders>
            <w:vAlign w:val="center"/>
          </w:tcPr>
          <w:p w14:paraId="2C88B96D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M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Ps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-SRFA</w:t>
            </w:r>
          </w:p>
        </w:tc>
        <w:tc>
          <w:tcPr>
            <w:tcW w:w="4678" w:type="dxa"/>
            <w:gridSpan w:val="3"/>
            <w:tcBorders>
              <w:top w:val="single" w:color="auto" w:sz="18" w:space="0"/>
              <w:bottom w:val="single" w:color="auto" w:sz="4" w:space="0"/>
            </w:tcBorders>
            <w:vAlign w:val="center"/>
          </w:tcPr>
          <w:p w14:paraId="143E4472">
            <w:pPr>
              <w:adjustRightInd w:val="0"/>
              <w:snapToGrid w:val="0"/>
              <w:spacing w:after="0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Freundlich model</w:t>
            </w:r>
          </w:p>
        </w:tc>
        <w:tc>
          <w:tcPr>
            <w:tcW w:w="1843" w:type="dxa"/>
            <w:vMerge w:val="restart"/>
            <w:tcBorders>
              <w:top w:val="single" w:color="auto" w:sz="18" w:space="0"/>
            </w:tcBorders>
            <w:vAlign w:val="center"/>
          </w:tcPr>
          <w:p w14:paraId="33D48595">
            <w:pPr>
              <w:adjustRightInd w:val="0"/>
              <w:snapToGrid w:val="0"/>
              <w:spacing w:after="0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MPs-SRHA</w:t>
            </w:r>
          </w:p>
        </w:tc>
        <w:tc>
          <w:tcPr>
            <w:tcW w:w="4678" w:type="dxa"/>
            <w:gridSpan w:val="3"/>
            <w:tcBorders>
              <w:top w:val="single" w:color="auto" w:sz="18" w:space="0"/>
              <w:bottom w:val="single" w:color="auto" w:sz="4" w:space="0"/>
            </w:tcBorders>
          </w:tcPr>
          <w:p w14:paraId="7B15797F">
            <w:pPr>
              <w:adjustRightInd w:val="0"/>
              <w:snapToGrid w:val="0"/>
              <w:spacing w:after="200"/>
              <w:jc w:val="center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Freundlich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model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 xml:space="preserve"> </w:t>
            </w:r>
          </w:p>
        </w:tc>
      </w:tr>
      <w:tr w14:paraId="6AE97A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5" w:hRule="exact"/>
        </w:trPr>
        <w:tc>
          <w:tcPr>
            <w:tcW w:w="1701" w:type="dxa"/>
            <w:vMerge w:val="continue"/>
            <w:tcBorders>
              <w:top w:val="single" w:color="auto" w:sz="4" w:space="0"/>
              <w:bottom w:val="single" w:color="auto" w:sz="18" w:space="0"/>
            </w:tcBorders>
            <w:vAlign w:val="center"/>
          </w:tcPr>
          <w:p w14:paraId="796623A5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</w:p>
        </w:tc>
        <w:tc>
          <w:tcPr>
            <w:tcW w:w="1810" w:type="dxa"/>
            <w:tcBorders>
              <w:top w:val="single" w:color="auto" w:sz="4" w:space="0"/>
              <w:bottom w:val="single" w:color="auto" w:sz="18" w:space="0"/>
            </w:tcBorders>
            <w:vAlign w:val="center"/>
          </w:tcPr>
          <w:p w14:paraId="5E727783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kern w:val="0"/>
                <w:sz w:val="21"/>
                <w:szCs w:val="21"/>
              </w:rPr>
              <w:t>K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vertAlign w:val="subscript"/>
              </w:rPr>
              <w:t>F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mg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 xml:space="preserve"> C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vertAlign w:val="superscript"/>
              </w:rPr>
              <w:t>1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superscript"/>
                <w:lang w:val="en-US" w:eastAsia="zh-CN"/>
              </w:rPr>
              <w:t>−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vertAlign w:val="superscript"/>
              </w:rPr>
              <w:t>n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L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vertAlign w:val="superscript"/>
              </w:rPr>
              <w:t>n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vertAlign w:val="superscript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g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superscript"/>
                <w:lang w:val="en-US" w:eastAsia="zh-CN"/>
              </w:rPr>
              <w:t>−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vertAlign w:val="superscript"/>
              </w:rPr>
              <w:t>1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)</w:t>
            </w:r>
          </w:p>
        </w:tc>
        <w:tc>
          <w:tcPr>
            <w:tcW w:w="2106" w:type="dxa"/>
            <w:tcBorders>
              <w:top w:val="single" w:color="auto" w:sz="4" w:space="0"/>
              <w:bottom w:val="single" w:color="auto" w:sz="18" w:space="0"/>
            </w:tcBorders>
            <w:vAlign w:val="center"/>
          </w:tcPr>
          <w:p w14:paraId="685FD632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n</w:t>
            </w:r>
          </w:p>
        </w:tc>
        <w:tc>
          <w:tcPr>
            <w:tcW w:w="762" w:type="dxa"/>
            <w:tcBorders>
              <w:top w:val="single" w:color="auto" w:sz="4" w:space="0"/>
              <w:bottom w:val="single" w:color="auto" w:sz="18" w:space="0"/>
            </w:tcBorders>
            <w:vAlign w:val="center"/>
          </w:tcPr>
          <w:p w14:paraId="3FA934CD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R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843" w:type="dxa"/>
            <w:vMerge w:val="continue"/>
            <w:tcBorders>
              <w:bottom w:val="single" w:color="auto" w:sz="18" w:space="0"/>
            </w:tcBorders>
          </w:tcPr>
          <w:p w14:paraId="595B60E2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single" w:color="auto" w:sz="4" w:space="0"/>
              <w:bottom w:val="single" w:color="auto" w:sz="18" w:space="0"/>
            </w:tcBorders>
            <w:vAlign w:val="center"/>
          </w:tcPr>
          <w:p w14:paraId="21A091B9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kern w:val="0"/>
                <w:sz w:val="21"/>
                <w:szCs w:val="21"/>
              </w:rPr>
              <w:t>K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vertAlign w:val="subscript"/>
              </w:rPr>
              <w:t>F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mg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 xml:space="preserve"> C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vertAlign w:val="superscript"/>
              </w:rPr>
              <w:t>1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superscript"/>
                <w:lang w:val="en-US" w:eastAsia="zh-CN"/>
              </w:rPr>
              <w:t>−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vertAlign w:val="superscript"/>
              </w:rPr>
              <w:t>n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L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vertAlign w:val="superscript"/>
              </w:rPr>
              <w:t>n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vertAlign w:val="superscript"/>
                <w:lang w:val="en-US"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g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superscript"/>
                <w:lang w:val="en-US" w:eastAsia="zh-CN"/>
              </w:rPr>
              <w:t>−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vertAlign w:val="superscript"/>
              </w:rPr>
              <w:t>1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)</w:t>
            </w:r>
          </w:p>
        </w:tc>
        <w:tc>
          <w:tcPr>
            <w:tcW w:w="1701" w:type="dxa"/>
            <w:tcBorders>
              <w:top w:val="single" w:color="auto" w:sz="4" w:space="0"/>
              <w:bottom w:val="single" w:color="auto" w:sz="18" w:space="0"/>
            </w:tcBorders>
            <w:vAlign w:val="center"/>
          </w:tcPr>
          <w:p w14:paraId="280334F5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n</w:t>
            </w:r>
          </w:p>
        </w:tc>
        <w:tc>
          <w:tcPr>
            <w:tcW w:w="851" w:type="dxa"/>
            <w:tcBorders>
              <w:top w:val="single" w:color="auto" w:sz="4" w:space="0"/>
              <w:bottom w:val="single" w:color="auto" w:sz="18" w:space="0"/>
            </w:tcBorders>
            <w:vAlign w:val="center"/>
          </w:tcPr>
          <w:p w14:paraId="1E13712D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R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vertAlign w:val="superscript"/>
              </w:rPr>
              <w:t>2</w:t>
            </w:r>
          </w:p>
        </w:tc>
      </w:tr>
      <w:tr w14:paraId="02BFBB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5" w:hRule="exact"/>
        </w:trPr>
        <w:tc>
          <w:tcPr>
            <w:tcW w:w="1701" w:type="dxa"/>
            <w:tcBorders>
              <w:top w:val="single" w:color="auto" w:sz="18" w:space="0"/>
            </w:tcBorders>
            <w:vAlign w:val="center"/>
          </w:tcPr>
          <w:p w14:paraId="1A0C7DD4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PE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-SRFA</w:t>
            </w:r>
          </w:p>
        </w:tc>
        <w:tc>
          <w:tcPr>
            <w:tcW w:w="1810" w:type="dxa"/>
            <w:tcBorders>
              <w:top w:val="single" w:color="auto" w:sz="18" w:space="0"/>
            </w:tcBorders>
            <w:vAlign w:val="center"/>
          </w:tcPr>
          <w:p w14:paraId="6C43E9E2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0.390 ± 0.061</w:t>
            </w:r>
          </w:p>
        </w:tc>
        <w:tc>
          <w:tcPr>
            <w:tcW w:w="2106" w:type="dxa"/>
            <w:tcBorders>
              <w:top w:val="single" w:color="auto" w:sz="18" w:space="0"/>
            </w:tcBorders>
            <w:vAlign w:val="center"/>
          </w:tcPr>
          <w:p w14:paraId="047061F7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0.587 ± 0.072</w:t>
            </w:r>
          </w:p>
        </w:tc>
        <w:tc>
          <w:tcPr>
            <w:tcW w:w="762" w:type="dxa"/>
            <w:vAlign w:val="center"/>
          </w:tcPr>
          <w:p w14:paraId="666AF2B5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0.958</w:t>
            </w:r>
          </w:p>
        </w:tc>
        <w:tc>
          <w:tcPr>
            <w:tcW w:w="1843" w:type="dxa"/>
            <w:vAlign w:val="center"/>
          </w:tcPr>
          <w:p w14:paraId="2FEDE983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PE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-SRHA</w:t>
            </w:r>
          </w:p>
        </w:tc>
        <w:tc>
          <w:tcPr>
            <w:tcW w:w="2126" w:type="dxa"/>
            <w:tcBorders>
              <w:top w:val="single" w:color="auto" w:sz="18" w:space="0"/>
            </w:tcBorders>
            <w:vAlign w:val="center"/>
          </w:tcPr>
          <w:p w14:paraId="552425AC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0.288 ± 0.022</w:t>
            </w:r>
          </w:p>
        </w:tc>
        <w:tc>
          <w:tcPr>
            <w:tcW w:w="1701" w:type="dxa"/>
            <w:tcBorders>
              <w:top w:val="single" w:color="auto" w:sz="18" w:space="0"/>
            </w:tcBorders>
            <w:vAlign w:val="center"/>
          </w:tcPr>
          <w:p w14:paraId="66C62494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0.824 ± 0.036</w:t>
            </w:r>
          </w:p>
        </w:tc>
        <w:tc>
          <w:tcPr>
            <w:tcW w:w="851" w:type="dxa"/>
            <w:tcBorders>
              <w:top w:val="single" w:color="auto" w:sz="18" w:space="0"/>
            </w:tcBorders>
            <w:vAlign w:val="center"/>
          </w:tcPr>
          <w:p w14:paraId="5A762D96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0.995</w:t>
            </w:r>
          </w:p>
        </w:tc>
      </w:tr>
      <w:tr w14:paraId="1250D0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5" w:hRule="exact"/>
        </w:trPr>
        <w:tc>
          <w:tcPr>
            <w:tcW w:w="1701" w:type="dxa"/>
            <w:vAlign w:val="center"/>
          </w:tcPr>
          <w:p w14:paraId="1099EE56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PE-O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vertAlign w:val="subscript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-SRFA</w:t>
            </w:r>
          </w:p>
        </w:tc>
        <w:tc>
          <w:tcPr>
            <w:tcW w:w="1810" w:type="dxa"/>
            <w:vAlign w:val="center"/>
          </w:tcPr>
          <w:p w14:paraId="7C590E4A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1.459 ± 0.080</w:t>
            </w:r>
          </w:p>
        </w:tc>
        <w:tc>
          <w:tcPr>
            <w:tcW w:w="2106" w:type="dxa"/>
            <w:vAlign w:val="center"/>
          </w:tcPr>
          <w:p w14:paraId="7F8634CD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0.175 ± 0.030</w:t>
            </w:r>
          </w:p>
        </w:tc>
        <w:tc>
          <w:tcPr>
            <w:tcW w:w="762" w:type="dxa"/>
            <w:vAlign w:val="center"/>
          </w:tcPr>
          <w:p w14:paraId="5AA4897E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0.925</w:t>
            </w:r>
          </w:p>
        </w:tc>
        <w:tc>
          <w:tcPr>
            <w:tcW w:w="1843" w:type="dxa"/>
            <w:vAlign w:val="center"/>
          </w:tcPr>
          <w:p w14:paraId="753B8BB3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PE-O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vertAlign w:val="subscript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-SRHA</w:t>
            </w:r>
          </w:p>
        </w:tc>
        <w:tc>
          <w:tcPr>
            <w:tcW w:w="2126" w:type="dxa"/>
            <w:vAlign w:val="center"/>
          </w:tcPr>
          <w:p w14:paraId="086B4592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0.232 ± 0.036</w:t>
            </w:r>
          </w:p>
        </w:tc>
        <w:tc>
          <w:tcPr>
            <w:tcW w:w="1701" w:type="dxa"/>
            <w:vAlign w:val="center"/>
          </w:tcPr>
          <w:p w14:paraId="1658A91D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0.759 ± 0.066</w:t>
            </w:r>
          </w:p>
        </w:tc>
        <w:tc>
          <w:tcPr>
            <w:tcW w:w="851" w:type="dxa"/>
            <w:vAlign w:val="center"/>
          </w:tcPr>
          <w:p w14:paraId="625C846A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0.986</w:t>
            </w:r>
          </w:p>
        </w:tc>
      </w:tr>
      <w:tr w14:paraId="5F0102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5" w:hRule="exact"/>
        </w:trPr>
        <w:tc>
          <w:tcPr>
            <w:tcW w:w="1701" w:type="dxa"/>
            <w:vAlign w:val="center"/>
          </w:tcPr>
          <w:p w14:paraId="4152A0E9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PE-UV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-SRFA</w:t>
            </w:r>
          </w:p>
        </w:tc>
        <w:tc>
          <w:tcPr>
            <w:tcW w:w="1810" w:type="dxa"/>
            <w:vAlign w:val="center"/>
          </w:tcPr>
          <w:p w14:paraId="19F3ED2E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0.878 ± 0.045</w:t>
            </w:r>
          </w:p>
        </w:tc>
        <w:tc>
          <w:tcPr>
            <w:tcW w:w="2106" w:type="dxa"/>
            <w:vAlign w:val="center"/>
          </w:tcPr>
          <w:p w14:paraId="3DDEABB8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0.265 ± 0.026</w:t>
            </w:r>
          </w:p>
        </w:tc>
        <w:tc>
          <w:tcPr>
            <w:tcW w:w="762" w:type="dxa"/>
            <w:vAlign w:val="center"/>
          </w:tcPr>
          <w:p w14:paraId="226E798D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0.969</w:t>
            </w:r>
          </w:p>
        </w:tc>
        <w:tc>
          <w:tcPr>
            <w:tcW w:w="1843" w:type="dxa"/>
            <w:vAlign w:val="center"/>
          </w:tcPr>
          <w:p w14:paraId="0339E98C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PE-UV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-SRHA</w:t>
            </w:r>
          </w:p>
        </w:tc>
        <w:tc>
          <w:tcPr>
            <w:tcW w:w="2126" w:type="dxa"/>
            <w:vAlign w:val="center"/>
          </w:tcPr>
          <w:p w14:paraId="5FC152BC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0.849 ± 0.031</w:t>
            </w:r>
          </w:p>
        </w:tc>
        <w:tc>
          <w:tcPr>
            <w:tcW w:w="1701" w:type="dxa"/>
            <w:vAlign w:val="center"/>
          </w:tcPr>
          <w:p w14:paraId="168FDCF4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0.098 ± 0.019</w:t>
            </w:r>
          </w:p>
        </w:tc>
        <w:tc>
          <w:tcPr>
            <w:tcW w:w="851" w:type="dxa"/>
            <w:vAlign w:val="center"/>
          </w:tcPr>
          <w:p w14:paraId="281C4147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0.887</w:t>
            </w:r>
          </w:p>
        </w:tc>
      </w:tr>
      <w:tr w14:paraId="6011D6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5" w:hRule="exact"/>
        </w:trPr>
        <w:tc>
          <w:tcPr>
            <w:tcW w:w="1701" w:type="dxa"/>
          </w:tcPr>
          <w:p w14:paraId="10FDBFDD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PP-SRFA</w:t>
            </w:r>
          </w:p>
        </w:tc>
        <w:tc>
          <w:tcPr>
            <w:tcW w:w="1810" w:type="dxa"/>
          </w:tcPr>
          <w:p w14:paraId="71B64924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0.540 ± 0.067</w:t>
            </w:r>
          </w:p>
        </w:tc>
        <w:tc>
          <w:tcPr>
            <w:tcW w:w="2106" w:type="dxa"/>
          </w:tcPr>
          <w:p w14:paraId="7920CB55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0.336 ± 0.057</w:t>
            </w:r>
          </w:p>
        </w:tc>
        <w:tc>
          <w:tcPr>
            <w:tcW w:w="762" w:type="dxa"/>
          </w:tcPr>
          <w:p w14:paraId="7A257363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0.925</w:t>
            </w:r>
          </w:p>
        </w:tc>
        <w:tc>
          <w:tcPr>
            <w:tcW w:w="1843" w:type="dxa"/>
          </w:tcPr>
          <w:p w14:paraId="09C89262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PP-SRHA</w:t>
            </w:r>
          </w:p>
        </w:tc>
        <w:tc>
          <w:tcPr>
            <w:tcW w:w="2126" w:type="dxa"/>
          </w:tcPr>
          <w:p w14:paraId="6EA45EFD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0.421 ± 0.053</w:t>
            </w:r>
          </w:p>
        </w:tc>
        <w:tc>
          <w:tcPr>
            <w:tcW w:w="1701" w:type="dxa"/>
          </w:tcPr>
          <w:p w14:paraId="32DD0240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0.184 ± 0.059</w:t>
            </w:r>
          </w:p>
        </w:tc>
        <w:tc>
          <w:tcPr>
            <w:tcW w:w="851" w:type="dxa"/>
          </w:tcPr>
          <w:p w14:paraId="63AC3248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0.810</w:t>
            </w:r>
          </w:p>
        </w:tc>
      </w:tr>
      <w:tr w14:paraId="414831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5" w:hRule="exact"/>
        </w:trPr>
        <w:tc>
          <w:tcPr>
            <w:tcW w:w="1701" w:type="dxa"/>
          </w:tcPr>
          <w:p w14:paraId="52B3FBAD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PP-O3-SRFA</w:t>
            </w:r>
          </w:p>
        </w:tc>
        <w:tc>
          <w:tcPr>
            <w:tcW w:w="1810" w:type="dxa"/>
          </w:tcPr>
          <w:p w14:paraId="5DCAF1DD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0.326 ± 0.062</w:t>
            </w:r>
          </w:p>
        </w:tc>
        <w:tc>
          <w:tcPr>
            <w:tcW w:w="2106" w:type="dxa"/>
          </w:tcPr>
          <w:p w14:paraId="4DAD9934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0.573 ± 0.086</w:t>
            </w:r>
          </w:p>
        </w:tc>
        <w:tc>
          <w:tcPr>
            <w:tcW w:w="762" w:type="dxa"/>
          </w:tcPr>
          <w:p w14:paraId="17DB4BA4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0.936</w:t>
            </w:r>
          </w:p>
        </w:tc>
        <w:tc>
          <w:tcPr>
            <w:tcW w:w="1843" w:type="dxa"/>
          </w:tcPr>
          <w:p w14:paraId="52F18DB2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PP-O3-SRHA</w:t>
            </w:r>
          </w:p>
        </w:tc>
        <w:tc>
          <w:tcPr>
            <w:tcW w:w="2126" w:type="dxa"/>
          </w:tcPr>
          <w:p w14:paraId="17D5CB92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0.510 ± 0.051</w:t>
            </w:r>
          </w:p>
        </w:tc>
        <w:tc>
          <w:tcPr>
            <w:tcW w:w="1701" w:type="dxa"/>
          </w:tcPr>
          <w:p w14:paraId="7FEF54B6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0.163 ± 0.047</w:t>
            </w:r>
          </w:p>
        </w:tc>
        <w:tc>
          <w:tcPr>
            <w:tcW w:w="851" w:type="dxa"/>
          </w:tcPr>
          <w:p w14:paraId="1B91BE8F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0.824</w:t>
            </w:r>
          </w:p>
        </w:tc>
      </w:tr>
      <w:tr w14:paraId="328B2C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5" w:hRule="exact"/>
        </w:trPr>
        <w:tc>
          <w:tcPr>
            <w:tcW w:w="1701" w:type="dxa"/>
          </w:tcPr>
          <w:p w14:paraId="1473046A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PP-UV-SRFA</w:t>
            </w:r>
          </w:p>
        </w:tc>
        <w:tc>
          <w:tcPr>
            <w:tcW w:w="1810" w:type="dxa"/>
          </w:tcPr>
          <w:p w14:paraId="1B7D0DE2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0.222 ± 0.052</w:t>
            </w:r>
          </w:p>
        </w:tc>
        <w:tc>
          <w:tcPr>
            <w:tcW w:w="2106" w:type="dxa"/>
          </w:tcPr>
          <w:p w14:paraId="278A537F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0.618 ± 0.101</w:t>
            </w:r>
          </w:p>
        </w:tc>
        <w:tc>
          <w:tcPr>
            <w:tcW w:w="762" w:type="dxa"/>
          </w:tcPr>
          <w:p w14:paraId="00B1F20D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0.936</w:t>
            </w:r>
          </w:p>
        </w:tc>
        <w:tc>
          <w:tcPr>
            <w:tcW w:w="1843" w:type="dxa"/>
          </w:tcPr>
          <w:p w14:paraId="459F9811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PP-UV-SRHA</w:t>
            </w:r>
          </w:p>
        </w:tc>
        <w:tc>
          <w:tcPr>
            <w:tcW w:w="2126" w:type="dxa"/>
          </w:tcPr>
          <w:p w14:paraId="169998A0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0.514 ± 0.067</w:t>
            </w:r>
          </w:p>
        </w:tc>
        <w:tc>
          <w:tcPr>
            <w:tcW w:w="1701" w:type="dxa"/>
          </w:tcPr>
          <w:p w14:paraId="1D80E5E7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0.234 ± 0.064</w:t>
            </w:r>
          </w:p>
        </w:tc>
        <w:tc>
          <w:tcPr>
            <w:tcW w:w="851" w:type="dxa"/>
          </w:tcPr>
          <w:p w14:paraId="75009619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0.806</w:t>
            </w:r>
          </w:p>
        </w:tc>
      </w:tr>
      <w:tr w14:paraId="14E489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5" w:hRule="exact"/>
        </w:trPr>
        <w:tc>
          <w:tcPr>
            <w:tcW w:w="1701" w:type="dxa"/>
            <w:vAlign w:val="center"/>
          </w:tcPr>
          <w:p w14:paraId="44DB3364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PET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-SRFA</w:t>
            </w:r>
          </w:p>
        </w:tc>
        <w:tc>
          <w:tcPr>
            <w:tcW w:w="1810" w:type="dxa"/>
            <w:vAlign w:val="center"/>
          </w:tcPr>
          <w:p w14:paraId="284F5A9F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0.285 ± 0.034</w:t>
            </w:r>
          </w:p>
        </w:tc>
        <w:tc>
          <w:tcPr>
            <w:tcW w:w="2106" w:type="dxa"/>
            <w:vAlign w:val="center"/>
          </w:tcPr>
          <w:p w14:paraId="075450B2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0.617 ± 0.052</w:t>
            </w:r>
          </w:p>
        </w:tc>
        <w:tc>
          <w:tcPr>
            <w:tcW w:w="762" w:type="dxa"/>
            <w:vAlign w:val="center"/>
          </w:tcPr>
          <w:p w14:paraId="48A8625A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0.981</w:t>
            </w:r>
          </w:p>
        </w:tc>
        <w:tc>
          <w:tcPr>
            <w:tcW w:w="1843" w:type="dxa"/>
            <w:vAlign w:val="center"/>
          </w:tcPr>
          <w:p w14:paraId="7ED1FE8B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PET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-SRHA</w:t>
            </w:r>
          </w:p>
        </w:tc>
        <w:tc>
          <w:tcPr>
            <w:tcW w:w="2126" w:type="dxa"/>
            <w:vAlign w:val="center"/>
          </w:tcPr>
          <w:p w14:paraId="591F1142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0.176 ± 0.035</w:t>
            </w:r>
          </w:p>
        </w:tc>
        <w:tc>
          <w:tcPr>
            <w:tcW w:w="1701" w:type="dxa"/>
            <w:vAlign w:val="center"/>
          </w:tcPr>
          <w:p w14:paraId="17E5E712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0.879 ± 0.087</w:t>
            </w:r>
          </w:p>
        </w:tc>
        <w:tc>
          <w:tcPr>
            <w:tcW w:w="851" w:type="dxa"/>
            <w:vAlign w:val="center"/>
          </w:tcPr>
          <w:p w14:paraId="69DE6C10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0.975</w:t>
            </w:r>
          </w:p>
        </w:tc>
      </w:tr>
      <w:tr w14:paraId="7BC83E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5" w:hRule="exact"/>
        </w:trPr>
        <w:tc>
          <w:tcPr>
            <w:tcW w:w="1701" w:type="dxa"/>
            <w:vAlign w:val="center"/>
          </w:tcPr>
          <w:p w14:paraId="1E796F8C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PET-O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vertAlign w:val="subscript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-SRFA</w:t>
            </w:r>
          </w:p>
        </w:tc>
        <w:tc>
          <w:tcPr>
            <w:tcW w:w="1810" w:type="dxa"/>
            <w:vAlign w:val="center"/>
          </w:tcPr>
          <w:p w14:paraId="33B909E1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0.125 ± 0.008</w:t>
            </w:r>
          </w:p>
        </w:tc>
        <w:tc>
          <w:tcPr>
            <w:tcW w:w="2106" w:type="dxa"/>
            <w:vAlign w:val="center"/>
          </w:tcPr>
          <w:p w14:paraId="5CBCC32B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0.835 ± 0.087</w:t>
            </w:r>
          </w:p>
        </w:tc>
        <w:tc>
          <w:tcPr>
            <w:tcW w:w="762" w:type="dxa"/>
            <w:vAlign w:val="center"/>
          </w:tcPr>
          <w:p w14:paraId="50983EEF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.930</w:t>
            </w:r>
          </w:p>
        </w:tc>
        <w:tc>
          <w:tcPr>
            <w:tcW w:w="1843" w:type="dxa"/>
            <w:vAlign w:val="center"/>
          </w:tcPr>
          <w:p w14:paraId="7BB32964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PET-O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vertAlign w:val="subscript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-SRHA</w:t>
            </w:r>
          </w:p>
        </w:tc>
        <w:tc>
          <w:tcPr>
            <w:tcW w:w="2126" w:type="dxa"/>
            <w:vAlign w:val="center"/>
          </w:tcPr>
          <w:p w14:paraId="2347E7FA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0.222 ± 0.024</w:t>
            </w:r>
          </w:p>
        </w:tc>
        <w:tc>
          <w:tcPr>
            <w:tcW w:w="1701" w:type="dxa"/>
            <w:vAlign w:val="center"/>
          </w:tcPr>
          <w:p w14:paraId="189B2509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0.912 ± 0.048</w:t>
            </w:r>
          </w:p>
        </w:tc>
        <w:tc>
          <w:tcPr>
            <w:tcW w:w="851" w:type="dxa"/>
            <w:vAlign w:val="center"/>
          </w:tcPr>
          <w:p w14:paraId="12E87B20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.993</w:t>
            </w:r>
          </w:p>
        </w:tc>
      </w:tr>
      <w:tr w14:paraId="4AA9DF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5" w:hRule="exact"/>
        </w:trPr>
        <w:tc>
          <w:tcPr>
            <w:tcW w:w="1701" w:type="dxa"/>
            <w:vAlign w:val="center"/>
          </w:tcPr>
          <w:p w14:paraId="4C15D0AA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PET-UV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-SRFA</w:t>
            </w:r>
          </w:p>
        </w:tc>
        <w:tc>
          <w:tcPr>
            <w:tcW w:w="1810" w:type="dxa"/>
            <w:vAlign w:val="center"/>
          </w:tcPr>
          <w:p w14:paraId="7BF2F161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0.264 ± 0.012</w:t>
            </w:r>
          </w:p>
        </w:tc>
        <w:tc>
          <w:tcPr>
            <w:tcW w:w="2106" w:type="dxa"/>
            <w:vAlign w:val="center"/>
          </w:tcPr>
          <w:p w14:paraId="32231E76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0.246 ± 0.021</w:t>
            </w:r>
          </w:p>
        </w:tc>
        <w:tc>
          <w:tcPr>
            <w:tcW w:w="762" w:type="dxa"/>
            <w:vAlign w:val="center"/>
          </w:tcPr>
          <w:p w14:paraId="0854510A">
            <w:pPr>
              <w:adjustRightInd w:val="0"/>
              <w:snapToGrid w:val="0"/>
              <w:spacing w:after="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0.985</w:t>
            </w:r>
          </w:p>
        </w:tc>
        <w:tc>
          <w:tcPr>
            <w:tcW w:w="1843" w:type="dxa"/>
            <w:vAlign w:val="center"/>
          </w:tcPr>
          <w:p w14:paraId="25B59AA4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PET-UV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-SRHA</w:t>
            </w:r>
          </w:p>
        </w:tc>
        <w:tc>
          <w:tcPr>
            <w:tcW w:w="2126" w:type="dxa"/>
            <w:vAlign w:val="center"/>
          </w:tcPr>
          <w:p w14:paraId="42FA4D49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0.289 ± 0.039</w:t>
            </w:r>
          </w:p>
        </w:tc>
        <w:tc>
          <w:tcPr>
            <w:tcW w:w="1701" w:type="dxa"/>
            <w:vAlign w:val="center"/>
          </w:tcPr>
          <w:p w14:paraId="1773BCD8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0.823 ± 0.062</w:t>
            </w:r>
          </w:p>
        </w:tc>
        <w:tc>
          <w:tcPr>
            <w:tcW w:w="851" w:type="dxa"/>
            <w:vAlign w:val="center"/>
          </w:tcPr>
          <w:p w14:paraId="4E205D58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0.986</w:t>
            </w:r>
          </w:p>
        </w:tc>
      </w:tr>
      <w:tr w14:paraId="24262A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5" w:hRule="exact"/>
        </w:trPr>
        <w:tc>
          <w:tcPr>
            <w:tcW w:w="1701" w:type="dxa"/>
            <w:vAlign w:val="center"/>
          </w:tcPr>
          <w:p w14:paraId="5BC2BE4F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PS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-SRFA</w:t>
            </w:r>
          </w:p>
        </w:tc>
        <w:tc>
          <w:tcPr>
            <w:tcW w:w="1810" w:type="dxa"/>
            <w:vAlign w:val="center"/>
          </w:tcPr>
          <w:p w14:paraId="590BC2AD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0.530 ± 0.083</w:t>
            </w:r>
          </w:p>
        </w:tc>
        <w:tc>
          <w:tcPr>
            <w:tcW w:w="2106" w:type="dxa"/>
            <w:vAlign w:val="center"/>
          </w:tcPr>
          <w:p w14:paraId="333848DB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.376 ± 0.074</w:t>
            </w:r>
          </w:p>
        </w:tc>
        <w:tc>
          <w:tcPr>
            <w:tcW w:w="762" w:type="dxa"/>
            <w:vAlign w:val="center"/>
          </w:tcPr>
          <w:p w14:paraId="114FC384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0.889</w:t>
            </w:r>
          </w:p>
        </w:tc>
        <w:tc>
          <w:tcPr>
            <w:tcW w:w="1843" w:type="dxa"/>
            <w:vAlign w:val="center"/>
          </w:tcPr>
          <w:p w14:paraId="3C0C5D25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PS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-SRHA</w:t>
            </w:r>
          </w:p>
        </w:tc>
        <w:tc>
          <w:tcPr>
            <w:tcW w:w="2126" w:type="dxa"/>
            <w:vAlign w:val="center"/>
          </w:tcPr>
          <w:p w14:paraId="415E2524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0.519 ± 0.136</w:t>
            </w:r>
          </w:p>
        </w:tc>
        <w:tc>
          <w:tcPr>
            <w:tcW w:w="1701" w:type="dxa"/>
            <w:vAlign w:val="center"/>
          </w:tcPr>
          <w:p w14:paraId="53C3A19B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.639 ± 0.127</w:t>
            </w:r>
          </w:p>
        </w:tc>
        <w:tc>
          <w:tcPr>
            <w:tcW w:w="851" w:type="dxa"/>
            <w:vAlign w:val="center"/>
          </w:tcPr>
          <w:p w14:paraId="131B94BF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0.925</w:t>
            </w:r>
          </w:p>
        </w:tc>
      </w:tr>
      <w:tr w14:paraId="0FE995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cantSplit/>
          <w:trHeight w:val="295" w:hRule="exact"/>
        </w:trPr>
        <w:tc>
          <w:tcPr>
            <w:tcW w:w="1701" w:type="dxa"/>
            <w:vAlign w:val="center"/>
          </w:tcPr>
          <w:p w14:paraId="67306C76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PS-O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vertAlign w:val="subscript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-SRFA</w:t>
            </w:r>
          </w:p>
        </w:tc>
        <w:tc>
          <w:tcPr>
            <w:tcW w:w="1810" w:type="dxa"/>
            <w:vAlign w:val="center"/>
          </w:tcPr>
          <w:p w14:paraId="47BDCB13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0.376 ± 0.061</w:t>
            </w:r>
          </w:p>
        </w:tc>
        <w:tc>
          <w:tcPr>
            <w:tcW w:w="2106" w:type="dxa"/>
            <w:vAlign w:val="center"/>
          </w:tcPr>
          <w:p w14:paraId="57247A6F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0.336 ± 0.070</w:t>
            </w:r>
          </w:p>
        </w:tc>
        <w:tc>
          <w:tcPr>
            <w:tcW w:w="762" w:type="dxa"/>
            <w:vAlign w:val="center"/>
          </w:tcPr>
          <w:p w14:paraId="2D79C8B2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.938</w:t>
            </w:r>
          </w:p>
        </w:tc>
        <w:tc>
          <w:tcPr>
            <w:tcW w:w="1843" w:type="dxa"/>
            <w:vAlign w:val="center"/>
          </w:tcPr>
          <w:p w14:paraId="34151C5F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PS-O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vertAlign w:val="subscript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-SRHA</w:t>
            </w:r>
          </w:p>
        </w:tc>
        <w:tc>
          <w:tcPr>
            <w:tcW w:w="2126" w:type="dxa"/>
            <w:vAlign w:val="center"/>
          </w:tcPr>
          <w:p w14:paraId="28EE3BD5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0.537 ± 0.077</w:t>
            </w:r>
          </w:p>
        </w:tc>
        <w:tc>
          <w:tcPr>
            <w:tcW w:w="1701" w:type="dxa"/>
            <w:vAlign w:val="center"/>
          </w:tcPr>
          <w:p w14:paraId="567A339E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0.423 ± 0.067</w:t>
            </w:r>
          </w:p>
        </w:tc>
        <w:tc>
          <w:tcPr>
            <w:tcW w:w="851" w:type="dxa"/>
            <w:vAlign w:val="center"/>
          </w:tcPr>
          <w:p w14:paraId="291B1B0D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.954</w:t>
            </w:r>
          </w:p>
        </w:tc>
      </w:tr>
      <w:tr w14:paraId="25C47C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5" w:hRule="exact"/>
        </w:trPr>
        <w:tc>
          <w:tcPr>
            <w:tcW w:w="1701" w:type="dxa"/>
            <w:vAlign w:val="center"/>
          </w:tcPr>
          <w:p w14:paraId="0F217F13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PS-UV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-SRFA</w:t>
            </w:r>
          </w:p>
        </w:tc>
        <w:tc>
          <w:tcPr>
            <w:tcW w:w="1810" w:type="dxa"/>
            <w:vAlign w:val="center"/>
          </w:tcPr>
          <w:p w14:paraId="1314BD78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0.882 ± 0.110</w:t>
            </w:r>
          </w:p>
        </w:tc>
        <w:tc>
          <w:tcPr>
            <w:tcW w:w="2106" w:type="dxa"/>
            <w:vAlign w:val="center"/>
          </w:tcPr>
          <w:p w14:paraId="1DB55599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0.183 ± 0.055</w:t>
            </w:r>
          </w:p>
        </w:tc>
        <w:tc>
          <w:tcPr>
            <w:tcW w:w="762" w:type="dxa"/>
            <w:vAlign w:val="center"/>
          </w:tcPr>
          <w:p w14:paraId="50A1A07A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.860</w:t>
            </w:r>
          </w:p>
        </w:tc>
        <w:tc>
          <w:tcPr>
            <w:tcW w:w="1843" w:type="dxa"/>
            <w:vAlign w:val="center"/>
          </w:tcPr>
          <w:p w14:paraId="6396569D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PS-UV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-SRHA</w:t>
            </w:r>
          </w:p>
        </w:tc>
        <w:tc>
          <w:tcPr>
            <w:tcW w:w="2126" w:type="dxa"/>
            <w:vAlign w:val="center"/>
          </w:tcPr>
          <w:p w14:paraId="1985AD43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0.408 ± 0.060</w:t>
            </w:r>
          </w:p>
        </w:tc>
        <w:tc>
          <w:tcPr>
            <w:tcW w:w="1701" w:type="dxa"/>
            <w:vAlign w:val="center"/>
          </w:tcPr>
          <w:p w14:paraId="3854B038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0.673 ± 0.070</w:t>
            </w:r>
          </w:p>
        </w:tc>
        <w:tc>
          <w:tcPr>
            <w:tcW w:w="851" w:type="dxa"/>
            <w:vAlign w:val="center"/>
          </w:tcPr>
          <w:p w14:paraId="23F915C2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.973</w:t>
            </w:r>
          </w:p>
        </w:tc>
      </w:tr>
      <w:tr w14:paraId="04859F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5" w:hRule="exact"/>
        </w:trPr>
        <w:tc>
          <w:tcPr>
            <w:tcW w:w="1701" w:type="dxa"/>
            <w:vAlign w:val="center"/>
          </w:tcPr>
          <w:p w14:paraId="6B82DD9E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P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VC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-SRFA</w:t>
            </w:r>
          </w:p>
        </w:tc>
        <w:tc>
          <w:tcPr>
            <w:tcW w:w="1810" w:type="dxa"/>
            <w:vAlign w:val="center"/>
          </w:tcPr>
          <w:p w14:paraId="167CDE67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0.475 ± 0.026</w:t>
            </w:r>
          </w:p>
        </w:tc>
        <w:tc>
          <w:tcPr>
            <w:tcW w:w="2106" w:type="dxa"/>
            <w:vAlign w:val="center"/>
          </w:tcPr>
          <w:p w14:paraId="4F6CCD64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0.437 ± 0.026</w:t>
            </w:r>
          </w:p>
        </w:tc>
        <w:tc>
          <w:tcPr>
            <w:tcW w:w="762" w:type="dxa"/>
            <w:vAlign w:val="center"/>
          </w:tcPr>
          <w:p w14:paraId="1C10431B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0.989</w:t>
            </w:r>
          </w:p>
        </w:tc>
        <w:tc>
          <w:tcPr>
            <w:tcW w:w="1843" w:type="dxa"/>
            <w:vAlign w:val="center"/>
          </w:tcPr>
          <w:p w14:paraId="36EB2B1E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P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VC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-SRHA</w:t>
            </w:r>
          </w:p>
        </w:tc>
        <w:tc>
          <w:tcPr>
            <w:tcW w:w="2126" w:type="dxa"/>
            <w:vAlign w:val="center"/>
          </w:tcPr>
          <w:p w14:paraId="76E1DC3C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0.402 ± 0.062</w:t>
            </w:r>
          </w:p>
        </w:tc>
        <w:tc>
          <w:tcPr>
            <w:tcW w:w="1701" w:type="dxa"/>
            <w:vAlign w:val="center"/>
          </w:tcPr>
          <w:p w14:paraId="51CAEECB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0.843 ± 0.075</w:t>
            </w:r>
          </w:p>
        </w:tc>
        <w:tc>
          <w:tcPr>
            <w:tcW w:w="851" w:type="dxa"/>
            <w:vAlign w:val="center"/>
          </w:tcPr>
          <w:p w14:paraId="7137CB78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0.986</w:t>
            </w:r>
          </w:p>
        </w:tc>
      </w:tr>
      <w:tr w14:paraId="2C8ACB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5" w:hRule="exact"/>
        </w:trPr>
        <w:tc>
          <w:tcPr>
            <w:tcW w:w="1701" w:type="dxa"/>
            <w:vAlign w:val="center"/>
          </w:tcPr>
          <w:p w14:paraId="154E449F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P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VC-O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vertAlign w:val="subscript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-SRFA</w:t>
            </w:r>
          </w:p>
        </w:tc>
        <w:tc>
          <w:tcPr>
            <w:tcW w:w="1810" w:type="dxa"/>
            <w:vAlign w:val="center"/>
          </w:tcPr>
          <w:p w14:paraId="76AB4041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0.121 ± 0.027</w:t>
            </w:r>
          </w:p>
        </w:tc>
        <w:tc>
          <w:tcPr>
            <w:tcW w:w="2106" w:type="dxa"/>
            <w:vAlign w:val="center"/>
          </w:tcPr>
          <w:p w14:paraId="22CCFC2B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0.540 ± 0.093</w:t>
            </w:r>
          </w:p>
        </w:tc>
        <w:tc>
          <w:tcPr>
            <w:tcW w:w="762" w:type="dxa"/>
            <w:vAlign w:val="center"/>
          </w:tcPr>
          <w:p w14:paraId="2CF2CF85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.940</w:t>
            </w:r>
          </w:p>
        </w:tc>
        <w:tc>
          <w:tcPr>
            <w:tcW w:w="1843" w:type="dxa"/>
            <w:vAlign w:val="center"/>
          </w:tcPr>
          <w:p w14:paraId="7A0FE93F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P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VC-O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  <w:vertAlign w:val="subscript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-SRHA</w:t>
            </w:r>
          </w:p>
        </w:tc>
        <w:tc>
          <w:tcPr>
            <w:tcW w:w="2126" w:type="dxa"/>
            <w:vAlign w:val="center"/>
          </w:tcPr>
          <w:p w14:paraId="4F73FE1D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0.629 ± 0.059</w:t>
            </w:r>
          </w:p>
        </w:tc>
        <w:tc>
          <w:tcPr>
            <w:tcW w:w="1701" w:type="dxa"/>
            <w:vAlign w:val="center"/>
          </w:tcPr>
          <w:p w14:paraId="2FE86B7D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0.569 ± 0.047</w:t>
            </w:r>
          </w:p>
        </w:tc>
        <w:tc>
          <w:tcPr>
            <w:tcW w:w="851" w:type="dxa"/>
            <w:vAlign w:val="center"/>
          </w:tcPr>
          <w:p w14:paraId="027062CC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.980</w:t>
            </w:r>
          </w:p>
        </w:tc>
      </w:tr>
      <w:tr w14:paraId="372C16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5" w:hRule="exact"/>
        </w:trPr>
        <w:tc>
          <w:tcPr>
            <w:tcW w:w="1701" w:type="dxa"/>
            <w:tcBorders>
              <w:bottom w:val="single" w:color="auto" w:sz="18" w:space="0"/>
            </w:tcBorders>
            <w:vAlign w:val="center"/>
          </w:tcPr>
          <w:p w14:paraId="639CB29A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P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VC-UV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-SRFA</w:t>
            </w:r>
          </w:p>
        </w:tc>
        <w:tc>
          <w:tcPr>
            <w:tcW w:w="1810" w:type="dxa"/>
            <w:tcBorders>
              <w:bottom w:val="single" w:color="auto" w:sz="18" w:space="0"/>
            </w:tcBorders>
            <w:vAlign w:val="center"/>
          </w:tcPr>
          <w:p w14:paraId="0D7C989D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0.422 ± 0.009</w:t>
            </w:r>
          </w:p>
        </w:tc>
        <w:tc>
          <w:tcPr>
            <w:tcW w:w="2106" w:type="dxa"/>
            <w:tcBorders>
              <w:bottom w:val="single" w:color="auto" w:sz="18" w:space="0"/>
            </w:tcBorders>
            <w:vAlign w:val="center"/>
          </w:tcPr>
          <w:p w14:paraId="7FF76A44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0.102 ± 0.011</w:t>
            </w:r>
          </w:p>
        </w:tc>
        <w:tc>
          <w:tcPr>
            <w:tcW w:w="762" w:type="dxa"/>
            <w:tcBorders>
              <w:bottom w:val="single" w:color="auto" w:sz="18" w:space="0"/>
            </w:tcBorders>
            <w:vAlign w:val="center"/>
          </w:tcPr>
          <w:p w14:paraId="51B4AB7D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.959</w:t>
            </w:r>
          </w:p>
        </w:tc>
        <w:tc>
          <w:tcPr>
            <w:tcW w:w="1843" w:type="dxa"/>
            <w:tcBorders>
              <w:bottom w:val="single" w:color="auto" w:sz="18" w:space="0"/>
            </w:tcBorders>
            <w:vAlign w:val="center"/>
          </w:tcPr>
          <w:p w14:paraId="1B23ACC2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P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VC-UV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-SRHA</w:t>
            </w:r>
          </w:p>
        </w:tc>
        <w:tc>
          <w:tcPr>
            <w:tcW w:w="2126" w:type="dxa"/>
            <w:tcBorders>
              <w:bottom w:val="single" w:color="auto" w:sz="18" w:space="0"/>
            </w:tcBorders>
            <w:vAlign w:val="center"/>
          </w:tcPr>
          <w:p w14:paraId="42A759DB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0.430 ± 0.053</w:t>
            </w:r>
          </w:p>
        </w:tc>
        <w:tc>
          <w:tcPr>
            <w:tcW w:w="1701" w:type="dxa"/>
            <w:tcBorders>
              <w:bottom w:val="single" w:color="auto" w:sz="18" w:space="0"/>
            </w:tcBorders>
            <w:vAlign w:val="center"/>
          </w:tcPr>
          <w:p w14:paraId="292EF60F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0.705 ± 0.060</w:t>
            </w:r>
          </w:p>
        </w:tc>
        <w:tc>
          <w:tcPr>
            <w:tcW w:w="851" w:type="dxa"/>
            <w:tcBorders>
              <w:bottom w:val="single" w:color="auto" w:sz="18" w:space="0"/>
            </w:tcBorders>
            <w:vAlign w:val="center"/>
          </w:tcPr>
          <w:p w14:paraId="09A26C94">
            <w:pPr>
              <w:adjustRightInd w:val="0"/>
              <w:snapToGrid w:val="0"/>
              <w:spacing w:after="20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</w:rPr>
              <w:t>0</w:t>
            </w:r>
            <w:r>
              <w:rPr>
                <w:rFonts w:ascii="Times New Roman" w:hAnsi="Times New Roman" w:eastAsia="宋体" w:cs="Times New Roman"/>
                <w:kern w:val="0"/>
                <w:sz w:val="21"/>
                <w:szCs w:val="21"/>
              </w:rPr>
              <w:t>.982</w:t>
            </w:r>
          </w:p>
        </w:tc>
      </w:tr>
    </w:tbl>
    <w:p w14:paraId="040AD78C">
      <w:pPr>
        <w:widowControl/>
        <w:adjustRightInd w:val="0"/>
        <w:snapToGrid w:val="0"/>
        <w:jc w:val="left"/>
        <w:sectPr>
          <w:pgSz w:w="15842" w:h="12242" w:orient="landscape"/>
          <w:pgMar w:top="1440" w:right="1440" w:bottom="1440" w:left="1440" w:header="851" w:footer="992" w:gutter="0"/>
          <w:cols w:space="425" w:num="1"/>
          <w:docGrid w:type="lines" w:linePitch="312" w:charSpace="0"/>
        </w:sectPr>
      </w:pPr>
    </w:p>
    <w:p w14:paraId="47851C1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S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4</w:t>
      </w:r>
      <w:r>
        <w:rPr>
          <w:rFonts w:hint="eastAsia" w:ascii="Times New Roman" w:hAnsi="Times New Roman" w:cs="Times New Roman"/>
          <w:sz w:val="24"/>
          <w:szCs w:val="24"/>
        </w:rPr>
        <w:t xml:space="preserve">. Chemical composition of </w:t>
      </w:r>
      <w:r>
        <w:rPr>
          <w:rFonts w:ascii="Times New Roman" w:hAnsi="Times New Roman" w:cs="Times New Roman"/>
          <w:sz w:val="24"/>
          <w:szCs w:val="24"/>
        </w:rPr>
        <w:t>Suwannee River fulvic acid (SRFA) and humic acid (SRHA)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9"/>
        <w:gridCol w:w="823"/>
        <w:gridCol w:w="727"/>
        <w:gridCol w:w="700"/>
        <w:gridCol w:w="597"/>
        <w:gridCol w:w="597"/>
        <w:gridCol w:w="234"/>
        <w:gridCol w:w="1062"/>
        <w:gridCol w:w="1229"/>
        <w:gridCol w:w="1756"/>
        <w:gridCol w:w="764"/>
        <w:gridCol w:w="2020"/>
        <w:gridCol w:w="1360"/>
      </w:tblGrid>
      <w:tr w14:paraId="7EFA90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vMerge w:val="restart"/>
            <w:tcBorders>
              <w:top w:val="single" w:color="auto" w:sz="18" w:space="0"/>
            </w:tcBorders>
            <w:vAlign w:val="center"/>
          </w:tcPr>
          <w:p w14:paraId="4F3492A9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Type of DOM</w:t>
            </w:r>
          </w:p>
        </w:tc>
        <w:tc>
          <w:tcPr>
            <w:tcW w:w="3508" w:type="dxa"/>
            <w:gridSpan w:val="5"/>
            <w:tcBorders>
              <w:top w:val="single" w:color="auto" w:sz="18" w:space="0"/>
              <w:bottom w:val="single" w:color="auto" w:sz="12" w:space="0"/>
            </w:tcBorders>
            <w:vAlign w:val="center"/>
          </w:tcPr>
          <w:p w14:paraId="2EEB34C3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lemental composition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(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wt%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) </w:t>
            </w:r>
            <w:r>
              <w:rPr>
                <w:rFonts w:ascii="Times New Roman" w:hAnsi="Times New Roman" w:eastAsia="宋体" w:cs="Times New Roman"/>
                <w:i/>
                <w:iCs/>
                <w:color w:val="000000" w:themeColor="text1"/>
                <w:kern w:val="0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236" w:type="dxa"/>
            <w:tcBorders>
              <w:top w:val="single" w:color="auto" w:sz="18" w:space="0"/>
            </w:tcBorders>
          </w:tcPr>
          <w:p w14:paraId="1DDC3F0F">
            <w:pPr>
              <w:spacing w:after="200"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12" w:type="dxa"/>
            <w:gridSpan w:val="6"/>
            <w:tcBorders>
              <w:top w:val="single" w:color="auto" w:sz="18" w:space="0"/>
              <w:bottom w:val="single" w:color="auto" w:sz="12" w:space="0"/>
            </w:tcBorders>
            <w:vAlign w:val="center"/>
          </w:tcPr>
          <w:p w14:paraId="1053EEBD">
            <w:pPr>
              <w:spacing w:after="0"/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13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 NMR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e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stimates of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arbon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di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stribution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/>
                <w:iCs/>
                <w:color w:val="000000" w:themeColor="text1"/>
                <w:kern w:val="0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</w:tr>
      <w:tr w14:paraId="3623F7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vMerge w:val="continue"/>
            <w:tcBorders>
              <w:bottom w:val="single" w:color="auto" w:sz="18" w:space="0"/>
            </w:tcBorders>
            <w:vAlign w:val="center"/>
          </w:tcPr>
          <w:p w14:paraId="6D89D914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0" w:type="dxa"/>
            <w:tcBorders>
              <w:top w:val="single" w:color="auto" w:sz="12" w:space="0"/>
              <w:bottom w:val="single" w:color="auto" w:sz="18" w:space="0"/>
            </w:tcBorders>
            <w:vAlign w:val="center"/>
          </w:tcPr>
          <w:p w14:paraId="5C59C794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756" w:type="dxa"/>
            <w:tcBorders>
              <w:top w:val="single" w:color="auto" w:sz="12" w:space="0"/>
              <w:bottom w:val="single" w:color="auto" w:sz="18" w:space="0"/>
            </w:tcBorders>
            <w:vAlign w:val="center"/>
          </w:tcPr>
          <w:p w14:paraId="7B4A6795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H</w:t>
            </w:r>
          </w:p>
        </w:tc>
        <w:tc>
          <w:tcPr>
            <w:tcW w:w="702" w:type="dxa"/>
            <w:tcBorders>
              <w:top w:val="single" w:color="auto" w:sz="12" w:space="0"/>
              <w:bottom w:val="single" w:color="auto" w:sz="18" w:space="0"/>
            </w:tcBorders>
            <w:vAlign w:val="center"/>
          </w:tcPr>
          <w:p w14:paraId="7074B1C4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O</w:t>
            </w:r>
          </w:p>
        </w:tc>
        <w:tc>
          <w:tcPr>
            <w:tcW w:w="600" w:type="dxa"/>
            <w:tcBorders>
              <w:top w:val="single" w:color="auto" w:sz="12" w:space="0"/>
              <w:bottom w:val="single" w:color="auto" w:sz="18" w:space="0"/>
            </w:tcBorders>
            <w:vAlign w:val="center"/>
          </w:tcPr>
          <w:p w14:paraId="47D4A91C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600" w:type="dxa"/>
            <w:tcBorders>
              <w:top w:val="single" w:color="auto" w:sz="12" w:space="0"/>
              <w:bottom w:val="single" w:color="auto" w:sz="18" w:space="0"/>
            </w:tcBorders>
            <w:vAlign w:val="center"/>
          </w:tcPr>
          <w:p w14:paraId="44686938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S</w:t>
            </w:r>
          </w:p>
        </w:tc>
        <w:tc>
          <w:tcPr>
            <w:tcW w:w="236" w:type="dxa"/>
            <w:tcBorders>
              <w:bottom w:val="single" w:color="auto" w:sz="18" w:space="0"/>
            </w:tcBorders>
          </w:tcPr>
          <w:p w14:paraId="3819D2D1">
            <w:pPr>
              <w:spacing w:after="20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5" w:type="dxa"/>
            <w:tcBorders>
              <w:top w:val="single" w:color="auto" w:sz="12" w:space="0"/>
              <w:bottom w:val="single" w:color="auto" w:sz="18" w:space="0"/>
            </w:tcBorders>
            <w:vAlign w:val="center"/>
          </w:tcPr>
          <w:p w14:paraId="74995F35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arboxyl</w:t>
            </w:r>
          </w:p>
        </w:tc>
        <w:tc>
          <w:tcPr>
            <w:tcW w:w="1276" w:type="dxa"/>
            <w:tcBorders>
              <w:top w:val="single" w:color="auto" w:sz="12" w:space="0"/>
              <w:bottom w:val="single" w:color="auto" w:sz="18" w:space="0"/>
            </w:tcBorders>
            <w:vAlign w:val="center"/>
          </w:tcPr>
          <w:p w14:paraId="3AE67A9A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arbonyl</w:t>
            </w:r>
          </w:p>
        </w:tc>
        <w:tc>
          <w:tcPr>
            <w:tcW w:w="1134" w:type="dxa"/>
            <w:tcBorders>
              <w:top w:val="single" w:color="auto" w:sz="12" w:space="0"/>
              <w:bottom w:val="single" w:color="auto" w:sz="18" w:space="0"/>
            </w:tcBorders>
            <w:vAlign w:val="center"/>
          </w:tcPr>
          <w:p w14:paraId="36FA33A6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:lang w:val="de-DE"/>
                <w14:textFill>
                  <w14:solidFill>
                    <w14:schemeClr w14:val="tx1"/>
                  </w14:solidFill>
                </w14:textFill>
              </w:rPr>
              <w:t>romatic/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enzene</w:t>
            </w:r>
          </w:p>
        </w:tc>
        <w:tc>
          <w:tcPr>
            <w:tcW w:w="712" w:type="dxa"/>
            <w:tcBorders>
              <w:top w:val="single" w:color="auto" w:sz="12" w:space="0"/>
              <w:bottom w:val="single" w:color="auto" w:sz="18" w:space="0"/>
            </w:tcBorders>
            <w:vAlign w:val="center"/>
          </w:tcPr>
          <w:p w14:paraId="379C28A5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cetal</w:t>
            </w:r>
          </w:p>
        </w:tc>
        <w:tc>
          <w:tcPr>
            <w:tcW w:w="2155" w:type="dxa"/>
            <w:tcBorders>
              <w:top w:val="single" w:color="auto" w:sz="12" w:space="0"/>
              <w:bottom w:val="single" w:color="auto" w:sz="18" w:space="0"/>
            </w:tcBorders>
            <w:vAlign w:val="center"/>
          </w:tcPr>
          <w:p w14:paraId="7CD00466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eteroatomic aliphatic hydrocarbons</w:t>
            </w:r>
          </w:p>
        </w:tc>
        <w:tc>
          <w:tcPr>
            <w:tcW w:w="1360" w:type="dxa"/>
            <w:tcBorders>
              <w:top w:val="single" w:color="auto" w:sz="12" w:space="0"/>
              <w:bottom w:val="single" w:color="auto" w:sz="18" w:space="0"/>
            </w:tcBorders>
            <w:vAlign w:val="center"/>
          </w:tcPr>
          <w:p w14:paraId="5345C1AD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liphatic hydrocarbons</w:t>
            </w:r>
          </w:p>
        </w:tc>
      </w:tr>
      <w:tr w14:paraId="31CBC9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tcBorders>
              <w:top w:val="single" w:color="auto" w:sz="18" w:space="0"/>
            </w:tcBorders>
            <w:vAlign w:val="center"/>
          </w:tcPr>
          <w:p w14:paraId="1CCE06FD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RFA</w:t>
            </w:r>
          </w:p>
        </w:tc>
        <w:tc>
          <w:tcPr>
            <w:tcW w:w="850" w:type="dxa"/>
            <w:tcBorders>
              <w:top w:val="single" w:color="auto" w:sz="18" w:space="0"/>
            </w:tcBorders>
            <w:vAlign w:val="center"/>
          </w:tcPr>
          <w:p w14:paraId="26EECDA3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53.30</w:t>
            </w:r>
          </w:p>
        </w:tc>
        <w:tc>
          <w:tcPr>
            <w:tcW w:w="756" w:type="dxa"/>
            <w:tcBorders>
              <w:top w:val="single" w:color="auto" w:sz="18" w:space="0"/>
            </w:tcBorders>
            <w:vAlign w:val="center"/>
          </w:tcPr>
          <w:p w14:paraId="3253A2C2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3.98</w:t>
            </w:r>
          </w:p>
        </w:tc>
        <w:tc>
          <w:tcPr>
            <w:tcW w:w="702" w:type="dxa"/>
            <w:tcBorders>
              <w:top w:val="single" w:color="auto" w:sz="18" w:space="0"/>
            </w:tcBorders>
            <w:vAlign w:val="center"/>
          </w:tcPr>
          <w:p w14:paraId="4D97BD53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41.81</w:t>
            </w:r>
          </w:p>
        </w:tc>
        <w:tc>
          <w:tcPr>
            <w:tcW w:w="600" w:type="dxa"/>
            <w:tcBorders>
              <w:top w:val="single" w:color="auto" w:sz="18" w:space="0"/>
            </w:tcBorders>
            <w:vAlign w:val="center"/>
          </w:tcPr>
          <w:p w14:paraId="5146F29E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0.66</w:t>
            </w:r>
          </w:p>
        </w:tc>
        <w:tc>
          <w:tcPr>
            <w:tcW w:w="600" w:type="dxa"/>
            <w:tcBorders>
              <w:top w:val="single" w:color="auto" w:sz="18" w:space="0"/>
            </w:tcBorders>
            <w:vAlign w:val="center"/>
          </w:tcPr>
          <w:p w14:paraId="29D66C98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0.41</w:t>
            </w:r>
          </w:p>
        </w:tc>
        <w:tc>
          <w:tcPr>
            <w:tcW w:w="236" w:type="dxa"/>
            <w:tcBorders>
              <w:top w:val="single" w:color="auto" w:sz="18" w:space="0"/>
            </w:tcBorders>
          </w:tcPr>
          <w:p w14:paraId="539FA999">
            <w:pPr>
              <w:spacing w:after="20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5" w:type="dxa"/>
            <w:tcBorders>
              <w:top w:val="single" w:color="auto" w:sz="18" w:space="0"/>
            </w:tcBorders>
            <w:vAlign w:val="center"/>
          </w:tcPr>
          <w:p w14:paraId="2210CADA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4.2</w:t>
            </w:r>
          </w:p>
        </w:tc>
        <w:tc>
          <w:tcPr>
            <w:tcW w:w="1276" w:type="dxa"/>
            <w:tcBorders>
              <w:top w:val="single" w:color="auto" w:sz="18" w:space="0"/>
            </w:tcBorders>
            <w:vAlign w:val="center"/>
          </w:tcPr>
          <w:p w14:paraId="7942D98B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15.6</w:t>
            </w:r>
          </w:p>
        </w:tc>
        <w:tc>
          <w:tcPr>
            <w:tcW w:w="1134" w:type="dxa"/>
            <w:tcBorders>
              <w:top w:val="single" w:color="auto" w:sz="18" w:space="0"/>
            </w:tcBorders>
            <w:vAlign w:val="center"/>
          </w:tcPr>
          <w:p w14:paraId="14A0AD39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28.9</w:t>
            </w:r>
          </w:p>
        </w:tc>
        <w:tc>
          <w:tcPr>
            <w:tcW w:w="712" w:type="dxa"/>
            <w:tcBorders>
              <w:top w:val="single" w:color="auto" w:sz="18" w:space="0"/>
            </w:tcBorders>
            <w:vAlign w:val="center"/>
          </w:tcPr>
          <w:p w14:paraId="732223C5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8.1</w:t>
            </w:r>
          </w:p>
        </w:tc>
        <w:tc>
          <w:tcPr>
            <w:tcW w:w="2155" w:type="dxa"/>
            <w:tcBorders>
              <w:top w:val="single" w:color="auto" w:sz="18" w:space="0"/>
            </w:tcBorders>
            <w:vAlign w:val="center"/>
          </w:tcPr>
          <w:p w14:paraId="7FC32204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13.3</w:t>
            </w:r>
          </w:p>
        </w:tc>
        <w:tc>
          <w:tcPr>
            <w:tcW w:w="1360" w:type="dxa"/>
            <w:tcBorders>
              <w:top w:val="single" w:color="auto" w:sz="18" w:space="0"/>
            </w:tcBorders>
            <w:vAlign w:val="center"/>
          </w:tcPr>
          <w:p w14:paraId="7BFCF18E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27.4</w:t>
            </w:r>
          </w:p>
        </w:tc>
      </w:tr>
      <w:tr w14:paraId="0BB54F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418" w:type="dxa"/>
            <w:tcBorders>
              <w:bottom w:val="single" w:color="auto" w:sz="18" w:space="0"/>
            </w:tcBorders>
            <w:vAlign w:val="center"/>
          </w:tcPr>
          <w:p w14:paraId="00397B33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RHA</w:t>
            </w:r>
          </w:p>
        </w:tc>
        <w:tc>
          <w:tcPr>
            <w:tcW w:w="850" w:type="dxa"/>
            <w:tcBorders>
              <w:bottom w:val="single" w:color="auto" w:sz="18" w:space="0"/>
            </w:tcBorders>
            <w:vAlign w:val="center"/>
          </w:tcPr>
          <w:p w14:paraId="3837F373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54.59</w:t>
            </w:r>
          </w:p>
        </w:tc>
        <w:tc>
          <w:tcPr>
            <w:tcW w:w="756" w:type="dxa"/>
            <w:tcBorders>
              <w:bottom w:val="single" w:color="auto" w:sz="18" w:space="0"/>
            </w:tcBorders>
            <w:vAlign w:val="center"/>
          </w:tcPr>
          <w:p w14:paraId="558344CA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3.90</w:t>
            </w:r>
          </w:p>
        </w:tc>
        <w:tc>
          <w:tcPr>
            <w:tcW w:w="702" w:type="dxa"/>
            <w:tcBorders>
              <w:bottom w:val="single" w:color="auto" w:sz="18" w:space="0"/>
            </w:tcBorders>
            <w:vAlign w:val="center"/>
          </w:tcPr>
          <w:p w14:paraId="27F2E295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40.03</w:t>
            </w:r>
          </w:p>
        </w:tc>
        <w:tc>
          <w:tcPr>
            <w:tcW w:w="600" w:type="dxa"/>
            <w:tcBorders>
              <w:bottom w:val="single" w:color="auto" w:sz="18" w:space="0"/>
            </w:tcBorders>
            <w:vAlign w:val="center"/>
          </w:tcPr>
          <w:p w14:paraId="2BEB48DE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1.50</w:t>
            </w:r>
          </w:p>
        </w:tc>
        <w:tc>
          <w:tcPr>
            <w:tcW w:w="600" w:type="dxa"/>
            <w:tcBorders>
              <w:bottom w:val="single" w:color="auto" w:sz="18" w:space="0"/>
            </w:tcBorders>
            <w:vAlign w:val="center"/>
          </w:tcPr>
          <w:p w14:paraId="7C574536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0.55</w:t>
            </w:r>
          </w:p>
        </w:tc>
        <w:tc>
          <w:tcPr>
            <w:tcW w:w="236" w:type="dxa"/>
            <w:tcBorders>
              <w:bottom w:val="single" w:color="auto" w:sz="18" w:space="0"/>
            </w:tcBorders>
          </w:tcPr>
          <w:p w14:paraId="666DB567">
            <w:pPr>
              <w:spacing w:after="20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5" w:type="dxa"/>
            <w:tcBorders>
              <w:bottom w:val="single" w:color="auto" w:sz="18" w:space="0"/>
            </w:tcBorders>
            <w:vAlign w:val="center"/>
          </w:tcPr>
          <w:p w14:paraId="3B071D48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3.9</w:t>
            </w:r>
          </w:p>
        </w:tc>
        <w:tc>
          <w:tcPr>
            <w:tcW w:w="1276" w:type="dxa"/>
            <w:tcBorders>
              <w:bottom w:val="single" w:color="auto" w:sz="18" w:space="0"/>
            </w:tcBorders>
            <w:vAlign w:val="center"/>
          </w:tcPr>
          <w:p w14:paraId="1AFB25F4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12.8</w:t>
            </w:r>
          </w:p>
        </w:tc>
        <w:tc>
          <w:tcPr>
            <w:tcW w:w="1134" w:type="dxa"/>
            <w:tcBorders>
              <w:bottom w:val="single" w:color="auto" w:sz="18" w:space="0"/>
            </w:tcBorders>
            <w:vAlign w:val="center"/>
          </w:tcPr>
          <w:p w14:paraId="2FEBD077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35.3</w:t>
            </w:r>
          </w:p>
        </w:tc>
        <w:tc>
          <w:tcPr>
            <w:tcW w:w="712" w:type="dxa"/>
            <w:tcBorders>
              <w:bottom w:val="single" w:color="auto" w:sz="18" w:space="0"/>
            </w:tcBorders>
            <w:vAlign w:val="center"/>
          </w:tcPr>
          <w:p w14:paraId="04A9425F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8.9</w:t>
            </w:r>
          </w:p>
        </w:tc>
        <w:tc>
          <w:tcPr>
            <w:tcW w:w="2155" w:type="dxa"/>
            <w:tcBorders>
              <w:bottom w:val="single" w:color="auto" w:sz="18" w:space="0"/>
            </w:tcBorders>
            <w:vAlign w:val="center"/>
          </w:tcPr>
          <w:p w14:paraId="6C63E185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13.4</w:t>
            </w:r>
          </w:p>
        </w:tc>
        <w:tc>
          <w:tcPr>
            <w:tcW w:w="1360" w:type="dxa"/>
            <w:tcBorders>
              <w:bottom w:val="single" w:color="auto" w:sz="18" w:space="0"/>
            </w:tcBorders>
            <w:vAlign w:val="center"/>
          </w:tcPr>
          <w:p w14:paraId="4ECF8F32">
            <w:pPr>
              <w:spacing w:after="0"/>
              <w:jc w:val="left"/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 w:val="21"/>
                <w:szCs w:val="24"/>
                <w14:textFill>
                  <w14:solidFill>
                    <w14:schemeClr w14:val="tx1"/>
                  </w14:solidFill>
                </w14:textFill>
              </w:rPr>
              <w:t>23.9</w:t>
            </w:r>
          </w:p>
        </w:tc>
      </w:tr>
    </w:tbl>
    <w:p w14:paraId="4F5FCD28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i/>
          <w:iCs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/>
          <w:i/>
          <w:iCs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Elemental composition and 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 NMR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data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were provided by International Humic Substance Society (IHSS). </w:t>
      </w:r>
      <w:r>
        <w:rPr>
          <w:rFonts w:ascii="Times New Roman" w:hAnsi="Times New Roman" w:cs="Times New Roman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13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 NMR values represent the percentage distribution of carbon among functional-group classes</w:t>
      </w:r>
      <w:r>
        <w:rPr>
          <w:rFonts w:ascii="Times New Roman" w:hAnsi="Times New Roman" w:cs="Times New Roman"/>
          <w:color w:val="000000" w:themeColor="text1"/>
          <w:szCs w:val="21"/>
          <w:lang w:val="en-GB"/>
          <w14:textFill>
            <w14:solidFill>
              <w14:schemeClr w14:val="tx1"/>
            </w14:solidFill>
          </w14:textFill>
        </w:rPr>
        <w:t>.</w:t>
      </w:r>
    </w:p>
    <w:p w14:paraId="3D216050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2DBB534D">
      <w:pPr>
        <w:widowControl/>
        <w:jc w:val="left"/>
        <w:rPr>
          <w:rFonts w:ascii="Times New Roman" w:hAnsi="Times New Roman" w:cs="Times New Roman"/>
          <w:szCs w:val="21"/>
        </w:rPr>
        <w:sectPr>
          <w:pgSz w:w="15842" w:h="12242" w:orient="landscape"/>
          <w:pgMar w:top="1440" w:right="1440" w:bottom="1440" w:left="1440" w:header="851" w:footer="992" w:gutter="0"/>
          <w:cols w:space="425" w:num="1"/>
          <w:docGrid w:type="lines" w:linePitch="312" w:charSpace="0"/>
        </w:sectPr>
      </w:pPr>
    </w:p>
    <w:p w14:paraId="3C0E1333">
      <w:pPr>
        <w:adjustRightInd w:val="0"/>
        <w:snapToGrid w:val="0"/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64990" cy="7524115"/>
            <wp:effectExtent l="0" t="0" r="8890" b="4445"/>
            <wp:docPr id="1" name="图片 1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A0427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A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dsorption of SRFA and SRHA on </w:t>
      </w:r>
      <w:r>
        <w:rPr>
          <w:rFonts w:ascii="Times New Roman" w:hAnsi="Times New Roman" w:eastAsia="宋体" w:cs="Times New Roman"/>
          <w:bCs/>
          <w:color w:val="000000"/>
          <w:kern w:val="0"/>
          <w:sz w:val="24"/>
          <w:szCs w:val="24"/>
        </w:rPr>
        <w:t>pristine,</w:t>
      </w:r>
      <w:r>
        <w:rPr>
          <w:rFonts w:hint="eastAsia" w:ascii="Times New Roman" w:hAnsi="Times New Roman" w:eastAsia="宋体" w:cs="Times New Roman"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-ag</w:t>
      </w:r>
      <w:bookmarkStart w:id="6" w:name="_GoBack"/>
      <w:bookmarkEnd w:id="6"/>
      <w:r>
        <w:rPr>
          <w:rFonts w:ascii="Times New Roman" w:hAnsi="Times New Roman"/>
          <w:sz w:val="24"/>
          <w:szCs w:val="24"/>
        </w:rPr>
        <w:t>ed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,</w:t>
      </w:r>
      <w:r>
        <w:rPr>
          <w:rFonts w:ascii="Times New Roman" w:hAnsi="Times New Roman"/>
          <w:sz w:val="24"/>
          <w:szCs w:val="24"/>
        </w:rPr>
        <w:t xml:space="preserve"> and UV-aged MPs</w:t>
      </w:r>
      <w:r>
        <w:rPr>
          <w:rFonts w:ascii="Times New Roman" w:hAnsi="Times New Roman" w:cs="Times New Roman"/>
          <w:kern w:val="0"/>
          <w:sz w:val="24"/>
          <w:szCs w:val="24"/>
        </w:rPr>
        <w:t>. Error bars represent ±1 standard deviation of triplicate measurements (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>n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= 3).</w:t>
      </w:r>
    </w:p>
    <w:p w14:paraId="278152B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F31E8E">
      <w:pPr>
        <w:widowControl/>
        <w:jc w:val="center"/>
      </w:pPr>
      <w:r>
        <w:drawing>
          <wp:inline distT="0" distB="0" distL="0" distR="0">
            <wp:extent cx="5219700" cy="211010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11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7FC7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S2</w:t>
      </w:r>
      <w:r>
        <w:rPr>
          <w:rFonts w:ascii="Times New Roman" w:hAnsi="Times New Roman" w:cs="Times New Roman"/>
          <w:sz w:val="24"/>
          <w:szCs w:val="24"/>
        </w:rPr>
        <w:t>. Parity plots and residual error distributions comparing experimentally measured and neural network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-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predicted distribution coefficients (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K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) for the adsorption of SRFA and SRHA on microplastics. The plot shows a 1:1 line comparison between predicted and real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K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values.</w:t>
      </w:r>
    </w:p>
    <w:p w14:paraId="7038F41A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CB1D748">
      <w:pPr>
        <w:widowControl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5B80E33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4724400" cy="69869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8517" cy="700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D6372">
      <w:pPr>
        <w:widowControl/>
        <w:jc w:val="left"/>
        <w:rPr>
          <w:rFonts w:ascii="Times New Roman" w:hAnsi="Times New Roman" w:eastAsia="宋体" w:cs="Times New Roman"/>
          <w:bCs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000000"/>
          <w:kern w:val="0"/>
          <w:sz w:val="24"/>
          <w:szCs w:val="24"/>
        </w:rPr>
        <w:t>Figure S3</w:t>
      </w:r>
      <w:r>
        <w:rPr>
          <w:rFonts w:hint="eastAsia" w:ascii="Times New Roman" w:hAnsi="Times New Roman" w:eastAsia="宋体" w:cs="Times New Roman"/>
          <w:bCs/>
          <w:color w:val="000000"/>
          <w:kern w:val="0"/>
          <w:sz w:val="24"/>
          <w:szCs w:val="24"/>
        </w:rPr>
        <w:t>.</w:t>
      </w:r>
      <w:r>
        <w:rPr>
          <w:rFonts w:ascii="Times New Roman" w:hAnsi="Times New Roman" w:eastAsia="宋体" w:cs="Times New Roman"/>
          <w:bCs/>
          <w:color w:val="000000"/>
          <w:kern w:val="0"/>
          <w:sz w:val="24"/>
          <w:szCs w:val="24"/>
        </w:rPr>
        <w:t xml:space="preserve"> High-resolution X-ray photoelectron spectroscopy (XPS) C 1s spectra of pristine,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-aged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,</w:t>
      </w:r>
      <w:r>
        <w:rPr>
          <w:rFonts w:ascii="Times New Roman" w:hAnsi="Times New Roman"/>
          <w:sz w:val="24"/>
          <w:szCs w:val="24"/>
        </w:rPr>
        <w:t xml:space="preserve"> and UV-aged MPs</w:t>
      </w:r>
      <w:r>
        <w:rPr>
          <w:rFonts w:ascii="Times New Roman" w:hAnsi="Times New Roman" w:eastAsia="宋体" w:cs="Times New Roman"/>
          <w:bCs/>
          <w:color w:val="000000"/>
          <w:kern w:val="0"/>
          <w:sz w:val="24"/>
          <w:szCs w:val="24"/>
        </w:rPr>
        <w:t>. Deconvoluted peaks at binding energies of approximately 284.6, 286.6, 287.8, and 288.8 eV are assigned to C–C/C=C (aliphatic or aromatic carbon), C–O (epoxy or hydroxyl), C=O (carbonyl), and O–C=O (carboxyl) functional groups, respectively.</w:t>
      </w:r>
    </w:p>
    <w:p w14:paraId="1C3DBCB8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6F62A03">
      <w:pPr>
        <w:widowControl/>
        <w:adjustRightInd w:val="0"/>
        <w:snapToGrid w:val="0"/>
        <w:spacing w:line="360" w:lineRule="auto"/>
        <w:jc w:val="left"/>
        <w:rPr>
          <w:rFonts w:hint="eastAsia" w:ascii="Times New Roman" w:hAnsi="Times New Roman" w:cs="Times New Roman"/>
          <w:sz w:val="24"/>
          <w:szCs w:val="24"/>
        </w:rPr>
        <w:sectPr>
          <w:pgSz w:w="12242" w:h="15842"/>
          <w:pgMar w:top="1440" w:right="1440" w:bottom="1440" w:left="1440" w:header="851" w:footer="992" w:gutter="0"/>
          <w:cols w:space="425" w:num="1"/>
          <w:docGrid w:type="linesAndChars" w:linePitch="312" w:charSpace="0"/>
        </w:sectPr>
      </w:pPr>
    </w:p>
    <w:p w14:paraId="761D088F">
      <w:pPr>
        <w:widowControl/>
        <w:adjustRightInd w:val="0"/>
        <w:snapToGrid w:val="0"/>
        <w:spacing w:line="360" w:lineRule="auto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944870" cy="60394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603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B819">
      <w:pPr>
        <w:widowControl/>
        <w:jc w:val="left"/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Figure S4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  <w14:ligatures w14:val="standardContextual"/>
        </w:rPr>
        <w:t>Fourier transform infrared (FTIR) spectra of pristine, O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  <w14:ligatures w14:val="standardContextual"/>
        </w:rPr>
        <w:t>3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  <w14:ligatures w14:val="standardContextual"/>
        </w:rPr>
        <w:t>-aged, and UV-aged MPs. Shaded regions highlight the main oxidation-sensitive bands (including C–O stretching (~1000–1300 cm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 w:eastAsia="zh-CN"/>
        </w:rPr>
        <w:t>−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  <w14:ligatures w14:val="standardContextual"/>
        </w:rPr>
        <w:t>1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  <w14:ligatures w14:val="standardContextual"/>
        </w:rPr>
        <w:t>)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  <w14:ligatures w14:val="standardContextual"/>
        </w:rPr>
        <w:t xml:space="preserve"> and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  <w14:ligatures w14:val="standardContextual"/>
        </w:rPr>
        <w:t xml:space="preserve"> C=O stretching (~1700–1750 cm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 w:eastAsia="zh-CN"/>
        </w:rPr>
        <w:t>−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  <w14:ligatures w14:val="standardContextual"/>
        </w:rPr>
        <w:t>1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  <w14:ligatures w14:val="standardContextual"/>
        </w:rPr>
        <w:t>)) and C–H stretching (~2950–2850 cm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 w:eastAsia="zh-CN"/>
        </w:rPr>
        <w:t>−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  <w14:ligatures w14:val="standardContextual"/>
        </w:rPr>
        <w:t>1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  <w14:ligatures w14:val="standardContextual"/>
        </w:rPr>
        <w:t>).</w:t>
      </w:r>
    </w:p>
    <w:p w14:paraId="19BD3FC4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page"/>
      </w:r>
    </w:p>
    <w:p w14:paraId="5B62C20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5219700" cy="40093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400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E9606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  <w14:ligatures w14:val="standardContextual"/>
        </w:rPr>
        <w:t>Figure S5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  <w14:ligatures w14:val="standardContextual"/>
        </w:rPr>
        <w:t>. Percentage change in the DOM distribution coefficient of aged MPs relative to that of pristine MPs (Δ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  <w14:ligatures w14:val="standardContextual"/>
        </w:rPr>
        <w:t>K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  <w14:ligatures w14:val="standardContextual"/>
        </w:rPr>
        <w:t>d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  <w14:ligatures w14:val="standardContextual"/>
        </w:rPr>
        <w:t>%) following O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  <w14:ligatures w14:val="standardContextual"/>
        </w:rPr>
        <w:t>3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  <w14:ligatures w14:val="standardContextual"/>
        </w:rPr>
        <w:t>- and UV-aging for SRFA (a) and SRHA (b). Δ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  <w14:ligatures w14:val="standardContextual"/>
        </w:rPr>
        <w:t>K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  <w14:ligatures w14:val="standardContextual"/>
        </w:rPr>
        <w:t>d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  <w14:ligatures w14:val="standardContextual"/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  <w14:ligatures w14:val="standardContextual"/>
        </w:rPr>
        <w:t>% was calculated as [(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  <w14:ligatures w14:val="standardContextual"/>
        </w:rPr>
        <w:t>K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  <w14:ligatures w14:val="standardContextual"/>
        </w:rPr>
        <w:t>d,aged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  <w14:ligatures w14:val="standardContextual"/>
        </w:rPr>
        <w:t>−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  <w14:ligatures w14:val="standardContextual"/>
        </w:rPr>
        <w:t>K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  <w14:ligatures w14:val="standardContextual"/>
        </w:rPr>
        <w:t>d,pristine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  <w14:ligatures w14:val="standardContextual"/>
        </w:rPr>
        <w:t>)/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  <w14:ligatures w14:val="standardContextual"/>
        </w:rPr>
        <w:t>K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  <w14:ligatures w14:val="standardContextual"/>
        </w:rPr>
        <w:t>d,pristine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  <w14:ligatures w14:val="standardContextual"/>
        </w:rPr>
        <w:t>]×100%. Positive values indicate increased adsorption after aging, and negative values indicate decreased adsorption.</w:t>
      </w:r>
    </w:p>
    <w:p w14:paraId="1303F270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page"/>
      </w:r>
    </w:p>
    <w:p w14:paraId="4B5B691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23385BCE">
      <w:pPr>
        <w:pStyle w:val="19"/>
        <w:spacing w:line="360" w:lineRule="auto"/>
        <w:ind w:left="720" w:hanging="7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</w:rPr>
        <w:t>[1]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Kothawala DN, Murphy KR, Stedmon CA, Weyhenmeyer GA, Tranvik LJ. 2013. Inner filter correction of dissolved organic matter fluorescence. </w:t>
      </w:r>
      <w:r>
        <w:rPr>
          <w:rFonts w:ascii="Times New Roman" w:hAnsi="Times New Roman" w:cs="Times New Roman"/>
          <w:i/>
        </w:rPr>
        <w:t>Limnology and Oceanography: Methods</w:t>
      </w:r>
      <w:r>
        <w:rPr>
          <w:rFonts w:ascii="Times New Roman" w:hAnsi="Times New Roman" w:cs="Times New Roman"/>
        </w:rPr>
        <w:t xml:space="preserve"> 11:616-630. </w:t>
      </w:r>
      <w:r>
        <w:fldChar w:fldCharType="begin"/>
      </w:r>
      <w:r>
        <w:instrText xml:space="preserve"> HYPERLINK "https://doi.org/https://doi.org/10.4319/lom.2013.11.616" </w:instrText>
      </w:r>
      <w:r>
        <w:fldChar w:fldCharType="separate"/>
      </w:r>
      <w:r>
        <w:rPr>
          <w:rStyle w:val="10"/>
          <w:rFonts w:ascii="Times New Roman" w:hAnsi="Times New Roman" w:cs="Times New Roman"/>
        </w:rPr>
        <w:t>https://doi.org/https://doi.org/10.4319/lom.2013.11.616</w:t>
      </w:r>
      <w:r>
        <w:rPr>
          <w:rStyle w:val="10"/>
          <w:rFonts w:ascii="Times New Roman" w:hAnsi="Times New Roman" w:cs="Times New Roman"/>
        </w:rPr>
        <w:fldChar w:fldCharType="end"/>
      </w:r>
    </w:p>
    <w:p w14:paraId="37C13B52">
      <w:pPr>
        <w:pStyle w:val="19"/>
        <w:spacing w:line="360" w:lineRule="auto"/>
        <w:ind w:left="720" w:hanging="7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[2]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Stedmon CA, Bro R. 2008. Characterizing dissolved organic matter fluorescence with parallel factor analysis: a tutorial. </w:t>
      </w:r>
      <w:r>
        <w:rPr>
          <w:rFonts w:ascii="Times New Roman" w:hAnsi="Times New Roman" w:cs="Times New Roman"/>
          <w:i/>
        </w:rPr>
        <w:t>Limnology and Oceanography-Methods</w:t>
      </w:r>
      <w:r>
        <w:rPr>
          <w:rFonts w:ascii="Times New Roman" w:hAnsi="Times New Roman" w:cs="Times New Roman"/>
        </w:rPr>
        <w:t xml:space="preserve"> 6:572-579. </w:t>
      </w:r>
      <w:r>
        <w:fldChar w:fldCharType="begin"/>
      </w:r>
      <w:r>
        <w:instrText xml:space="preserve"> HYPERLINK "https://doi.org/10.4319/lom.2008.6.572" </w:instrText>
      </w:r>
      <w:r>
        <w:fldChar w:fldCharType="separate"/>
      </w:r>
      <w:r>
        <w:rPr>
          <w:rStyle w:val="10"/>
          <w:rFonts w:ascii="Times New Roman" w:hAnsi="Times New Roman" w:cs="Times New Roman"/>
        </w:rPr>
        <w:t>https://doi.org/10.4319/lom.2008.6.572</w:t>
      </w:r>
      <w:r>
        <w:rPr>
          <w:rStyle w:val="10"/>
          <w:rFonts w:ascii="Times New Roman" w:hAnsi="Times New Roman" w:cs="Times New Roman"/>
        </w:rPr>
        <w:fldChar w:fldCharType="end"/>
      </w:r>
    </w:p>
    <w:p w14:paraId="64A2AE5C">
      <w:pPr>
        <w:pStyle w:val="19"/>
        <w:spacing w:line="360" w:lineRule="auto"/>
        <w:ind w:left="720" w:hanging="720"/>
        <w:jc w:val="left"/>
        <w:rPr>
          <w:rFonts w:ascii="Times New Roman" w:hAnsi="Times New Roman" w:cs="Times New Roman"/>
          <w:lang w:val="de-DE"/>
        </w:rPr>
      </w:pPr>
      <w:r>
        <w:rPr>
          <w:rFonts w:ascii="Times New Roman" w:hAnsi="Times New Roman" w:cs="Times New Roman"/>
        </w:rPr>
        <w:t>[3]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Kowalczuk P, Durako MJ, Young H, Kahn AE, Cooper WJ, Gonsior M. 2009. Characterization of dissolved organic matter fluorescence in the South Atlantic Bight with use of PARAFAC model: Interannual variability. </w:t>
      </w:r>
      <w:r>
        <w:rPr>
          <w:rFonts w:ascii="Times New Roman" w:hAnsi="Times New Roman" w:cs="Times New Roman"/>
          <w:i/>
          <w:lang w:val="de-DE"/>
        </w:rPr>
        <w:t>Marine Chemistry</w:t>
      </w:r>
      <w:r>
        <w:rPr>
          <w:rFonts w:ascii="Times New Roman" w:hAnsi="Times New Roman" w:cs="Times New Roman"/>
          <w:lang w:val="de-DE"/>
        </w:rPr>
        <w:t xml:space="preserve"> 113:182-196. </w:t>
      </w:r>
      <w:r>
        <w:fldChar w:fldCharType="begin"/>
      </w:r>
      <w:r>
        <w:instrText xml:space="preserve"> HYPERLINK "https://doi.org/10.1016/j.marchem.2009.01.015" </w:instrText>
      </w:r>
      <w:r>
        <w:fldChar w:fldCharType="separate"/>
      </w:r>
      <w:r>
        <w:rPr>
          <w:rStyle w:val="10"/>
          <w:rFonts w:ascii="Times New Roman" w:hAnsi="Times New Roman" w:cs="Times New Roman"/>
          <w:lang w:val="de-DE"/>
        </w:rPr>
        <w:t>https://doi.org/10.1016/j.marchem.2009.01.015</w:t>
      </w:r>
      <w:r>
        <w:rPr>
          <w:rStyle w:val="10"/>
          <w:rFonts w:ascii="Times New Roman" w:hAnsi="Times New Roman" w:cs="Times New Roman"/>
          <w:lang w:val="de-DE"/>
        </w:rPr>
        <w:fldChar w:fldCharType="end"/>
      </w:r>
    </w:p>
    <w:p w14:paraId="1E63E709">
      <w:pPr>
        <w:pStyle w:val="19"/>
        <w:spacing w:line="360" w:lineRule="auto"/>
        <w:ind w:left="720" w:hanging="7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de-DE"/>
        </w:rPr>
        <w:t>[4]</w:t>
      </w:r>
      <w:r>
        <w:rPr>
          <w:rFonts w:ascii="Times New Roman" w:hAnsi="Times New Roman" w:cs="Times New Roman"/>
          <w:lang w:val="de-DE"/>
        </w:rPr>
        <w:tab/>
      </w:r>
      <w:r>
        <w:rPr>
          <w:rFonts w:ascii="Times New Roman" w:hAnsi="Times New Roman" w:cs="Times New Roman"/>
          <w:lang w:val="de-DE"/>
        </w:rPr>
        <w:t xml:space="preserve">Nguyen HVM, Lee MH, Hur J, Schlautman MA. 2013. </w:t>
      </w:r>
      <w:r>
        <w:rPr>
          <w:rFonts w:ascii="Times New Roman" w:hAnsi="Times New Roman" w:cs="Times New Roman"/>
        </w:rPr>
        <w:t xml:space="preserve">Variations in spectroscopic characteristics and disinfection byproduct formation potentials of dissolved organic matter for two contrasting storm events. </w:t>
      </w:r>
      <w:r>
        <w:rPr>
          <w:rFonts w:ascii="Times New Roman" w:hAnsi="Times New Roman" w:cs="Times New Roman"/>
          <w:i/>
        </w:rPr>
        <w:t>Journal of Hydrology</w:t>
      </w:r>
      <w:r>
        <w:rPr>
          <w:rFonts w:ascii="Times New Roman" w:hAnsi="Times New Roman" w:cs="Times New Roman"/>
        </w:rPr>
        <w:t xml:space="preserve"> 481:132-142. </w:t>
      </w:r>
      <w:r>
        <w:fldChar w:fldCharType="begin"/>
      </w:r>
      <w:r>
        <w:instrText xml:space="preserve"> HYPERLINK "https://doi.org/10.1016/j.jhydrol.2012.12.044" </w:instrText>
      </w:r>
      <w:r>
        <w:fldChar w:fldCharType="separate"/>
      </w:r>
      <w:r>
        <w:rPr>
          <w:rStyle w:val="10"/>
          <w:rFonts w:ascii="Times New Roman" w:hAnsi="Times New Roman" w:cs="Times New Roman"/>
        </w:rPr>
        <w:t>https://doi.org/10.1016/j.jhydrol.2012.12.044</w:t>
      </w:r>
      <w:r>
        <w:rPr>
          <w:rStyle w:val="10"/>
          <w:rFonts w:ascii="Times New Roman" w:hAnsi="Times New Roman" w:cs="Times New Roman"/>
        </w:rPr>
        <w:fldChar w:fldCharType="end"/>
      </w:r>
    </w:p>
    <w:p w14:paraId="6867B4D0">
      <w:pPr>
        <w:pStyle w:val="19"/>
        <w:spacing w:line="360" w:lineRule="auto"/>
        <w:ind w:left="720" w:hanging="7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sectPr>
      <w:pgSz w:w="12242" w:h="15842"/>
      <w:pgMar w:top="1440" w:right="1440" w:bottom="1440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NewRomanPS-BoldMT">
    <w:altName w:val="Times New Roman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TimesNewRomanPSMT">
    <w:altName w:val="Times New Roman"/>
    <w:panose1 w:val="020B0604020202020204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Arial" w:hAnsi="Arial" w:cs="Arial"/>
      </w:rPr>
      <w:id w:val="1408419990"/>
      <w:docPartObj>
        <w:docPartGallery w:val="autotext"/>
      </w:docPartObj>
    </w:sdtPr>
    <w:sdtEndPr>
      <w:rPr>
        <w:rFonts w:ascii="Arial" w:hAnsi="Arial" w:cs="Arial"/>
      </w:rPr>
    </w:sdtEndPr>
    <w:sdtContent>
      <w:p w14:paraId="5C24A0DF">
        <w:pPr>
          <w:pStyle w:val="3"/>
          <w:jc w:val="center"/>
          <w:rPr>
            <w:rFonts w:ascii="Arial" w:hAnsi="Arial" w:cs="Arial"/>
          </w:rPr>
        </w:pPr>
        <w:r>
          <w:rPr>
            <w:rFonts w:ascii="Arial" w:hAnsi="Arial" w:cs="Arial"/>
          </w:rPr>
          <w:t>S</w:t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 xml:space="preserve">PAGE   \* MERGEFORMAT</w:instrText>
        </w:r>
        <w:r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lang w:val="zh-CN"/>
          </w:rPr>
          <w:t>2</w:t>
        </w:r>
        <w:r>
          <w:rPr>
            <w:rFonts w:ascii="Arial" w:hAnsi="Arial" w:cs="Arial"/>
          </w:rPr>
          <w:fldChar w:fldCharType="end"/>
        </w:r>
      </w:p>
    </w:sdtContent>
  </w:sdt>
  <w:p w14:paraId="086A34C0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hideSpellingErrors/>
  <w:hideGrammaticalErrors/>
  <w:trackRevisions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TS0BGJTQ1MzcyNDcyUdpeDU4uLM/DyQAvNaAFwDFr4sAAAA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Environmental and Biogeochemical Processe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CC515D"/>
    <w:rsid w:val="000077A9"/>
    <w:rsid w:val="000153C9"/>
    <w:rsid w:val="00025416"/>
    <w:rsid w:val="000259E7"/>
    <w:rsid w:val="000271FB"/>
    <w:rsid w:val="0003228B"/>
    <w:rsid w:val="00042C5D"/>
    <w:rsid w:val="00045FC0"/>
    <w:rsid w:val="0004672F"/>
    <w:rsid w:val="00055AD8"/>
    <w:rsid w:val="000623E5"/>
    <w:rsid w:val="00070223"/>
    <w:rsid w:val="0007682E"/>
    <w:rsid w:val="0008258C"/>
    <w:rsid w:val="000911A2"/>
    <w:rsid w:val="00092EC5"/>
    <w:rsid w:val="00093457"/>
    <w:rsid w:val="00096A9A"/>
    <w:rsid w:val="0009759B"/>
    <w:rsid w:val="000A10E9"/>
    <w:rsid w:val="000A202B"/>
    <w:rsid w:val="000A6C9E"/>
    <w:rsid w:val="000B0FD9"/>
    <w:rsid w:val="000B1A99"/>
    <w:rsid w:val="000C12B0"/>
    <w:rsid w:val="000C4226"/>
    <w:rsid w:val="000E2959"/>
    <w:rsid w:val="000E4A1E"/>
    <w:rsid w:val="000E7107"/>
    <w:rsid w:val="000F722C"/>
    <w:rsid w:val="000F7645"/>
    <w:rsid w:val="00114A96"/>
    <w:rsid w:val="00117849"/>
    <w:rsid w:val="0012134F"/>
    <w:rsid w:val="00123263"/>
    <w:rsid w:val="0013216A"/>
    <w:rsid w:val="00137DB9"/>
    <w:rsid w:val="00141D6D"/>
    <w:rsid w:val="001443DD"/>
    <w:rsid w:val="00157856"/>
    <w:rsid w:val="001616F6"/>
    <w:rsid w:val="0016236E"/>
    <w:rsid w:val="00164815"/>
    <w:rsid w:val="00171E30"/>
    <w:rsid w:val="0017646A"/>
    <w:rsid w:val="001807F0"/>
    <w:rsid w:val="001851CC"/>
    <w:rsid w:val="00186B45"/>
    <w:rsid w:val="001969DC"/>
    <w:rsid w:val="00196DFF"/>
    <w:rsid w:val="001A0A33"/>
    <w:rsid w:val="001A0A96"/>
    <w:rsid w:val="001C349C"/>
    <w:rsid w:val="001C3DAE"/>
    <w:rsid w:val="001D08C4"/>
    <w:rsid w:val="001D7D33"/>
    <w:rsid w:val="001E3B38"/>
    <w:rsid w:val="001F0434"/>
    <w:rsid w:val="001F7900"/>
    <w:rsid w:val="00202EB3"/>
    <w:rsid w:val="00210310"/>
    <w:rsid w:val="00211F1F"/>
    <w:rsid w:val="0021260B"/>
    <w:rsid w:val="00226DB8"/>
    <w:rsid w:val="00230919"/>
    <w:rsid w:val="00234D40"/>
    <w:rsid w:val="00250A89"/>
    <w:rsid w:val="00252567"/>
    <w:rsid w:val="002540E6"/>
    <w:rsid w:val="002565B7"/>
    <w:rsid w:val="00257930"/>
    <w:rsid w:val="002612CC"/>
    <w:rsid w:val="002653E5"/>
    <w:rsid w:val="00274E77"/>
    <w:rsid w:val="00276E87"/>
    <w:rsid w:val="0027791F"/>
    <w:rsid w:val="002872DD"/>
    <w:rsid w:val="002917DF"/>
    <w:rsid w:val="00295F4C"/>
    <w:rsid w:val="002A167B"/>
    <w:rsid w:val="002A41A9"/>
    <w:rsid w:val="002A4B61"/>
    <w:rsid w:val="002A6770"/>
    <w:rsid w:val="002C3942"/>
    <w:rsid w:val="002D1E15"/>
    <w:rsid w:val="002D6750"/>
    <w:rsid w:val="002E5D8E"/>
    <w:rsid w:val="002E6C9D"/>
    <w:rsid w:val="002F11E0"/>
    <w:rsid w:val="002F2AA4"/>
    <w:rsid w:val="002F4EA5"/>
    <w:rsid w:val="002F7437"/>
    <w:rsid w:val="0030110B"/>
    <w:rsid w:val="003038CC"/>
    <w:rsid w:val="00304394"/>
    <w:rsid w:val="00324838"/>
    <w:rsid w:val="003256F7"/>
    <w:rsid w:val="00332572"/>
    <w:rsid w:val="003351C7"/>
    <w:rsid w:val="00335DEA"/>
    <w:rsid w:val="00374FEB"/>
    <w:rsid w:val="00376055"/>
    <w:rsid w:val="003978D5"/>
    <w:rsid w:val="003A113C"/>
    <w:rsid w:val="003A2CC3"/>
    <w:rsid w:val="003B09F1"/>
    <w:rsid w:val="003B2169"/>
    <w:rsid w:val="003B5425"/>
    <w:rsid w:val="003C1C0E"/>
    <w:rsid w:val="003C3376"/>
    <w:rsid w:val="003C78EE"/>
    <w:rsid w:val="003D5CE5"/>
    <w:rsid w:val="003D5EA1"/>
    <w:rsid w:val="003E5238"/>
    <w:rsid w:val="003E5D3B"/>
    <w:rsid w:val="003E5F8D"/>
    <w:rsid w:val="003E7240"/>
    <w:rsid w:val="003F4288"/>
    <w:rsid w:val="003F7092"/>
    <w:rsid w:val="00406D72"/>
    <w:rsid w:val="00411BA8"/>
    <w:rsid w:val="00415807"/>
    <w:rsid w:val="00424B4A"/>
    <w:rsid w:val="00446C25"/>
    <w:rsid w:val="00464BC9"/>
    <w:rsid w:val="0047107A"/>
    <w:rsid w:val="0047311B"/>
    <w:rsid w:val="0047595F"/>
    <w:rsid w:val="00476F4E"/>
    <w:rsid w:val="00481FDA"/>
    <w:rsid w:val="00482CD1"/>
    <w:rsid w:val="00482E05"/>
    <w:rsid w:val="004868A6"/>
    <w:rsid w:val="00491556"/>
    <w:rsid w:val="004A4B0D"/>
    <w:rsid w:val="004E715F"/>
    <w:rsid w:val="00506FD1"/>
    <w:rsid w:val="00510A38"/>
    <w:rsid w:val="005140E6"/>
    <w:rsid w:val="00525ADE"/>
    <w:rsid w:val="00533445"/>
    <w:rsid w:val="00535479"/>
    <w:rsid w:val="005356FB"/>
    <w:rsid w:val="00536C18"/>
    <w:rsid w:val="0054560F"/>
    <w:rsid w:val="00552FE7"/>
    <w:rsid w:val="00580490"/>
    <w:rsid w:val="005833A8"/>
    <w:rsid w:val="00583A1D"/>
    <w:rsid w:val="00593D2F"/>
    <w:rsid w:val="005A1E07"/>
    <w:rsid w:val="005B0250"/>
    <w:rsid w:val="005C271C"/>
    <w:rsid w:val="005C3667"/>
    <w:rsid w:val="005C6A0D"/>
    <w:rsid w:val="005D2173"/>
    <w:rsid w:val="005D2C45"/>
    <w:rsid w:val="005D6B26"/>
    <w:rsid w:val="005D7332"/>
    <w:rsid w:val="005D7537"/>
    <w:rsid w:val="005F08D3"/>
    <w:rsid w:val="005F7ED2"/>
    <w:rsid w:val="00630E42"/>
    <w:rsid w:val="00637A1C"/>
    <w:rsid w:val="006578BF"/>
    <w:rsid w:val="00664F9F"/>
    <w:rsid w:val="00671B38"/>
    <w:rsid w:val="00684948"/>
    <w:rsid w:val="00690E77"/>
    <w:rsid w:val="00693020"/>
    <w:rsid w:val="006A5E0E"/>
    <w:rsid w:val="006A740C"/>
    <w:rsid w:val="006B2D90"/>
    <w:rsid w:val="006B3E7F"/>
    <w:rsid w:val="006B4889"/>
    <w:rsid w:val="006B556A"/>
    <w:rsid w:val="006D0430"/>
    <w:rsid w:val="006D1A02"/>
    <w:rsid w:val="006E5200"/>
    <w:rsid w:val="006E587A"/>
    <w:rsid w:val="006E6C3F"/>
    <w:rsid w:val="006F054C"/>
    <w:rsid w:val="006F5D2B"/>
    <w:rsid w:val="00701948"/>
    <w:rsid w:val="00715D2A"/>
    <w:rsid w:val="0072197F"/>
    <w:rsid w:val="00723AB6"/>
    <w:rsid w:val="0073473A"/>
    <w:rsid w:val="00735D0B"/>
    <w:rsid w:val="00736E52"/>
    <w:rsid w:val="007464E8"/>
    <w:rsid w:val="00752741"/>
    <w:rsid w:val="00760484"/>
    <w:rsid w:val="007663D6"/>
    <w:rsid w:val="00766DF0"/>
    <w:rsid w:val="00771566"/>
    <w:rsid w:val="00773C3F"/>
    <w:rsid w:val="00774EE3"/>
    <w:rsid w:val="00782371"/>
    <w:rsid w:val="0078372D"/>
    <w:rsid w:val="00784448"/>
    <w:rsid w:val="007907EA"/>
    <w:rsid w:val="007950F4"/>
    <w:rsid w:val="007A3C4D"/>
    <w:rsid w:val="007B2ED5"/>
    <w:rsid w:val="007B2F84"/>
    <w:rsid w:val="007B35E6"/>
    <w:rsid w:val="007C1B5F"/>
    <w:rsid w:val="007C3983"/>
    <w:rsid w:val="007D5573"/>
    <w:rsid w:val="007E16C3"/>
    <w:rsid w:val="007E2913"/>
    <w:rsid w:val="007E3527"/>
    <w:rsid w:val="007E3CD5"/>
    <w:rsid w:val="007F0826"/>
    <w:rsid w:val="007F5B02"/>
    <w:rsid w:val="007F5E9E"/>
    <w:rsid w:val="00800CA6"/>
    <w:rsid w:val="0080188F"/>
    <w:rsid w:val="00802EDB"/>
    <w:rsid w:val="0080452B"/>
    <w:rsid w:val="008064A8"/>
    <w:rsid w:val="00810066"/>
    <w:rsid w:val="00811846"/>
    <w:rsid w:val="008174E5"/>
    <w:rsid w:val="00820448"/>
    <w:rsid w:val="00822446"/>
    <w:rsid w:val="00827647"/>
    <w:rsid w:val="00834336"/>
    <w:rsid w:val="00840680"/>
    <w:rsid w:val="0084153D"/>
    <w:rsid w:val="0084428B"/>
    <w:rsid w:val="00862644"/>
    <w:rsid w:val="00872F0F"/>
    <w:rsid w:val="008730CE"/>
    <w:rsid w:val="008806F2"/>
    <w:rsid w:val="00887282"/>
    <w:rsid w:val="00890387"/>
    <w:rsid w:val="008A08EB"/>
    <w:rsid w:val="008C172C"/>
    <w:rsid w:val="008C2219"/>
    <w:rsid w:val="008E445D"/>
    <w:rsid w:val="008E4535"/>
    <w:rsid w:val="008F2ED3"/>
    <w:rsid w:val="008F477C"/>
    <w:rsid w:val="008F4988"/>
    <w:rsid w:val="009005D6"/>
    <w:rsid w:val="00900B23"/>
    <w:rsid w:val="009106C9"/>
    <w:rsid w:val="00913155"/>
    <w:rsid w:val="00921988"/>
    <w:rsid w:val="0092787F"/>
    <w:rsid w:val="00943A45"/>
    <w:rsid w:val="0095045E"/>
    <w:rsid w:val="00960780"/>
    <w:rsid w:val="0096243D"/>
    <w:rsid w:val="009631D9"/>
    <w:rsid w:val="00970699"/>
    <w:rsid w:val="00980B1C"/>
    <w:rsid w:val="0099233E"/>
    <w:rsid w:val="0099723E"/>
    <w:rsid w:val="009A0CD3"/>
    <w:rsid w:val="009C6F4E"/>
    <w:rsid w:val="009C79CB"/>
    <w:rsid w:val="009D50D2"/>
    <w:rsid w:val="009D6396"/>
    <w:rsid w:val="009D7B7D"/>
    <w:rsid w:val="009F079B"/>
    <w:rsid w:val="009F67AA"/>
    <w:rsid w:val="00A17B8C"/>
    <w:rsid w:val="00A20A64"/>
    <w:rsid w:val="00A30E65"/>
    <w:rsid w:val="00A43023"/>
    <w:rsid w:val="00A57BB7"/>
    <w:rsid w:val="00A64E2D"/>
    <w:rsid w:val="00A9205C"/>
    <w:rsid w:val="00A9424E"/>
    <w:rsid w:val="00AA56C9"/>
    <w:rsid w:val="00AB71A5"/>
    <w:rsid w:val="00AC0DC3"/>
    <w:rsid w:val="00AC4D0F"/>
    <w:rsid w:val="00AE13AD"/>
    <w:rsid w:val="00AE7508"/>
    <w:rsid w:val="00AF2FAF"/>
    <w:rsid w:val="00AF4C27"/>
    <w:rsid w:val="00B120E3"/>
    <w:rsid w:val="00B13A5D"/>
    <w:rsid w:val="00B247B4"/>
    <w:rsid w:val="00B34EF2"/>
    <w:rsid w:val="00B468FE"/>
    <w:rsid w:val="00B6600E"/>
    <w:rsid w:val="00B72EFF"/>
    <w:rsid w:val="00B77C11"/>
    <w:rsid w:val="00B8023E"/>
    <w:rsid w:val="00B8083F"/>
    <w:rsid w:val="00B857D0"/>
    <w:rsid w:val="00B90A50"/>
    <w:rsid w:val="00BA2006"/>
    <w:rsid w:val="00BA4A49"/>
    <w:rsid w:val="00BB2805"/>
    <w:rsid w:val="00BB3B9D"/>
    <w:rsid w:val="00BC4783"/>
    <w:rsid w:val="00BC61D6"/>
    <w:rsid w:val="00BE15E0"/>
    <w:rsid w:val="00BE22F3"/>
    <w:rsid w:val="00BE4742"/>
    <w:rsid w:val="00BE5363"/>
    <w:rsid w:val="00BF5FD5"/>
    <w:rsid w:val="00BF6841"/>
    <w:rsid w:val="00C106D1"/>
    <w:rsid w:val="00C10C17"/>
    <w:rsid w:val="00C1114A"/>
    <w:rsid w:val="00C21D30"/>
    <w:rsid w:val="00C274B7"/>
    <w:rsid w:val="00C30F11"/>
    <w:rsid w:val="00C33BFD"/>
    <w:rsid w:val="00C35BEE"/>
    <w:rsid w:val="00C424A3"/>
    <w:rsid w:val="00C47AA0"/>
    <w:rsid w:val="00C51A0F"/>
    <w:rsid w:val="00C6319C"/>
    <w:rsid w:val="00C6458C"/>
    <w:rsid w:val="00C66B2D"/>
    <w:rsid w:val="00C72BCE"/>
    <w:rsid w:val="00C83E14"/>
    <w:rsid w:val="00C85202"/>
    <w:rsid w:val="00CA2884"/>
    <w:rsid w:val="00CA6ABC"/>
    <w:rsid w:val="00CB3918"/>
    <w:rsid w:val="00CB5C68"/>
    <w:rsid w:val="00CC19A5"/>
    <w:rsid w:val="00CC515D"/>
    <w:rsid w:val="00CD6506"/>
    <w:rsid w:val="00CE35BB"/>
    <w:rsid w:val="00CF4596"/>
    <w:rsid w:val="00CF5557"/>
    <w:rsid w:val="00D00A6A"/>
    <w:rsid w:val="00D00FB1"/>
    <w:rsid w:val="00D018C5"/>
    <w:rsid w:val="00D0381E"/>
    <w:rsid w:val="00D03CB7"/>
    <w:rsid w:val="00D072EB"/>
    <w:rsid w:val="00D10087"/>
    <w:rsid w:val="00D11778"/>
    <w:rsid w:val="00D13C2D"/>
    <w:rsid w:val="00D21248"/>
    <w:rsid w:val="00D34CB7"/>
    <w:rsid w:val="00D36245"/>
    <w:rsid w:val="00D43CCD"/>
    <w:rsid w:val="00D4572B"/>
    <w:rsid w:val="00D52B8F"/>
    <w:rsid w:val="00D622DC"/>
    <w:rsid w:val="00D66AD4"/>
    <w:rsid w:val="00D70394"/>
    <w:rsid w:val="00D74E51"/>
    <w:rsid w:val="00D77500"/>
    <w:rsid w:val="00D77984"/>
    <w:rsid w:val="00D92E7A"/>
    <w:rsid w:val="00D941E2"/>
    <w:rsid w:val="00D97646"/>
    <w:rsid w:val="00DA1218"/>
    <w:rsid w:val="00DB1E98"/>
    <w:rsid w:val="00DB1FFC"/>
    <w:rsid w:val="00DB3CE5"/>
    <w:rsid w:val="00DB7F15"/>
    <w:rsid w:val="00DC2E4E"/>
    <w:rsid w:val="00DC50E6"/>
    <w:rsid w:val="00DE59D0"/>
    <w:rsid w:val="00DE5BDC"/>
    <w:rsid w:val="00DF60C4"/>
    <w:rsid w:val="00DF6C92"/>
    <w:rsid w:val="00DF7A21"/>
    <w:rsid w:val="00E004D1"/>
    <w:rsid w:val="00E10CDF"/>
    <w:rsid w:val="00E12528"/>
    <w:rsid w:val="00E13486"/>
    <w:rsid w:val="00E250B6"/>
    <w:rsid w:val="00E30F83"/>
    <w:rsid w:val="00E3559F"/>
    <w:rsid w:val="00E43174"/>
    <w:rsid w:val="00E63226"/>
    <w:rsid w:val="00E6337F"/>
    <w:rsid w:val="00E65E17"/>
    <w:rsid w:val="00E677E9"/>
    <w:rsid w:val="00E73F74"/>
    <w:rsid w:val="00E746C6"/>
    <w:rsid w:val="00E74758"/>
    <w:rsid w:val="00E81B83"/>
    <w:rsid w:val="00E87620"/>
    <w:rsid w:val="00E902EB"/>
    <w:rsid w:val="00E91C21"/>
    <w:rsid w:val="00E95884"/>
    <w:rsid w:val="00EA00FC"/>
    <w:rsid w:val="00EA1613"/>
    <w:rsid w:val="00EA6D9C"/>
    <w:rsid w:val="00EB1004"/>
    <w:rsid w:val="00EC03D6"/>
    <w:rsid w:val="00EC5C30"/>
    <w:rsid w:val="00EC6CB8"/>
    <w:rsid w:val="00EC77E0"/>
    <w:rsid w:val="00ED1718"/>
    <w:rsid w:val="00ED4B1E"/>
    <w:rsid w:val="00EE07CA"/>
    <w:rsid w:val="00EF1DF5"/>
    <w:rsid w:val="00F001DF"/>
    <w:rsid w:val="00F00F52"/>
    <w:rsid w:val="00F02438"/>
    <w:rsid w:val="00F10735"/>
    <w:rsid w:val="00F12DA4"/>
    <w:rsid w:val="00F14743"/>
    <w:rsid w:val="00F14CF1"/>
    <w:rsid w:val="00F15AF3"/>
    <w:rsid w:val="00F16885"/>
    <w:rsid w:val="00F20810"/>
    <w:rsid w:val="00F236D5"/>
    <w:rsid w:val="00F239D6"/>
    <w:rsid w:val="00F25664"/>
    <w:rsid w:val="00F2573C"/>
    <w:rsid w:val="00F36215"/>
    <w:rsid w:val="00F47B96"/>
    <w:rsid w:val="00F509B8"/>
    <w:rsid w:val="00F556F8"/>
    <w:rsid w:val="00F60EA4"/>
    <w:rsid w:val="00F6196E"/>
    <w:rsid w:val="00F61CFB"/>
    <w:rsid w:val="00F76A4E"/>
    <w:rsid w:val="00F8413C"/>
    <w:rsid w:val="00F86404"/>
    <w:rsid w:val="00F91F82"/>
    <w:rsid w:val="00F93BDC"/>
    <w:rsid w:val="00FA05DA"/>
    <w:rsid w:val="00FA3A2D"/>
    <w:rsid w:val="00FA77DE"/>
    <w:rsid w:val="00FB3478"/>
    <w:rsid w:val="00FB7BFD"/>
    <w:rsid w:val="00FD13D5"/>
    <w:rsid w:val="00FD2336"/>
    <w:rsid w:val="00FD3744"/>
    <w:rsid w:val="00FD71E1"/>
    <w:rsid w:val="00FE31AF"/>
    <w:rsid w:val="00FE39CE"/>
    <w:rsid w:val="00FF5CBC"/>
    <w:rsid w:val="04434EAD"/>
    <w:rsid w:val="540F2AA7"/>
    <w:rsid w:val="59B15310"/>
    <w:rsid w:val="72DA46A0"/>
    <w:rsid w:val="7F875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unhideWhenUsed/>
    <w:uiPriority w:val="99"/>
    <w:rPr>
      <w:sz w:val="20"/>
      <w:szCs w:val="20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5"/>
    <w:semiHidden/>
    <w:unhideWhenUsed/>
    <w:uiPriority w:val="99"/>
    <w:rPr>
      <w:b/>
      <w:bCs/>
    </w:rPr>
  </w:style>
  <w:style w:type="table" w:styleId="7">
    <w:name w:val="Table Grid"/>
    <w:basedOn w:val="6"/>
    <w:uiPriority w:val="39"/>
    <w:pPr>
      <w:spacing w:after="20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FollowedHyperlink"/>
    <w:basedOn w:val="8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1">
    <w:name w:val="annotation reference"/>
    <w:basedOn w:val="8"/>
    <w:unhideWhenUsed/>
    <w:qFormat/>
    <w:uiPriority w:val="99"/>
    <w:rPr>
      <w:sz w:val="16"/>
      <w:szCs w:val="16"/>
    </w:rPr>
  </w:style>
  <w:style w:type="character" w:customStyle="1" w:styleId="12">
    <w:name w:val="Header Char"/>
    <w:basedOn w:val="8"/>
    <w:link w:val="4"/>
    <w:uiPriority w:val="99"/>
    <w:rPr>
      <w:sz w:val="18"/>
      <w:szCs w:val="18"/>
    </w:rPr>
  </w:style>
  <w:style w:type="character" w:customStyle="1" w:styleId="13">
    <w:name w:val="Footer Char"/>
    <w:basedOn w:val="8"/>
    <w:link w:val="3"/>
    <w:uiPriority w:val="99"/>
    <w:rPr>
      <w:sz w:val="18"/>
      <w:szCs w:val="18"/>
    </w:rPr>
  </w:style>
  <w:style w:type="character" w:customStyle="1" w:styleId="14">
    <w:name w:val="Comment Text Char"/>
    <w:basedOn w:val="8"/>
    <w:link w:val="2"/>
    <w:uiPriority w:val="99"/>
    <w:rPr>
      <w:sz w:val="20"/>
      <w:szCs w:val="20"/>
    </w:rPr>
  </w:style>
  <w:style w:type="character" w:customStyle="1" w:styleId="15">
    <w:name w:val="Comment Subject Char"/>
    <w:basedOn w:val="14"/>
    <w:link w:val="5"/>
    <w:semiHidden/>
    <w:uiPriority w:val="99"/>
    <w:rPr>
      <w:b/>
      <w:bCs/>
      <w:sz w:val="20"/>
      <w:szCs w:val="20"/>
    </w:rPr>
  </w:style>
  <w:style w:type="character" w:customStyle="1" w:styleId="16">
    <w:name w:val="Unresolved Mention"/>
    <w:basedOn w:val="8"/>
    <w:semiHidden/>
    <w:unhideWhenUsed/>
    <w:uiPriority w:val="99"/>
    <w:rPr>
      <w:color w:val="605E5C"/>
      <w:shd w:val="clear" w:color="auto" w:fill="E1DFDD"/>
    </w:rPr>
  </w:style>
  <w:style w:type="paragraph" w:customStyle="1" w:styleId="17">
    <w:name w:val="EndNote Bibliography Title"/>
    <w:basedOn w:val="1"/>
    <w:link w:val="18"/>
    <w:uiPriority w:val="0"/>
    <w:pPr>
      <w:jc w:val="center"/>
    </w:pPr>
    <w:rPr>
      <w:rFonts w:ascii="等线" w:hAnsi="等线" w:eastAsia="等线"/>
      <w:sz w:val="20"/>
    </w:rPr>
  </w:style>
  <w:style w:type="character" w:customStyle="1" w:styleId="18">
    <w:name w:val="EndNote Bibliography Title 字符"/>
    <w:basedOn w:val="8"/>
    <w:link w:val="17"/>
    <w:uiPriority w:val="0"/>
    <w:rPr>
      <w:rFonts w:ascii="等线" w:hAnsi="等线" w:eastAsia="等线"/>
      <w:sz w:val="20"/>
    </w:rPr>
  </w:style>
  <w:style w:type="paragraph" w:customStyle="1" w:styleId="19">
    <w:name w:val="EndNote Bibliography"/>
    <w:basedOn w:val="1"/>
    <w:link w:val="20"/>
    <w:uiPriority w:val="0"/>
    <w:rPr>
      <w:rFonts w:ascii="等线" w:hAnsi="等线" w:eastAsia="等线"/>
      <w:sz w:val="20"/>
    </w:rPr>
  </w:style>
  <w:style w:type="character" w:customStyle="1" w:styleId="20">
    <w:name w:val="EndNote Bibliography 字符"/>
    <w:basedOn w:val="8"/>
    <w:link w:val="19"/>
    <w:uiPriority w:val="0"/>
    <w:rPr>
      <w:rFonts w:ascii="等线" w:hAnsi="等线" w:eastAsia="等线"/>
      <w:sz w:val="20"/>
    </w:rPr>
  </w:style>
  <w:style w:type="character" w:customStyle="1" w:styleId="21">
    <w:name w:val="fontstyle01"/>
    <w:basedOn w:val="8"/>
    <w:uiPriority w:val="0"/>
    <w:rPr>
      <w:rFonts w:hint="default" w:ascii="TimesNewRomanPS-BoldMT" w:hAnsi="TimesNewRomanPS-BoldMT"/>
      <w:b/>
      <w:bCs/>
      <w:color w:val="000000"/>
      <w:sz w:val="24"/>
      <w:szCs w:val="24"/>
    </w:rPr>
  </w:style>
  <w:style w:type="character" w:customStyle="1" w:styleId="22">
    <w:name w:val="fontstyle21"/>
    <w:basedOn w:val="8"/>
    <w:uiPriority w:val="0"/>
    <w:rPr>
      <w:rFonts w:hint="default" w:ascii="TimesNewRomanPSMT" w:hAnsi="TimesNewRomanPSMT"/>
      <w:color w:val="000000"/>
      <w:sz w:val="24"/>
      <w:szCs w:val="24"/>
    </w:rPr>
  </w:style>
  <w:style w:type="paragraph" w:customStyle="1" w:styleId="23">
    <w:name w:val="Revision"/>
    <w:hidden/>
    <w:semiHidden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4">
    <w:name w:val="Intense Emphasis"/>
    <w:basedOn w:val="8"/>
    <w:qFormat/>
    <w:uiPriority w:val="21"/>
    <w:rPr>
      <w:i/>
      <w:iCs/>
      <w:color w:val="4472C4" w:themeColor="accent1"/>
      <w14:textFill>
        <w14:solidFill>
          <w14:schemeClr w14:val="accent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GIF"/><Relationship Id="rId8" Type="http://schemas.openxmlformats.org/officeDocument/2006/relationships/image" Target="media/image4.GIF"/><Relationship Id="rId7" Type="http://schemas.openxmlformats.org/officeDocument/2006/relationships/image" Target="media/image3.GIF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tiff"/><Relationship Id="rId13" Type="http://schemas.openxmlformats.org/officeDocument/2006/relationships/image" Target="media/image9.tiff"/><Relationship Id="rId12" Type="http://schemas.openxmlformats.org/officeDocument/2006/relationships/image" Target="media/image8.tiff"/><Relationship Id="rId11" Type="http://schemas.openxmlformats.org/officeDocument/2006/relationships/image" Target="media/image7.tiff"/><Relationship Id="rId10" Type="http://schemas.openxmlformats.org/officeDocument/2006/relationships/image" Target="media/image6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78415-A4B7-457F-8135-A849F5DECB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1201</Words>
  <Characters>5919</Characters>
  <Lines>77</Lines>
  <Paragraphs>21</Paragraphs>
  <TotalTime>7</TotalTime>
  <ScaleCrop>false</ScaleCrop>
  <LinksUpToDate>false</LinksUpToDate>
  <CharactersWithSpaces>6679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2026-03-12T04:16:00Z</dcterms:created>
  <dc:creator>Meiling Zhu</dc:creator>
  <cp:lastModifiedBy>plankton</cp:lastModifiedBy>
  <dcterms:modified xsi:type="dcterms:W3CDTF">2026-03-16T08:17:49Z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eyJoZGlkIjoiMzEwNTM5NzYwMDRjMzkwZTVkZjY2ODkwMGIxNGU0OTUiLCJ1c2VySWQiOiI0MzUyNTAyNTUifQ==</vt:lpwstr>
  </property>
  <property fmtid="{D5CDD505-2E9C-101B-9397-08002B2CF9AE}" pid="3" name="KSOProductBuildVer">
    <vt:lpwstr>2052-12.1.0.25225</vt:lpwstr>
  </property>
  <property fmtid="{D5CDD505-2E9C-101B-9397-08002B2CF9AE}" pid="4" name="ICV">
    <vt:lpwstr>EBD7952329D24390897D91A2D5BA774A_12</vt:lpwstr>
  </property>
</Properties>
</file>