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CFF58">
      <w:pPr>
        <w:jc w:val="center"/>
        <w:rPr>
          <w:rFonts w:hint="eastAsia"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Supporting 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nformation</w:t>
      </w:r>
      <w:r>
        <w:rPr>
          <w:rFonts w:hint="eastAsia" w:ascii="Times New Roman" w:hAnsi="Times New Roman" w:cs="Times New Roman"/>
          <w:b/>
          <w:bCs/>
          <w:sz w:val="30"/>
          <w:szCs w:val="30"/>
        </w:rPr>
        <w:t xml:space="preserve"> for</w:t>
      </w:r>
    </w:p>
    <w:p w14:paraId="65A74DFB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OLE_LINK4"/>
      <w:r>
        <w:rPr>
          <w:rFonts w:hint="eastAsia" w:ascii="Times New Roman" w:hAnsi="Times New Roman" w:cs="Times New Roman"/>
          <w:sz w:val="32"/>
          <w:szCs w:val="32"/>
        </w:rPr>
        <w:t>Soil b</w:t>
      </w:r>
      <w:r>
        <w:rPr>
          <w:rFonts w:ascii="Times New Roman" w:hAnsi="Times New Roman" w:cs="Times New Roman"/>
          <w:sz w:val="32"/>
          <w:szCs w:val="32"/>
        </w:rPr>
        <w:t xml:space="preserve">lack </w:t>
      </w:r>
      <w:r>
        <w:rPr>
          <w:rFonts w:hint="eastAsia" w:ascii="Times New Roman" w:hAnsi="Times New Roman" w:cs="Times New Roman"/>
          <w:sz w:val="32"/>
          <w:szCs w:val="32"/>
        </w:rPr>
        <w:t>carbon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hint="eastAsia" w:ascii="Times New Roman" w:hAnsi="Times New Roman" w:cs="Times New Roman"/>
          <w:sz w:val="32"/>
          <w:szCs w:val="32"/>
        </w:rPr>
        <w:t xml:space="preserve">distribution </w:t>
      </w:r>
      <w:r>
        <w:rPr>
          <w:rFonts w:ascii="Times New Roman" w:hAnsi="Times New Roman" w:cs="Times New Roman"/>
          <w:sz w:val="32"/>
          <w:szCs w:val="32"/>
        </w:rPr>
        <w:t xml:space="preserve">in </w:t>
      </w:r>
      <w:r>
        <w:rPr>
          <w:rFonts w:hint="eastAsia" w:ascii="Times New Roman" w:hAnsi="Times New Roman" w:cs="Times New Roman"/>
          <w:sz w:val="32"/>
          <w:szCs w:val="32"/>
        </w:rPr>
        <w:t xml:space="preserve">a </w:t>
      </w:r>
      <w:r>
        <w:rPr>
          <w:rFonts w:ascii="Times New Roman" w:hAnsi="Times New Roman" w:cs="Times New Roman"/>
          <w:sz w:val="32"/>
          <w:szCs w:val="32"/>
        </w:rPr>
        <w:t xml:space="preserve">mangrove </w:t>
      </w:r>
      <w:r>
        <w:rPr>
          <w:rFonts w:hint="eastAsia" w:ascii="Times New Roman" w:hAnsi="Times New Roman" w:cs="Times New Roman"/>
          <w:sz w:val="32"/>
          <w:szCs w:val="32"/>
        </w:rPr>
        <w:t>blue carbon ecosystem</w:t>
      </w:r>
    </w:p>
    <w:bookmarkEnd w:id="0"/>
    <w:p w14:paraId="5E678E38">
      <w:pPr>
        <w:rPr>
          <w:rFonts w:hint="eastAsia"/>
        </w:rPr>
      </w:pPr>
    </w:p>
    <w:p w14:paraId="45C7D3BC">
      <w:pPr>
        <w:widowControl/>
        <w:spacing w:line="360" w:lineRule="auto"/>
        <w:jc w:val="left"/>
        <w:rPr>
          <w:rFonts w:ascii="Times New Roman" w:hAnsi="Times New Roman" w:cs="Times New Roman"/>
          <w:vertAlign w:val="superscript"/>
        </w:rPr>
      </w:pPr>
      <w:r>
        <w:rPr>
          <w:rFonts w:hint="eastAsia" w:ascii="Times New Roman" w:hAnsi="Times New Roman" w:cs="Times New Roman"/>
        </w:rPr>
        <w:t>Chun Cao</w:t>
      </w:r>
      <w:r>
        <w:rPr>
          <w:rFonts w:hint="eastAsia" w:ascii="Times New Roman" w:hAnsi="Times New Roman" w:cs="Times New Roman"/>
          <w:vertAlign w:val="superscript"/>
        </w:rPr>
        <w:t>a,b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hint="eastAsia" w:ascii="Times New Roman" w:hAnsi="Times New Roman" w:cs="Times New Roman"/>
          <w:vertAlign w:val="superscript"/>
        </w:rPr>
        <w:t>c,</w:t>
      </w:r>
      <w:r>
        <w:rPr>
          <w:rFonts w:ascii="Times New Roman" w:hAnsi="Times New Roman" w:cs="Times New Roman"/>
          <w:vertAlign w:val="superscript"/>
        </w:rPr>
        <w:t>#</w:t>
      </w:r>
      <w:r>
        <w:rPr>
          <w:rFonts w:hint="eastAsia" w:ascii="Times New Roman" w:hAnsi="Times New Roman" w:cs="Times New Roman"/>
        </w:rPr>
        <w:t>, Weifeng Hu</w:t>
      </w:r>
      <w:r>
        <w:rPr>
          <w:rFonts w:ascii="Times New Roman" w:hAnsi="Times New Roman" w:cs="Times New Roman"/>
          <w:vertAlign w:val="superscript"/>
        </w:rPr>
        <w:t>a</w:t>
      </w:r>
      <w:r>
        <w:rPr>
          <w:rFonts w:hint="eastAsia"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/>
          <w:vertAlign w:val="superscript"/>
        </w:rPr>
        <w:t>b,c,d,</w:t>
      </w:r>
      <w:r>
        <w:rPr>
          <w:rFonts w:hint="eastAsia" w:ascii="Times New Roman" w:hAnsi="Times New Roman" w:cs="Times New Roman"/>
          <w:vertAlign w:val="superscript"/>
        </w:rPr>
        <w:t>e,</w:t>
      </w:r>
      <w:r>
        <w:rPr>
          <w:rFonts w:ascii="Times New Roman" w:hAnsi="Times New Roman" w:cs="Times New Roman"/>
          <w:vertAlign w:val="superscript"/>
        </w:rPr>
        <w:t>#</w:t>
      </w:r>
      <w:r>
        <w:rPr>
          <w:rFonts w:hint="eastAsia" w:ascii="Times New Roman" w:hAnsi="Times New Roman" w:cs="Times New Roman"/>
        </w:rPr>
        <w:t>, Shuo Yin</w:t>
      </w:r>
      <w:r>
        <w:rPr>
          <w:rFonts w:hint="eastAsia" w:ascii="Times New Roman" w:hAnsi="Times New Roman" w:cs="Times New Roman"/>
          <w:vertAlign w:val="superscript"/>
        </w:rPr>
        <w:t>f,g</w:t>
      </w:r>
      <w:r>
        <w:rPr>
          <w:rFonts w:hint="eastAsia" w:ascii="Times New Roman" w:hAnsi="Times New Roman" w:cs="Times New Roman"/>
        </w:rPr>
        <w:t>, Tongtong Zhou</w:t>
      </w:r>
      <w:r>
        <w:rPr>
          <w:rFonts w:hint="eastAsia"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hint="eastAsia" w:ascii="Times New Roman" w:hAnsi="Times New Roman" w:cs="Times New Roman"/>
          <w:vertAlign w:val="superscript"/>
        </w:rPr>
        <w:t>e</w:t>
      </w:r>
      <w:r>
        <w:rPr>
          <w:rFonts w:hint="eastAsia" w:ascii="Times New Roman" w:hAnsi="Times New Roman" w:cs="Times New Roman"/>
        </w:rPr>
        <w:t>, Liang Zeng</w:t>
      </w:r>
      <w:r>
        <w:rPr>
          <w:rFonts w:hint="eastAsia"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hint="eastAsia" w:ascii="Times New Roman" w:hAnsi="Times New Roman" w:cs="Times New Roman"/>
          <w:vertAlign w:val="superscript"/>
        </w:rPr>
        <w:t>e</w:t>
      </w:r>
      <w:r>
        <w:rPr>
          <w:rFonts w:hint="eastAsia" w:ascii="Times New Roman" w:hAnsi="Times New Roman" w:cs="Times New Roman"/>
        </w:rPr>
        <w:t>, Peng Zhang</w:t>
      </w:r>
      <w:r>
        <w:rPr>
          <w:rFonts w:hint="eastAsia"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hint="eastAsia" w:ascii="Times New Roman" w:hAnsi="Times New Roman" w:cs="Times New Roman"/>
          <w:vertAlign w:val="superscript"/>
        </w:rPr>
        <w:t>e</w:t>
      </w:r>
      <w:r>
        <w:rPr>
          <w:rFonts w:hint="eastAsia" w:ascii="Times New Roman" w:hAnsi="Times New Roman" w:cs="Times New Roman"/>
        </w:rPr>
        <w:t>, Hui Zeng</w:t>
      </w:r>
      <w:r>
        <w:rPr>
          <w:rFonts w:hint="eastAsia" w:ascii="Times New Roman" w:hAnsi="Times New Roman" w:cs="Times New Roman"/>
          <w:vertAlign w:val="superscript"/>
        </w:rPr>
        <w:t>f,g</w:t>
      </w:r>
      <w:r>
        <w:rPr>
          <w:rFonts w:hint="eastAsia" w:ascii="Times New Roman" w:hAnsi="Times New Roman" w:cs="Times New Roman"/>
        </w:rPr>
        <w:t>, Guangcai Zhong</w:t>
      </w:r>
      <w:r>
        <w:rPr>
          <w:rFonts w:hint="eastAsia" w:ascii="Times New Roman" w:hAnsi="Times New Roman" w:cs="Times New Roman"/>
          <w:vertAlign w:val="superscript"/>
        </w:rPr>
        <w:t>h</w:t>
      </w:r>
      <w:r>
        <w:rPr>
          <w:rFonts w:hint="eastAsia" w:ascii="Times New Roman" w:hAnsi="Times New Roman" w:cs="Times New Roman"/>
        </w:rPr>
        <w:t>, Chunling Luo</w:t>
      </w:r>
      <w:r>
        <w:rPr>
          <w:rFonts w:hint="eastAsia" w:ascii="Times New Roman" w:hAnsi="Times New Roman" w:cs="Times New Roman"/>
          <w:vertAlign w:val="superscript"/>
        </w:rPr>
        <w:t>h</w:t>
      </w:r>
      <w:r>
        <w:rPr>
          <w:rFonts w:hint="eastAsia" w:ascii="Times New Roman" w:hAnsi="Times New Roman" w:cs="Times New Roman"/>
        </w:rPr>
        <w:t>, Gan Zhang</w:t>
      </w:r>
      <w:r>
        <w:rPr>
          <w:rFonts w:hint="eastAsia" w:ascii="Times New Roman" w:hAnsi="Times New Roman" w:cs="Times New Roman"/>
          <w:vertAlign w:val="superscript"/>
        </w:rPr>
        <w:t>h</w:t>
      </w:r>
      <w:r>
        <w:rPr>
          <w:rFonts w:hint="eastAsia" w:ascii="Times New Roman" w:hAnsi="Times New Roman" w:cs="Times New Roman"/>
        </w:rPr>
        <w:t>, Yan Zheng</w:t>
      </w:r>
      <w:r>
        <w:rPr>
          <w:rFonts w:hint="eastAsia" w:ascii="Times New Roman" w:hAnsi="Times New Roman" w:cs="Times New Roman"/>
          <w:vertAlign w:val="superscript"/>
        </w:rPr>
        <w:t>d,e</w:t>
      </w:r>
      <w:r>
        <w:rPr>
          <w:rFonts w:hint="eastAsia" w:ascii="Times New Roman" w:hAnsi="Times New Roman" w:cs="Times New Roman"/>
        </w:rPr>
        <w:t>, Junjian Wang</w:t>
      </w:r>
      <w:r>
        <w:rPr>
          <w:rFonts w:hint="eastAsia"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hint="eastAsia" w:ascii="Times New Roman" w:hAnsi="Times New Roman" w:cs="Times New Roman"/>
          <w:vertAlign w:val="superscript"/>
        </w:rPr>
        <w:t>e</w:t>
      </w:r>
      <w:r>
        <w:rPr>
          <w:rFonts w:ascii="Times New Roman" w:hAnsi="Times New Roman" w:cs="Times New Roman"/>
          <w:vertAlign w:val="superscript"/>
        </w:rPr>
        <w:t>,*</w:t>
      </w:r>
    </w:p>
    <w:p w14:paraId="1E12A186">
      <w:pPr>
        <w:widowControl/>
        <w:spacing w:line="360" w:lineRule="auto"/>
        <w:jc w:val="left"/>
        <w:rPr>
          <w:rFonts w:ascii="Times New Roman" w:hAnsi="Times New Roman" w:cs="Times New Roman"/>
        </w:rPr>
      </w:pPr>
    </w:p>
    <w:p w14:paraId="4BCB5D6F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>College of Geography and Environmental Science, Northwest Normal University, Lanzhou, Gansu Province 730070, China</w:t>
      </w:r>
    </w:p>
    <w:p w14:paraId="53CC374D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</w:rPr>
        <w:t>Key Laboratory of Resource Environment and Sustainable Development of Oasis, Lanzhou, Gansu Province 730070, China</w:t>
      </w:r>
    </w:p>
    <w:p w14:paraId="5C7265DB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vertAlign w:val="superscript"/>
        </w:rPr>
        <w:t>c</w:t>
      </w:r>
      <w:r>
        <w:rPr>
          <w:rFonts w:hint="eastAsia" w:ascii="Times New Roman" w:hAnsi="Times New Roman" w:cs="Times New Roman"/>
        </w:rPr>
        <w:t xml:space="preserve">Engineering Research Center for Ecological and Environmental Damage Assessment of Gansu Province, </w:t>
      </w:r>
      <w:r>
        <w:rPr>
          <w:rFonts w:ascii="Times New Roman" w:hAnsi="Times New Roman" w:cs="Times New Roman"/>
        </w:rPr>
        <w:t>Lanzhou, Gansu Province 730070, China</w:t>
      </w:r>
    </w:p>
    <w:p w14:paraId="2BBA5714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vertAlign w:val="superscript"/>
        </w:rPr>
        <w:t>d</w:t>
      </w:r>
      <w:r>
        <w:rPr>
          <w:rFonts w:hint="eastAsia" w:ascii="Times New Roman" w:hAnsi="Times New Roman" w:cs="Times New Roman"/>
        </w:rPr>
        <w:t xml:space="preserve">State Key Laboratory of Soil Pollution Control and Safety, </w:t>
      </w:r>
      <w:r>
        <w:rPr>
          <w:rFonts w:ascii="Times New Roman" w:hAnsi="Times New Roman" w:cs="Times New Roman"/>
        </w:rPr>
        <w:t>School of Environmental Science and Engineering, Southern University of Science and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Technology, Shenzhen 518055, China</w:t>
      </w:r>
    </w:p>
    <w:p w14:paraId="26AB6FE9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vertAlign w:val="superscript"/>
        </w:rPr>
        <w:t>e</w:t>
      </w:r>
      <w:r>
        <w:rPr>
          <w:rFonts w:ascii="Times New Roman" w:hAnsi="Times New Roman" w:cs="Times New Roman"/>
        </w:rPr>
        <w:t>State Environmental Protection Key Laboratory of Integrated Surface Water-Groundwater Pollution Control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Guangdong Provincial Key Laboratory of Soil and Groundwater Pollution Control, School of Environmental Science and Engineering, Southern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University of Science and Technology, Shenzhen 518055, China</w:t>
      </w:r>
    </w:p>
    <w:p w14:paraId="19F108BA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vertAlign w:val="superscript"/>
        </w:rPr>
        <w:t>f</w:t>
      </w:r>
      <w:r>
        <w:rPr>
          <w:rFonts w:hint="eastAsia" w:ascii="Times New Roman" w:hAnsi="Times New Roman" w:cs="Times New Roman"/>
        </w:rPr>
        <w:t>School of Urban Planning and Design, Peking University Shenzhen Graduate School, Peking University, Shenzhen 518055, Guangdong, China</w:t>
      </w:r>
    </w:p>
    <w:p w14:paraId="4EE87B32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vertAlign w:val="superscript"/>
        </w:rPr>
        <w:t>g</w:t>
      </w:r>
      <w:r>
        <w:rPr>
          <w:rFonts w:ascii="Times New Roman" w:hAnsi="Times New Roman" w:cs="Times New Roman"/>
        </w:rPr>
        <w:t>College of Urban and Environment</w:t>
      </w:r>
      <w:r>
        <w:rPr>
          <w:rFonts w:hint="eastAsia"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 xml:space="preserve"> Sciences, Peking University, Beijing 100871, China</w:t>
      </w:r>
    </w:p>
    <w:p w14:paraId="47CB0CC6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vertAlign w:val="superscript"/>
        </w:rPr>
        <w:t>h</w:t>
      </w:r>
      <w:r>
        <w:rPr>
          <w:rFonts w:ascii="Times New Roman" w:hAnsi="Times New Roman" w:cs="Times New Roman"/>
        </w:rPr>
        <w:t>State Key Laboratory of Advanced Environmental Technology and Guangdong</w:t>
      </w:r>
      <w:r>
        <w:rPr>
          <w:rFonts w:ascii="Times New Roman" w:hAnsi="Times New Roman" w:eastAsia="MS Gothic" w:cs="Times New Roman"/>
        </w:rPr>
        <w:t>‑</w:t>
      </w:r>
      <w:r>
        <w:rPr>
          <w:rFonts w:ascii="Times New Roman" w:hAnsi="Times New Roman" w:cs="Times New Roman"/>
        </w:rPr>
        <w:t>Hongkong</w:t>
      </w:r>
      <w:r>
        <w:rPr>
          <w:rFonts w:ascii="Times New Roman" w:hAnsi="Times New Roman" w:eastAsia="MS Gothic" w:cs="Times New Roman"/>
        </w:rPr>
        <w:t>‑</w:t>
      </w:r>
      <w:r>
        <w:rPr>
          <w:rFonts w:ascii="Times New Roman" w:hAnsi="Times New Roman" w:cs="Times New Roman"/>
        </w:rPr>
        <w:t>Macao Joint Laboratory for Environmental Pollution and Control, Guangzhou Institute of Geochemistry, Chinese Academy of Sciences, Guangzhou 510640, China</w:t>
      </w:r>
    </w:p>
    <w:p w14:paraId="53B5D913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#</w:t>
      </w:r>
      <w:r>
        <w:rPr>
          <w:rFonts w:hint="eastAsia" w:ascii="Times New Roman" w:hAnsi="Times New Roman" w:cs="Times New Roman"/>
        </w:rPr>
        <w:t>These authors contributed equally.</w:t>
      </w:r>
    </w:p>
    <w:p w14:paraId="0255A33E">
      <w:pPr>
        <w:widowControl/>
        <w:jc w:val="left"/>
        <w:rPr>
          <w:rFonts w:ascii="Times New Roman" w:hAnsi="Times New Roman" w:eastAsia="宋体"/>
          <w:b/>
          <w:sz w:val="28"/>
          <w:szCs w:val="24"/>
          <w14:ligatures w14:val="none"/>
        </w:rPr>
      </w:pP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>Correspondence to: 1088 Xueyuan Rd, Nanshan, Shenzhen, Guangdong 518055, China.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E-mail address: wangjj@sustech.edu.cn (J. Wang).</w:t>
      </w:r>
      <w:r>
        <w:br w:type="page"/>
      </w:r>
    </w:p>
    <w:p w14:paraId="47EF0DC9">
      <w:pPr>
        <w:jc w:val="left"/>
        <w:rPr>
          <w:rFonts w:ascii="Times New Roman" w:hAnsi="Times New Roman" w:eastAsia="宋体" w:cs="Times New Roman"/>
          <w:sz w:val="24"/>
          <w:szCs w:val="24"/>
          <w14:ligatures w14:val="none"/>
        </w:rPr>
      </w:pPr>
      <w:r>
        <w:rPr>
          <w:rFonts w:hint="eastAsia" w:ascii="Times New Roman" w:hAnsi="Times New Roman" w:eastAsia="等线" w:cs="Times New Roman"/>
          <w:b/>
          <w:bCs/>
          <w:sz w:val="24"/>
          <w:szCs w:val="24"/>
          <w:lang w:val="en-US" w:eastAsia="zh-CN"/>
          <w14:ligatures w14:val="none"/>
        </w:rPr>
        <w:t xml:space="preserve">Supplementary </w:t>
      </w:r>
      <w:r>
        <w:rPr>
          <w:rFonts w:hint="eastAsia" w:ascii="Times New Roman" w:hAnsi="Times New Roman" w:eastAsia="等线" w:cs="Times New Roman"/>
          <w:b/>
          <w:bCs/>
          <w:sz w:val="24"/>
          <w:szCs w:val="24"/>
          <w14:ligatures w14:val="none"/>
        </w:rPr>
        <w:t>Table S1</w:t>
      </w:r>
      <w:r>
        <w:rPr>
          <w:rFonts w:hint="eastAsia" w:ascii="Times New Roman" w:hAnsi="Times New Roman" w:eastAsia="等线" w:cs="Times New Roman"/>
          <w:sz w:val="24"/>
          <w:szCs w:val="24"/>
          <w14:ligatures w14:val="none"/>
        </w:rPr>
        <w:t xml:space="preserve"> Statistics for 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environmental</w:t>
      </w:r>
      <w:r>
        <w:rPr>
          <w:rFonts w:hint="eastAsia" w:ascii="Times New Roman" w:hAnsi="Times New Roman" w:eastAsia="等线" w:cs="Times New Roman"/>
          <w:sz w:val="24"/>
          <w:szCs w:val="24"/>
          <w14:ligatures w14:val="none"/>
        </w:rPr>
        <w:t xml:space="preserve"> properties</w:t>
      </w:r>
    </w:p>
    <w:tbl>
      <w:tblPr>
        <w:tblStyle w:val="39"/>
        <w:tblW w:w="4998" w:type="pct"/>
        <w:tblInd w:w="0" w:type="dxa"/>
        <w:tblBorders>
          <w:top w:val="single" w:color="auto" w:sz="18" w:space="0"/>
          <w:left w:val="none" w:color="auto" w:sz="0" w:space="0"/>
          <w:bottom w:val="single" w:color="auto" w:sz="1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54"/>
        <w:gridCol w:w="1596"/>
        <w:gridCol w:w="1227"/>
        <w:gridCol w:w="1250"/>
        <w:gridCol w:w="1615"/>
        <w:gridCol w:w="1585"/>
        <w:gridCol w:w="1235"/>
      </w:tblGrid>
      <w:tr w14:paraId="3655534A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bottom w:val="single" w:color="auto" w:sz="8" w:space="0"/>
            </w:tcBorders>
            <w:vAlign w:val="center"/>
          </w:tcPr>
          <w:p w14:paraId="38F0B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Parameter</w:t>
            </w:r>
          </w:p>
        </w:tc>
        <w:tc>
          <w:tcPr>
            <w:tcW w:w="762" w:type="pct"/>
            <w:tcBorders>
              <w:bottom w:val="single" w:color="auto" w:sz="8" w:space="0"/>
            </w:tcBorders>
            <w:vAlign w:val="center"/>
          </w:tcPr>
          <w:p w14:paraId="06C14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Mean</w:t>
            </w:r>
            <w:r>
              <w:rPr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SD</w:t>
            </w:r>
          </w:p>
        </w:tc>
        <w:tc>
          <w:tcPr>
            <w:tcW w:w="586" w:type="pct"/>
            <w:tcBorders>
              <w:bottom w:val="single" w:color="auto" w:sz="8" w:space="0"/>
            </w:tcBorders>
            <w:vAlign w:val="center"/>
          </w:tcPr>
          <w:p w14:paraId="3EEC4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CV</w:t>
            </w:r>
          </w:p>
          <w:p w14:paraId="09A49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(%)</w:t>
            </w:r>
          </w:p>
        </w:tc>
        <w:tc>
          <w:tcPr>
            <w:tcW w:w="597" w:type="pct"/>
            <w:tcBorders>
              <w:bottom w:val="single" w:color="auto" w:sz="8" w:space="0"/>
            </w:tcBorders>
            <w:vAlign w:val="center"/>
          </w:tcPr>
          <w:p w14:paraId="0A30A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P1</w:t>
            </w:r>
          </w:p>
          <w:p w14:paraId="08A59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–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15 cm</w:t>
            </w:r>
          </w:p>
        </w:tc>
        <w:tc>
          <w:tcPr>
            <w:tcW w:w="771" w:type="pct"/>
            <w:tcBorders>
              <w:bottom w:val="single" w:color="auto" w:sz="8" w:space="0"/>
            </w:tcBorders>
            <w:vAlign w:val="center"/>
          </w:tcPr>
          <w:p w14:paraId="5297C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P1</w:t>
            </w:r>
          </w:p>
          <w:p w14:paraId="22BBC9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75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–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100 cm</w:t>
            </w:r>
          </w:p>
        </w:tc>
        <w:tc>
          <w:tcPr>
            <w:tcW w:w="757" w:type="pct"/>
            <w:tcBorders>
              <w:bottom w:val="single" w:color="auto" w:sz="8" w:space="0"/>
            </w:tcBorders>
            <w:vAlign w:val="center"/>
          </w:tcPr>
          <w:p w14:paraId="19354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P5</w:t>
            </w:r>
          </w:p>
          <w:p w14:paraId="2B3A6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–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15 cm</w:t>
            </w:r>
          </w:p>
        </w:tc>
        <w:tc>
          <w:tcPr>
            <w:tcW w:w="589" w:type="pct"/>
            <w:tcBorders>
              <w:bottom w:val="single" w:color="auto" w:sz="8" w:space="0"/>
            </w:tcBorders>
            <w:vAlign w:val="center"/>
          </w:tcPr>
          <w:p w14:paraId="7A1BC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P5</w:t>
            </w:r>
          </w:p>
          <w:p w14:paraId="16FE5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75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–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4"/>
                <w14:ligatures w14:val="none"/>
              </w:rPr>
              <w:t>100 cm</w:t>
            </w:r>
          </w:p>
        </w:tc>
      </w:tr>
      <w:tr w14:paraId="1228A3A0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op w:val="single" w:color="auto" w:sz="8" w:space="0"/>
              <w:tl2br w:val="nil"/>
              <w:tr2bl w:val="nil"/>
            </w:tcBorders>
            <w:vAlign w:val="center"/>
          </w:tcPr>
          <w:p w14:paraId="0268FCAD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Bulk density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g/cm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vertAlign w:val="superscript"/>
                <w14:ligatures w14:val="none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)</w:t>
            </w:r>
          </w:p>
        </w:tc>
        <w:tc>
          <w:tcPr>
            <w:tcW w:w="762" w:type="pct"/>
            <w:tcBorders>
              <w:top w:val="single" w:color="auto" w:sz="8" w:space="0"/>
              <w:tl2br w:val="nil"/>
              <w:tr2bl w:val="nil"/>
            </w:tcBorders>
            <w:vAlign w:val="center"/>
          </w:tcPr>
          <w:p w14:paraId="10B23492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0.88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.17</w:t>
            </w:r>
          </w:p>
        </w:tc>
        <w:tc>
          <w:tcPr>
            <w:tcW w:w="586" w:type="pct"/>
            <w:tcBorders>
              <w:top w:val="single" w:color="auto" w:sz="8" w:space="0"/>
              <w:tl2br w:val="nil"/>
              <w:tr2bl w:val="nil"/>
            </w:tcBorders>
            <w:vAlign w:val="center"/>
          </w:tcPr>
          <w:p w14:paraId="1F976F9A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19.0</w:t>
            </w:r>
          </w:p>
        </w:tc>
        <w:tc>
          <w:tcPr>
            <w:tcW w:w="597" w:type="pct"/>
            <w:tcBorders>
              <w:top w:val="single" w:color="auto" w:sz="8" w:space="0"/>
              <w:tl2br w:val="nil"/>
              <w:tr2bl w:val="nil"/>
            </w:tcBorders>
            <w:vAlign w:val="center"/>
          </w:tcPr>
          <w:p w14:paraId="0FA13805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0.74</w:t>
            </w:r>
          </w:p>
        </w:tc>
        <w:tc>
          <w:tcPr>
            <w:tcW w:w="771" w:type="pct"/>
            <w:tcBorders>
              <w:top w:val="single" w:color="auto" w:sz="8" w:space="0"/>
              <w:tl2br w:val="nil"/>
              <w:tr2bl w:val="nil"/>
            </w:tcBorders>
            <w:vAlign w:val="center"/>
          </w:tcPr>
          <w:p w14:paraId="36EEDFD3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0.82</w:t>
            </w:r>
          </w:p>
        </w:tc>
        <w:tc>
          <w:tcPr>
            <w:tcW w:w="757" w:type="pct"/>
            <w:tcBorders>
              <w:top w:val="single" w:color="auto" w:sz="8" w:space="0"/>
              <w:tl2br w:val="nil"/>
              <w:tr2bl w:val="nil"/>
            </w:tcBorders>
            <w:vAlign w:val="center"/>
          </w:tcPr>
          <w:p w14:paraId="050D6A7D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0.79</w:t>
            </w:r>
          </w:p>
        </w:tc>
        <w:tc>
          <w:tcPr>
            <w:tcW w:w="589" w:type="pct"/>
            <w:tcBorders>
              <w:top w:val="single" w:color="auto" w:sz="8" w:space="0"/>
              <w:tl2br w:val="nil"/>
              <w:tr2bl w:val="nil"/>
            </w:tcBorders>
            <w:vAlign w:val="center"/>
          </w:tcPr>
          <w:p w14:paraId="6EBADFCD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0.94</w:t>
            </w:r>
          </w:p>
        </w:tc>
      </w:tr>
      <w:tr w14:paraId="73CAF8F7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3C19F72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Water content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%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)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4B2C998B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82.00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2.80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090B50AD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15.6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1222B4E6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0.93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588289E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0.78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22F28060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0.92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4C33A197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0.65</w:t>
            </w:r>
          </w:p>
        </w:tc>
      </w:tr>
      <w:tr w14:paraId="45D39DF5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4CBE1723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Salinity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338A79D9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3.02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.76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62715565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25.0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30E5DC2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3.14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7D3CBE67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2.47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1E6172A0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3.65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1B772BA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2.70</w:t>
            </w:r>
          </w:p>
        </w:tc>
      </w:tr>
      <w:tr w14:paraId="58805A48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625FA17C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pH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09C2F7F4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6.21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.62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17AF0051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10.0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2FABF181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5.40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725C9FAD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5.94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6666AA6E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6.39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0BA51E19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7.05</w:t>
            </w:r>
          </w:p>
        </w:tc>
      </w:tr>
      <w:tr w14:paraId="2C8AC3B6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4F1454A5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Clay (%)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5A002BA3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10.77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.39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5396E30E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22.2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5E917DEE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12.75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0E98F83E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13.37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1D7821C4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11.11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24B41B5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10.75</w:t>
            </w:r>
          </w:p>
        </w:tc>
      </w:tr>
      <w:tr w14:paraId="0A43E6CE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6282D96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Silt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 xml:space="preserve"> (%)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50DC59A1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72.41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.79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30675B51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bookmarkStart w:id="1" w:name="_GoBack"/>
            <w:bookmarkEnd w:id="1"/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5.2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08270680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69.66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5C310855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71.64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601988A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74.85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4E9D7951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73.25</w:t>
            </w:r>
          </w:p>
        </w:tc>
      </w:tr>
      <w:tr w14:paraId="1D4E2A20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69FA2029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Sand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 xml:space="preserve"> (%)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3BB0AEFE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16.75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.86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043627E9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29.0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2CA5BCC2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17.57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6D473145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14.91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5F3A1941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14.04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52E7AFC0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15.91</w:t>
            </w:r>
          </w:p>
        </w:tc>
      </w:tr>
      <w:tr w14:paraId="540E6EAF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5AB2CB24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Plant bioma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ss</w:t>
            </w:r>
          </w:p>
          <w:p w14:paraId="182802CA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(kg/m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vertAlign w:val="superscript"/>
                <w14:ligatures w14:val="none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)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51FFC9A3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5.07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.40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5CE74C47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86.8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3066265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10.25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59DAD789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10.25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3B8B987C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4.15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75658E3B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4.15</w:t>
            </w:r>
          </w:p>
        </w:tc>
      </w:tr>
      <w:tr w14:paraId="790F5565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48B91627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Total nitrogen (g/kg)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7F93A331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.56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.40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5DE88483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26.0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3C307D37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2.19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2B4088D7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1.68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65CE5C1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1.79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38B0FE0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0.91</w:t>
            </w:r>
          </w:p>
        </w:tc>
      </w:tr>
      <w:tr w14:paraId="061C04D5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5C4BFCA0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E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xchangeable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 xml:space="preserve"> M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g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 xml:space="preserve"> (g/kg)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6A27668E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.13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.38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04964D07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4.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1515A730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1.64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7ABBA544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1.33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0BC010D3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1.61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62523083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0.66</w:t>
            </w:r>
          </w:p>
        </w:tc>
      </w:tr>
      <w:tr w14:paraId="4280F211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" w:type="pct"/>
            <w:tcBorders>
              <w:tl2br w:val="nil"/>
              <w:tr2bl w:val="nil"/>
            </w:tcBorders>
            <w:vAlign w:val="center"/>
          </w:tcPr>
          <w:p w14:paraId="7BF220CA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E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xchangeable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 xml:space="preserve"> C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 xml:space="preserve"> (g/kg)</w:t>
            </w:r>
          </w:p>
        </w:tc>
        <w:tc>
          <w:tcPr>
            <w:tcW w:w="762" w:type="pct"/>
            <w:tcBorders>
              <w:tl2br w:val="nil"/>
              <w:tr2bl w:val="nil"/>
            </w:tcBorders>
            <w:vAlign w:val="center"/>
          </w:tcPr>
          <w:p w14:paraId="12E0D52E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.25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.08</w:t>
            </w:r>
          </w:p>
        </w:tc>
        <w:tc>
          <w:tcPr>
            <w:tcW w:w="586" w:type="pct"/>
            <w:tcBorders>
              <w:tl2br w:val="nil"/>
              <w:tr2bl w:val="nil"/>
            </w:tcBorders>
            <w:vAlign w:val="center"/>
          </w:tcPr>
          <w:p w14:paraId="565EF97C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3.5</w:t>
            </w:r>
          </w:p>
        </w:tc>
        <w:tc>
          <w:tcPr>
            <w:tcW w:w="597" w:type="pct"/>
            <w:tcBorders>
              <w:tl2br w:val="nil"/>
              <w:tr2bl w:val="nil"/>
            </w:tcBorders>
            <w:vAlign w:val="center"/>
          </w:tcPr>
          <w:p w14:paraId="1495F798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0.39</w:t>
            </w:r>
          </w:p>
        </w:tc>
        <w:tc>
          <w:tcPr>
            <w:tcW w:w="771" w:type="pct"/>
            <w:tcBorders>
              <w:tl2br w:val="nil"/>
              <w:tr2bl w:val="nil"/>
            </w:tcBorders>
            <w:vAlign w:val="center"/>
          </w:tcPr>
          <w:p w14:paraId="58484B1F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0.32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 w14:paraId="6876DA59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0.29</w:t>
            </w:r>
          </w:p>
        </w:tc>
        <w:tc>
          <w:tcPr>
            <w:tcW w:w="589" w:type="pct"/>
            <w:tcBorders>
              <w:tl2br w:val="nil"/>
              <w:tr2bl w:val="nil"/>
            </w:tcBorders>
            <w:vAlign w:val="center"/>
          </w:tcPr>
          <w:p w14:paraId="32A36C5D"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14:ligatures w14:val="none"/>
              </w:rPr>
              <w:t>0.17</w:t>
            </w:r>
          </w:p>
        </w:tc>
      </w:tr>
    </w:tbl>
    <w:p w14:paraId="67D35E8C">
      <w:pPr>
        <w:jc w:val="left"/>
        <w:rPr>
          <w:rFonts w:ascii="Times New Roman" w:hAnsi="Times New Roman" w:eastAsia="等线" w:cs="Times New Roman"/>
          <w:szCs w:val="24"/>
          <w14:ligatures w14:val="none"/>
        </w:rPr>
      </w:pPr>
      <w:r>
        <w:rPr>
          <w:rFonts w:hint="eastAsia" w:ascii="Times New Roman" w:hAnsi="Times New Roman" w:eastAsia="等线" w:cs="Times New Roman"/>
          <w:sz w:val="24"/>
          <w:szCs w:val="24"/>
          <w14:ligatures w14:val="none"/>
        </w:rPr>
        <w:t>Mean</w:t>
      </w:r>
      <w:r>
        <w:rPr>
          <w:rFonts w:hint="eastAsia" w:ascii="Times New Roman" w:hAnsi="Times New Roman" w:eastAsia="等线" w:cs="Times New Roman"/>
          <w:szCs w:val="24"/>
          <w14:ligatures w14:val="none"/>
        </w:rPr>
        <w:t>±</w:t>
      </w:r>
      <w:r>
        <w:rPr>
          <w:rFonts w:hint="eastAsia" w:ascii="Times New Roman" w:hAnsi="Times New Roman" w:eastAsia="等线" w:cs="Times New Roman"/>
          <w:sz w:val="24"/>
          <w:szCs w:val="24"/>
          <w14:ligatures w14:val="none"/>
        </w:rPr>
        <w:t>SD stands for the mean</w:t>
      </w:r>
      <w:r>
        <w:rPr>
          <w:rFonts w:hint="eastAsia" w:ascii="Times New Roman" w:hAnsi="Times New Roman" w:eastAsia="等线" w:cs="Times New Roman"/>
          <w:szCs w:val="24"/>
          <w14:ligatures w14:val="none"/>
        </w:rPr>
        <w:t>±</w:t>
      </w:r>
      <w:r>
        <w:rPr>
          <w:rFonts w:hint="eastAsia" w:ascii="Times New Roman" w:hAnsi="Times New Roman" w:eastAsia="等线" w:cs="Times New Roman"/>
          <w:sz w:val="24"/>
          <w:szCs w:val="24"/>
          <w14:ligatures w14:val="none"/>
        </w:rPr>
        <w:t>standard deviation; CV represents the coefficient of variation; P1 is the mean of data from three sampling points P1-T1, P1-T2, and P1-T3; P5 is the mean of data from three sampling points P5-T1, P5-T2, and P5-T3.</w:t>
      </w:r>
      <w:r>
        <w:rPr>
          <w:rFonts w:ascii="Times New Roman" w:hAnsi="Times New Roman" w:eastAsia="等线" w:cs="Times New Roman"/>
          <w:szCs w:val="24"/>
          <w14:ligatures w14:val="none"/>
        </w:rPr>
        <w:br w:type="page"/>
      </w:r>
    </w:p>
    <w:p w14:paraId="2D2DCBBC">
      <w:pPr>
        <w:jc w:val="left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537075"/>
            <wp:effectExtent l="0" t="0" r="8255" b="15875"/>
            <wp:docPr id="3" name="图片 3" descr="Figure S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7939">
      <w:pPr>
        <w:jc w:val="left"/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</w:pPr>
      <w:r>
        <w:rPr>
          <w:rFonts w:hint="eastAsia" w:ascii="Times New Roman" w:hAnsi="Times New Roman" w:eastAsia="等线" w:cs="Times New Roman"/>
          <w:b/>
          <w:bCs/>
          <w:sz w:val="24"/>
          <w:szCs w:val="24"/>
          <w:lang w:val="en-US" w:eastAsia="zh-CN"/>
          <w14:ligatures w14:val="none"/>
        </w:rPr>
        <w:t>Supplemen</w:t>
      </w:r>
      <w:r>
        <w:rPr>
          <w:rFonts w:hint="eastAsia" w:ascii="Times New Roman" w:hAnsi="Times New Roman" w:eastAsia="等线" w:cs="Times New Roman"/>
          <w:b/>
          <w:bCs/>
          <w:sz w:val="24"/>
          <w:szCs w:val="24"/>
          <w:lang w:val="en-US" w:eastAsia="zh-CN"/>
          <w14:ligatures w14:val="none"/>
        </w:rPr>
        <w:t xml:space="preserve">tary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auto"/>
        </w:rPr>
        <w:t>Figure S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shd w:val="clear" w:color="auto" w:fill="auto"/>
          <w:lang w:val="en-US" w:eastAsia="zh-CN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Regression analysis model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s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of soil carbon fractions. </w:t>
      </w:r>
    </w:p>
    <w:p w14:paraId="5792F81B">
      <w:pPr>
        <w:jc w:val="left"/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  <w:lang w:val="en-US" w:eastAsia="zh-CN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>a)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Black carbon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>BC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versus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total organic carbon (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>TOC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;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  <w:lang w:val="en-US" w:eastAsia="zh-CN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b)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dissolved black carbon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>DBC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versus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dissolved organic carbon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>DOC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;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  <w:lang w:val="en-US" w:eastAsia="zh-CN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c) DBC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versus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BC;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  <w:lang w:val="en-US" w:eastAsia="zh-CN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>d) D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B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C </w:t>
      </w:r>
      <w:r>
        <w:rPr>
          <w:rFonts w:hint="eastAsia" w:ascii="Times New Roman" w:hAnsi="Times New Roman" w:cs="Times New Roman"/>
          <w:color w:val="auto"/>
          <w:sz w:val="24"/>
          <w:szCs w:val="24"/>
          <w:shd w:val="clear" w:color="auto" w:fill="auto"/>
        </w:rPr>
        <w:t>versus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auto"/>
        </w:rPr>
        <w:t xml:space="preserve"> TOC.</w:t>
      </w:r>
    </w:p>
    <w:p w14:paraId="2B5B0574">
      <w:pPr>
        <w:widowControl/>
        <w:jc w:val="left"/>
        <w:rPr>
          <w:rFonts w:ascii="Times New Roman" w:hAnsi="Times New Roman" w:eastAsia="等线" w:cs="Times New Roman"/>
          <w:sz w:val="24"/>
          <w:szCs w:val="24"/>
          <w14:ligatures w14:val="none"/>
        </w:rPr>
      </w:pPr>
      <w:r>
        <w:rPr>
          <w:rFonts w:ascii="Times New Roman" w:hAnsi="Times New Roman" w:eastAsia="等线" w:cs="Times New Roman"/>
          <w:sz w:val="24"/>
          <w:szCs w:val="24"/>
          <w14:ligatures w14:val="none"/>
        </w:rPr>
        <w:br w:type="page"/>
      </w:r>
    </w:p>
    <w:p w14:paraId="2CBF381E"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5274310" cy="21101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6CA7">
      <w:pPr>
        <w:jc w:val="left"/>
        <w:rPr>
          <w:rFonts w:hint="eastAsia" w:ascii="Times New Roman" w:hAnsi="Times New Roman" w:eastAsia="等线" w:cs="Times New Roman"/>
          <w:color w:val="auto"/>
          <w:sz w:val="24"/>
          <w:szCs w:val="24"/>
          <w14:ligatures w14:val="none"/>
        </w:rPr>
      </w:pPr>
      <w:r>
        <w:rPr>
          <w:rFonts w:hint="eastAsia" w:ascii="Times New Roman" w:hAnsi="Times New Roman" w:eastAsia="等线" w:cs="Times New Roman"/>
          <w:b/>
          <w:bCs/>
          <w:sz w:val="24"/>
          <w:szCs w:val="24"/>
          <w:lang w:val="en-US" w:eastAsia="zh-CN"/>
          <w14:ligatures w14:val="none"/>
        </w:rPr>
        <w:t xml:space="preserve">Supplementary </w:t>
      </w:r>
      <w:r>
        <w:rPr>
          <w:rFonts w:hint="cs" w:ascii="Times New Roman" w:hAnsi="Times New Roman" w:eastAsia="等线" w:cs="Times New Roman"/>
          <w:b/>
          <w:bCs/>
          <w:color w:val="auto"/>
          <w:sz w:val="24"/>
          <w:szCs w:val="24"/>
          <w14:ligatures w14:val="none"/>
        </w:rPr>
        <w:t>F</w:t>
      </w:r>
      <w:r>
        <w:rPr>
          <w:rFonts w:ascii="Times New Roman" w:hAnsi="Times New Roman" w:eastAsia="等线" w:cs="Times New Roman"/>
          <w:b/>
          <w:bCs/>
          <w:color w:val="auto"/>
          <w:sz w:val="24"/>
          <w:szCs w:val="24"/>
          <w14:ligatures w14:val="none"/>
        </w:rPr>
        <w:t>igure S</w:t>
      </w:r>
      <w:r>
        <w:rPr>
          <w:rFonts w:hint="eastAsia" w:ascii="Times New Roman" w:hAnsi="Times New Roman" w:eastAsia="等线" w:cs="Times New Roman"/>
          <w:b/>
          <w:bCs/>
          <w:color w:val="auto"/>
          <w:sz w:val="24"/>
          <w:szCs w:val="24"/>
          <w:lang w:val="en-US" w:eastAsia="zh-CN"/>
          <w14:ligatures w14:val="none"/>
        </w:rPr>
        <w:t>2</w:t>
      </w:r>
      <w:r>
        <w:rPr>
          <w:rFonts w:ascii="Times New Roman" w:hAnsi="Times New Roman" w:eastAsia="等线" w:cs="Times New Roman"/>
          <w:color w:val="auto"/>
          <w:sz w:val="24"/>
          <w:szCs w:val="24"/>
          <w14:ligatures w14:val="none"/>
        </w:rPr>
        <w:t xml:space="preserve"> </w:t>
      </w:r>
      <w:r>
        <w:rPr>
          <w:rFonts w:hint="eastAsia" w:ascii="Times New Roman" w:hAnsi="Times New Roman" w:eastAsia="等线" w:cs="Times New Roman"/>
          <w:color w:val="auto"/>
          <w:sz w:val="24"/>
          <w:szCs w:val="24"/>
          <w14:ligatures w14:val="none"/>
        </w:rPr>
        <w:t xml:space="preserve">The average proportion of 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benzene polycarboxylic acid</w:t>
      </w:r>
      <w:r>
        <w:rPr>
          <w:rFonts w:hint="eastAsia" w:ascii="Times New Roman" w:hAnsi="Times New Roman" w:eastAsia="等线" w:cs="Times New Roman"/>
          <w:color w:val="auto"/>
          <w:sz w:val="24"/>
          <w:szCs w:val="24"/>
          <w14:ligatures w14:val="none"/>
        </w:rPr>
        <w:t xml:space="preserve"> monomers in black carbon (left panel) and dissolved black carbon (right panel). </w:t>
      </w:r>
    </w:p>
    <w:p w14:paraId="55D40128">
      <w:pPr>
        <w:jc w:val="left"/>
        <w:rPr>
          <w:rFonts w:hint="eastAsia" w:ascii="Times New Roman" w:hAnsi="Times New Roman" w:eastAsia="等线" w:cs="Times New Roman"/>
          <w:color w:val="auto"/>
          <w:sz w:val="24"/>
          <w:szCs w:val="24"/>
          <w14:ligatures w14:val="none"/>
        </w:rPr>
      </w:pPr>
      <w:r>
        <w:rPr>
          <w:rFonts w:hint="eastAsia" w:ascii="Times New Roman" w:hAnsi="Times New Roman" w:eastAsia="等线" w:cs="Times New Roman"/>
          <w:color w:val="auto"/>
          <w:sz w:val="24"/>
          <w:szCs w:val="24"/>
          <w14:ligatures w14:val="none"/>
        </w:rPr>
        <w:t xml:space="preserve">B3CA: 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benzene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tricarboxylic acid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 xml:space="preserve">s; B4CA: 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benzene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t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>etra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arboxylic acid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 xml:space="preserve">s; B5CA: 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benzene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 xml:space="preserve"> penta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carboxylic acid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 xml:space="preserve">; B6CA: 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benzene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 xml:space="preserve"> hexa</w:t>
      </w:r>
      <w:r>
        <w:rPr>
          <w:rFonts w:ascii="Times New Roman" w:hAnsi="Times New Roman" w:eastAsia="宋体"/>
          <w:color w:val="auto"/>
          <w:sz w:val="24"/>
          <w:szCs w:val="24"/>
          <w14:ligatures w14:val="none"/>
        </w:rPr>
        <w:t>carboxylic acid</w:t>
      </w:r>
      <w:r>
        <w:rPr>
          <w:rFonts w:hint="eastAsia" w:ascii="Times New Roman" w:hAnsi="Times New Roman" w:eastAsia="宋体"/>
          <w:color w:val="auto"/>
          <w:sz w:val="24"/>
          <w:szCs w:val="24"/>
          <w14:ligatures w14:val="none"/>
        </w:rPr>
        <w:t>.</w:t>
      </w:r>
    </w:p>
    <w:p w14:paraId="5CA03E61">
      <w:pPr>
        <w:widowControl/>
        <w:jc w:val="left"/>
        <w:rPr>
          <w:rFonts w:ascii="Times New Roman" w:hAnsi="Times New Roman" w:cs="Times New Roma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86F"/>
    <w:rsid w:val="000210E6"/>
    <w:rsid w:val="00112BC0"/>
    <w:rsid w:val="00162521"/>
    <w:rsid w:val="00170706"/>
    <w:rsid w:val="001E53F7"/>
    <w:rsid w:val="00235472"/>
    <w:rsid w:val="002F5298"/>
    <w:rsid w:val="00346705"/>
    <w:rsid w:val="00355183"/>
    <w:rsid w:val="00395FAC"/>
    <w:rsid w:val="003A1086"/>
    <w:rsid w:val="003D34FB"/>
    <w:rsid w:val="004315FA"/>
    <w:rsid w:val="00432333"/>
    <w:rsid w:val="00455D65"/>
    <w:rsid w:val="005554B0"/>
    <w:rsid w:val="00575675"/>
    <w:rsid w:val="005B586F"/>
    <w:rsid w:val="005E08EE"/>
    <w:rsid w:val="006456B9"/>
    <w:rsid w:val="00646BD7"/>
    <w:rsid w:val="006966AB"/>
    <w:rsid w:val="006E1342"/>
    <w:rsid w:val="00715C32"/>
    <w:rsid w:val="007523A8"/>
    <w:rsid w:val="007B4EFE"/>
    <w:rsid w:val="00813BCB"/>
    <w:rsid w:val="00866ABF"/>
    <w:rsid w:val="008A6CE6"/>
    <w:rsid w:val="008E0D6A"/>
    <w:rsid w:val="008E7F2C"/>
    <w:rsid w:val="00922A39"/>
    <w:rsid w:val="00942047"/>
    <w:rsid w:val="00951A43"/>
    <w:rsid w:val="009B68B0"/>
    <w:rsid w:val="009D0380"/>
    <w:rsid w:val="00AE12D8"/>
    <w:rsid w:val="00AF5EE9"/>
    <w:rsid w:val="00B12D64"/>
    <w:rsid w:val="00BA0685"/>
    <w:rsid w:val="00BF6A2C"/>
    <w:rsid w:val="00C24C91"/>
    <w:rsid w:val="00D23BB7"/>
    <w:rsid w:val="00DE2BE7"/>
    <w:rsid w:val="00ED74E7"/>
    <w:rsid w:val="00EE0E31"/>
    <w:rsid w:val="00EE18BE"/>
    <w:rsid w:val="00F30B4A"/>
    <w:rsid w:val="00FD07F2"/>
    <w:rsid w:val="00FD1F7B"/>
    <w:rsid w:val="00FE16C7"/>
    <w:rsid w:val="00FE6F26"/>
    <w:rsid w:val="00FF3A9E"/>
    <w:rsid w:val="0AE75B3C"/>
    <w:rsid w:val="149C5646"/>
    <w:rsid w:val="2B204E87"/>
    <w:rsid w:val="311E7EBE"/>
    <w:rsid w:val="389A2783"/>
    <w:rsid w:val="474927B8"/>
    <w:rsid w:val="4BBA3C84"/>
    <w:rsid w:val="52B03BA4"/>
    <w:rsid w:val="597A61D3"/>
    <w:rsid w:val="5DD62B9F"/>
    <w:rsid w:val="62D76307"/>
    <w:rsid w:val="6AB13A66"/>
    <w:rsid w:val="75E46BA3"/>
    <w:rsid w:val="782E759E"/>
    <w:rsid w:val="78C0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7"/>
    <w:link w:val="11"/>
    <w:qFormat/>
    <w:uiPriority w:val="99"/>
    <w:rPr>
      <w:sz w:val="18"/>
      <w:szCs w:val="18"/>
    </w:rPr>
  </w:style>
  <w:style w:type="character" w:styleId="38">
    <w:name w:val="Placeholder Text"/>
    <w:basedOn w:val="17"/>
    <w:semiHidden/>
    <w:qFormat/>
    <w:uiPriority w:val="99"/>
    <w:rPr>
      <w:color w:val="666666"/>
    </w:rPr>
  </w:style>
  <w:style w:type="table" w:customStyle="1" w:styleId="39">
    <w:name w:val="网格型1"/>
    <w:basedOn w:val="15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472</Words>
  <Characters>2768</Characters>
  <Lines>22</Lines>
  <Paragraphs>6</Paragraphs>
  <TotalTime>1</TotalTime>
  <ScaleCrop>false</ScaleCrop>
  <LinksUpToDate>false</LinksUpToDate>
  <CharactersWithSpaces>3129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2024-02-12T14:46:00Z</dcterms:created>
  <dc:creator>weifeng Hu</dc:creator>
  <cp:lastModifiedBy>@ 华@</cp:lastModifiedBy>
  <dcterms:modified xsi:type="dcterms:W3CDTF">2026-01-27T10:35:52Z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9EA713BE1DF248419BB0991D21FD4321_13</vt:lpwstr>
  </property>
  <property fmtid="{D5CDD505-2E9C-101B-9397-08002B2CF9AE}" pid="4" name="KSOTemplateDocerSaveRecord">
    <vt:lpwstr>eyJoZGlkIjoiYTU1NWFjODI5NzUxNzg3NDcyNmZiNDllZmY1Mzg0ZWEiLCJ1c2VySWQiOiI1NDYwODA1MjMifQ==</vt:lpwstr>
  </property>
</Properties>
</file>