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CE568">
      <w:pPr>
        <w:spacing w:line="360" w:lineRule="auto"/>
        <w:jc w:val="center"/>
        <w:rPr>
          <w:rFonts w:ascii="Times New Roman" w:hAnsi="Times New Roman" w:cs="Times New Roman"/>
          <w:bCs/>
          <w:sz w:val="44"/>
          <w:szCs w:val="44"/>
        </w:rPr>
      </w:pPr>
      <w:r>
        <w:rPr>
          <w:rFonts w:ascii="Times New Roman" w:hAnsi="Times New Roman" w:cs="Times New Roman"/>
          <w:bCs/>
          <w:sz w:val="44"/>
          <w:szCs w:val="44"/>
        </w:rPr>
        <w:t>Supplementary Materials</w:t>
      </w:r>
    </w:p>
    <w:p w14:paraId="69181312">
      <w:pPr>
        <w:spacing w:after="0" w:line="360" w:lineRule="auto"/>
        <w:jc w:val="center"/>
        <w:rPr>
          <w:rFonts w:ascii="Times New Roman" w:hAnsi="Times New Roman" w:cs="Times New Roman"/>
          <w:b/>
          <w:bCs/>
          <w:sz w:val="28"/>
          <w:szCs w:val="24"/>
        </w:rPr>
      </w:pPr>
      <w:bookmarkStart w:id="0" w:name="_Hlk203986412"/>
      <w:r>
        <w:rPr>
          <w:rFonts w:ascii="Times New Roman" w:hAnsi="Times New Roman" w:cs="Times New Roman"/>
          <w:b/>
          <w:bCs/>
          <w:sz w:val="28"/>
          <w:szCs w:val="24"/>
        </w:rPr>
        <w:t>Synthesis of air pollution patterns and nutrient composition during organic fertilizer production: A meta-analytical study</w:t>
      </w:r>
    </w:p>
    <w:p w14:paraId="79ADD2F4">
      <w:pPr>
        <w:spacing w:after="0" w:line="360" w:lineRule="auto"/>
        <w:jc w:val="both"/>
        <w:rPr>
          <w:rFonts w:ascii="Times New Roman" w:hAnsi="Times New Roman" w:eastAsia="宋体" w:cs="Times New Roman"/>
          <w:sz w:val="24"/>
          <w:szCs w:val="24"/>
          <w:vertAlign w:val="superscript"/>
        </w:rPr>
      </w:pPr>
      <w:bookmarkStart w:id="1" w:name="_Hlk185924550"/>
      <w:r>
        <w:rPr>
          <w:rFonts w:ascii="Times New Roman" w:hAnsi="Times New Roman" w:eastAsia="宋体" w:cs="Times New Roman"/>
          <w:sz w:val="24"/>
          <w:szCs w:val="24"/>
        </w:rPr>
        <w:t>Yousif Abdelrahman Yousif Abdellah</w:t>
      </w:r>
      <w:r>
        <w:rPr>
          <w:rFonts w:ascii="Times New Roman" w:hAnsi="Times New Roman" w:eastAsia="宋体" w:cs="Times New Roman"/>
          <w:sz w:val="24"/>
          <w:szCs w:val="24"/>
          <w:vertAlign w:val="superscript"/>
        </w:rPr>
        <w:t>a, b</w:t>
      </w:r>
      <w:r>
        <w:rPr>
          <w:rFonts w:ascii="Cambria Math" w:hAnsi="Cambria Math" w:eastAsia="宋体" w:cs="Cambria Math"/>
          <w:sz w:val="24"/>
          <w:szCs w:val="24"/>
          <w:vertAlign w:val="superscript"/>
        </w:rPr>
        <w:t>∇</w:t>
      </w:r>
      <w:r>
        <w:rPr>
          <w:rFonts w:ascii="Times New Roman" w:hAnsi="Times New Roman" w:eastAsia="宋体" w:cs="Times New Roman"/>
          <w:sz w:val="24"/>
          <w:szCs w:val="24"/>
          <w:vertAlign w:val="superscript"/>
          <w:lang w:val="nl-BE"/>
        </w:rPr>
        <w:t>*</w:t>
      </w:r>
      <w:r>
        <w:rPr>
          <w:rFonts w:ascii="Times New Roman" w:hAnsi="Times New Roman" w:eastAsia="宋体" w:cs="Times New Roman"/>
          <w:sz w:val="24"/>
          <w:szCs w:val="24"/>
        </w:rPr>
        <w:t xml:space="preserve">, </w:t>
      </w:r>
      <w:r>
        <w:rPr>
          <w:rFonts w:ascii="Times New Roman" w:hAnsi="Times New Roman" w:cs="Times New Roman"/>
          <w:sz w:val="24"/>
          <w:szCs w:val="24"/>
        </w:rPr>
        <w:t>Jianou Gao</w:t>
      </w:r>
      <w:r>
        <w:rPr>
          <w:rFonts w:ascii="Times New Roman" w:hAnsi="Times New Roman" w:cs="Times New Roman"/>
          <w:sz w:val="24"/>
          <w:szCs w:val="24"/>
          <w:vertAlign w:val="superscript"/>
        </w:rPr>
        <w:t>a</w:t>
      </w:r>
      <w:r>
        <w:rPr>
          <w:rFonts w:ascii="Cambria Math" w:hAnsi="Cambria Math" w:cs="Cambria Math"/>
          <w:sz w:val="24"/>
          <w:szCs w:val="24"/>
          <w:vertAlign w:val="superscript"/>
        </w:rPr>
        <w:t>∇</w:t>
      </w:r>
      <w:r>
        <w:rPr>
          <w:rFonts w:ascii="Times New Roman" w:hAnsi="Times New Roman" w:cs="Times New Roman"/>
          <w:sz w:val="24"/>
          <w:szCs w:val="24"/>
        </w:rPr>
        <w:t>,</w:t>
      </w:r>
      <w:r>
        <w:rPr>
          <w:rFonts w:ascii="Times New Roman" w:hAnsi="Times New Roman" w:eastAsia="宋体" w:cs="Times New Roman"/>
          <w:sz w:val="24"/>
          <w:szCs w:val="24"/>
        </w:rPr>
        <w:t xml:space="preserve"> Zhaoji Shi</w:t>
      </w:r>
      <w:r>
        <w:rPr>
          <w:rFonts w:ascii="Times New Roman" w:hAnsi="Times New Roman" w:eastAsia="宋体" w:cs="Times New Roman"/>
          <w:sz w:val="24"/>
          <w:szCs w:val="24"/>
          <w:vertAlign w:val="superscript"/>
        </w:rPr>
        <w:t>c</w:t>
      </w:r>
      <w:r>
        <w:rPr>
          <w:rFonts w:ascii="Times New Roman" w:hAnsi="Times New Roman" w:eastAsia="宋体" w:cs="Times New Roman"/>
          <w:sz w:val="24"/>
          <w:szCs w:val="24"/>
        </w:rPr>
        <w:t>,</w:t>
      </w:r>
      <w:bookmarkStart w:id="2" w:name="_Hlk181636723"/>
      <w:r>
        <w:rPr>
          <w:rFonts w:ascii="Times New Roman" w:hAnsi="Times New Roman" w:eastAsia="宋体" w:cs="Times New Roman"/>
          <w:sz w:val="24"/>
          <w:szCs w:val="24"/>
        </w:rPr>
        <w:t xml:space="preserve"> </w:t>
      </w:r>
      <w:bookmarkStart w:id="3" w:name="_Hlk192779557"/>
      <w:r>
        <w:rPr>
          <w:rFonts w:ascii="Times New Roman" w:hAnsi="Times New Roman" w:eastAsia="宋体" w:cs="Times New Roman"/>
          <w:sz w:val="24"/>
          <w:szCs w:val="24"/>
        </w:rPr>
        <w:t>Xiaofei Shi</w:t>
      </w:r>
      <w:bookmarkEnd w:id="3"/>
      <w:r>
        <w:rPr>
          <w:rFonts w:ascii="Times New Roman" w:hAnsi="Times New Roman" w:eastAsia="宋体" w:cs="Times New Roman"/>
          <w:sz w:val="24"/>
          <w:szCs w:val="24"/>
          <w:vertAlign w:val="superscript"/>
        </w:rPr>
        <w:t>a</w:t>
      </w:r>
      <w:r>
        <w:rPr>
          <w:rFonts w:ascii="Times New Roman" w:hAnsi="Times New Roman" w:eastAsia="宋体" w:cs="Times New Roman"/>
          <w:sz w:val="24"/>
          <w:szCs w:val="24"/>
        </w:rPr>
        <w:t xml:space="preserve">, </w:t>
      </w:r>
      <w:bookmarkStart w:id="4" w:name="_Hlk192779581"/>
      <w:r>
        <w:rPr>
          <w:rFonts w:ascii="Times New Roman" w:hAnsi="Times New Roman" w:eastAsia="宋体" w:cs="Times New Roman"/>
          <w:sz w:val="24"/>
          <w:szCs w:val="24"/>
        </w:rPr>
        <w:t>Wei Liu</w:t>
      </w:r>
      <w:bookmarkEnd w:id="4"/>
      <w:r>
        <w:rPr>
          <w:rFonts w:ascii="Times New Roman" w:hAnsi="Times New Roman" w:eastAsia="宋体" w:cs="Times New Roman"/>
          <w:sz w:val="24"/>
          <w:szCs w:val="24"/>
          <w:vertAlign w:val="superscript"/>
        </w:rPr>
        <w:t>a</w:t>
      </w:r>
      <w:r>
        <w:rPr>
          <w:rFonts w:ascii="Times New Roman" w:hAnsi="Times New Roman" w:eastAsia="宋体" w:cs="Times New Roman"/>
          <w:sz w:val="24"/>
          <w:szCs w:val="24"/>
        </w:rPr>
        <w:t xml:space="preserve">, </w:t>
      </w:r>
      <w:bookmarkStart w:id="5" w:name="_Hlk192779625"/>
      <w:r>
        <w:rPr>
          <w:rFonts w:ascii="Times New Roman" w:hAnsi="Times New Roman" w:eastAsia="宋体" w:cs="Times New Roman"/>
          <w:sz w:val="24"/>
          <w:szCs w:val="24"/>
        </w:rPr>
        <w:t>Chengmo Yang</w:t>
      </w:r>
      <w:bookmarkEnd w:id="5"/>
      <w:r>
        <w:rPr>
          <w:rFonts w:ascii="Times New Roman" w:hAnsi="Times New Roman" w:eastAsia="宋体" w:cs="Times New Roman"/>
          <w:sz w:val="24"/>
          <w:szCs w:val="24"/>
          <w:vertAlign w:val="superscript"/>
        </w:rPr>
        <w:t>a</w:t>
      </w:r>
      <w:r>
        <w:rPr>
          <w:rFonts w:ascii="Times New Roman" w:hAnsi="Times New Roman" w:eastAsia="宋体" w:cs="Times New Roman"/>
          <w:sz w:val="24"/>
          <w:szCs w:val="24"/>
        </w:rPr>
        <w:t>, Katharina Maria Keiblinger</w:t>
      </w:r>
      <w:r>
        <w:rPr>
          <w:rFonts w:ascii="Times New Roman" w:hAnsi="Times New Roman" w:eastAsia="宋体" w:cs="Times New Roman"/>
          <w:sz w:val="24"/>
          <w:szCs w:val="24"/>
          <w:vertAlign w:val="superscript"/>
        </w:rPr>
        <w:t>d</w:t>
      </w:r>
      <w:r>
        <w:rPr>
          <w:rFonts w:ascii="Times New Roman" w:hAnsi="Times New Roman" w:eastAsia="宋体" w:cs="Times New Roman"/>
          <w:sz w:val="24"/>
          <w:szCs w:val="24"/>
        </w:rPr>
        <w:t>,</w:t>
      </w:r>
      <w:bookmarkEnd w:id="2"/>
      <w:r>
        <w:rPr>
          <w:rFonts w:ascii="Times New Roman" w:hAnsi="Times New Roman" w:eastAsia="宋体" w:cs="Times New Roman"/>
          <w:sz w:val="24"/>
          <w:szCs w:val="24"/>
        </w:rPr>
        <w:t xml:space="preserve"> Xinyue Zhao</w:t>
      </w:r>
      <w:r>
        <w:rPr>
          <w:rFonts w:ascii="Times New Roman" w:hAnsi="Times New Roman" w:eastAsia="宋体" w:cs="Times New Roman"/>
          <w:sz w:val="24"/>
          <w:szCs w:val="24"/>
          <w:vertAlign w:val="superscript"/>
          <w:lang w:val="nl-BE"/>
        </w:rPr>
        <w:t>e</w:t>
      </w:r>
      <w:r>
        <w:rPr>
          <w:rFonts w:ascii="Times New Roman" w:hAnsi="Times New Roman" w:eastAsia="宋体" w:cs="Times New Roman"/>
          <w:sz w:val="24"/>
          <w:szCs w:val="24"/>
        </w:rPr>
        <w:t>, Elsiddig A. E. Elsheikh</w:t>
      </w:r>
      <w:r>
        <w:rPr>
          <w:rFonts w:ascii="Times New Roman" w:hAnsi="Times New Roman" w:eastAsia="宋体" w:cs="Times New Roman"/>
          <w:sz w:val="24"/>
          <w:szCs w:val="24"/>
          <w:vertAlign w:val="superscript"/>
        </w:rPr>
        <w:t>f</w:t>
      </w:r>
      <w:r>
        <w:rPr>
          <w:rFonts w:ascii="Times New Roman" w:hAnsi="Times New Roman" w:eastAsia="宋体" w:cs="Times New Roman"/>
          <w:sz w:val="24"/>
          <w:szCs w:val="24"/>
        </w:rPr>
        <w:t xml:space="preserve">, </w:t>
      </w:r>
      <w:bookmarkStart w:id="6" w:name="_Hlk192779743"/>
      <w:r>
        <w:rPr>
          <w:rFonts w:ascii="Times New Roman" w:hAnsi="Times New Roman" w:eastAsia="宋体" w:cs="Times New Roman"/>
          <w:sz w:val="24"/>
          <w:szCs w:val="24"/>
        </w:rPr>
        <w:t>Shahid Iqbal</w:t>
      </w:r>
      <w:bookmarkEnd w:id="6"/>
      <w:r>
        <w:rPr>
          <w:rFonts w:ascii="Times New Roman" w:hAnsi="Times New Roman" w:eastAsia="宋体" w:cs="Times New Roman"/>
          <w:sz w:val="24"/>
          <w:szCs w:val="24"/>
          <w:vertAlign w:val="superscript"/>
        </w:rPr>
        <w:t>g</w:t>
      </w:r>
      <w:r>
        <w:rPr>
          <w:rFonts w:ascii="Times New Roman" w:hAnsi="Times New Roman" w:eastAsia="宋体" w:cs="Times New Roman"/>
          <w:sz w:val="24"/>
          <w:szCs w:val="24"/>
        </w:rPr>
        <w:t xml:space="preserve">, </w:t>
      </w:r>
      <w:bookmarkStart w:id="7" w:name="_Hlk192779441"/>
      <w:r>
        <w:rPr>
          <w:rFonts w:ascii="Times New Roman" w:hAnsi="Times New Roman" w:eastAsia="宋体" w:cs="Times New Roman"/>
          <w:sz w:val="24"/>
          <w:szCs w:val="24"/>
        </w:rPr>
        <w:t xml:space="preserve">Shanshan </w:t>
      </w:r>
      <w:bookmarkEnd w:id="7"/>
      <w:r>
        <w:rPr>
          <w:rFonts w:ascii="Times New Roman" w:hAnsi="Times New Roman" w:eastAsia="宋体" w:cs="Times New Roman"/>
          <w:sz w:val="24"/>
          <w:szCs w:val="24"/>
        </w:rPr>
        <w:t>Sun</w:t>
      </w:r>
      <w:r>
        <w:rPr>
          <w:rFonts w:ascii="Times New Roman" w:hAnsi="Times New Roman" w:eastAsia="宋体" w:cs="Times New Roman"/>
          <w:sz w:val="24"/>
          <w:szCs w:val="24"/>
          <w:vertAlign w:val="superscript"/>
        </w:rPr>
        <w:t>h</w:t>
      </w:r>
      <w:r>
        <w:rPr>
          <w:rFonts w:ascii="Times New Roman" w:hAnsi="Times New Roman" w:eastAsia="宋体" w:cs="Times New Roman"/>
          <w:sz w:val="24"/>
          <w:szCs w:val="24"/>
        </w:rPr>
        <w:t>, Dong Liu</w:t>
      </w:r>
      <w:r>
        <w:rPr>
          <w:rFonts w:ascii="Times New Roman" w:hAnsi="Times New Roman" w:eastAsia="宋体" w:cs="Times New Roman"/>
          <w:sz w:val="24"/>
          <w:szCs w:val="24"/>
          <w:vertAlign w:val="superscript"/>
        </w:rPr>
        <w:t>a</w:t>
      </w:r>
      <w:r>
        <w:rPr>
          <w:rFonts w:ascii="Times New Roman" w:hAnsi="Times New Roman" w:eastAsia="宋体" w:cs="Times New Roman"/>
          <w:sz w:val="24"/>
          <w:szCs w:val="24"/>
          <w:vertAlign w:val="superscript"/>
          <w:lang w:val="nl-BE"/>
        </w:rPr>
        <w:t>*</w:t>
      </w:r>
      <w:r>
        <w:rPr>
          <w:rFonts w:ascii="Times New Roman" w:hAnsi="Times New Roman" w:eastAsia="宋体" w:cs="Times New Roman"/>
          <w:sz w:val="24"/>
          <w:szCs w:val="24"/>
        </w:rPr>
        <w:t>,</w:t>
      </w:r>
      <w:r>
        <w:rPr>
          <w:rFonts w:ascii="Times New Roman" w:hAnsi="Times New Roman" w:eastAsia="宋体" w:cs="Times New Roman"/>
        </w:rPr>
        <w:t xml:space="preserve"> </w:t>
      </w:r>
      <w:r>
        <w:rPr>
          <w:rFonts w:ascii="Times New Roman" w:hAnsi="Times New Roman" w:eastAsia="宋体" w:cs="Times New Roman"/>
          <w:sz w:val="24"/>
          <w:szCs w:val="24"/>
          <w:lang w:val="nl-BE"/>
        </w:rPr>
        <w:t>Fuqiang Yu</w:t>
      </w:r>
      <w:r>
        <w:rPr>
          <w:rFonts w:ascii="Times New Roman" w:hAnsi="Times New Roman" w:eastAsia="宋体" w:cs="Times New Roman"/>
          <w:sz w:val="24"/>
          <w:szCs w:val="24"/>
          <w:vertAlign w:val="superscript"/>
          <w:lang w:val="nl-BE"/>
        </w:rPr>
        <w:t xml:space="preserve">a* </w:t>
      </w:r>
    </w:p>
    <w:p w14:paraId="0FA289E5">
      <w:pPr>
        <w:spacing w:after="0" w:line="360" w:lineRule="auto"/>
        <w:jc w:val="both"/>
        <w:rPr>
          <w:rFonts w:ascii="Times New Roman" w:hAnsi="Times New Roman" w:eastAsia="宋体" w:cs="Times New Roman"/>
          <w:sz w:val="24"/>
          <w:szCs w:val="24"/>
          <w:vertAlign w:val="superscript"/>
        </w:rPr>
      </w:pPr>
      <w:bookmarkStart w:id="8" w:name="_Hlk181636748"/>
      <w:r>
        <w:rPr>
          <w:rFonts w:ascii="Times New Roman" w:hAnsi="Times New Roman" w:eastAsia="宋体" w:cs="Times New Roman"/>
          <w:sz w:val="24"/>
          <w:szCs w:val="24"/>
          <w:vertAlign w:val="superscript"/>
          <w:lang w:val="nl-BE"/>
        </w:rPr>
        <w:t>a</w:t>
      </w:r>
      <w:r>
        <w:rPr>
          <w:rFonts w:ascii="Times New Roman" w:hAnsi="Times New Roman" w:eastAsia="宋体" w:cs="Times New Roman"/>
          <w:sz w:val="24"/>
          <w:szCs w:val="24"/>
          <w:lang w:val="nl-BE"/>
        </w:rPr>
        <w:t xml:space="preserve"> Yunnan Key Laboratory for Fungal Diversity and Green Development &amp; Yunnan International Joint Laboratory of Fungal Sustainable Utilization in South and Southeast Asia, Germplasm Bank of Wild Species, Kunming Institute of Botany, Chinese Academy of Sciences, Kunming, Yunnan Province 650201, China</w:t>
      </w:r>
    </w:p>
    <w:p w14:paraId="5D94F04B">
      <w:pPr>
        <w:spacing w:after="0" w:line="360" w:lineRule="auto"/>
        <w:jc w:val="both"/>
        <w:rPr>
          <w:rFonts w:ascii="Times New Roman" w:hAnsi="Times New Roman" w:eastAsia="宋体" w:cs="Times New Roman"/>
          <w:sz w:val="24"/>
          <w:szCs w:val="24"/>
          <w:lang w:val="nl-BE"/>
        </w:rPr>
      </w:pPr>
      <w:r>
        <w:rPr>
          <w:rFonts w:ascii="Times New Roman" w:hAnsi="Times New Roman" w:eastAsia="宋体" w:cs="Times New Roman"/>
          <w:sz w:val="24"/>
          <w:szCs w:val="24"/>
          <w:vertAlign w:val="superscript"/>
          <w:lang w:val="nl-BE"/>
        </w:rPr>
        <w:t>b</w:t>
      </w:r>
      <w:r>
        <w:rPr>
          <w:rFonts w:ascii="Times New Roman" w:hAnsi="Times New Roman" w:eastAsia="宋体" w:cs="Times New Roman"/>
        </w:rPr>
        <w:t xml:space="preserve"> </w:t>
      </w:r>
      <w:r>
        <w:rPr>
          <w:rFonts w:ascii="Times New Roman" w:hAnsi="Times New Roman" w:eastAsia="宋体" w:cs="Times New Roman"/>
          <w:sz w:val="24"/>
          <w:szCs w:val="24"/>
          <w:lang w:val="nl-BE"/>
        </w:rPr>
        <w:t>Faculty of Public and Environmental Health, University of Khartoum, Khartoum, 11111, Sudan</w:t>
      </w:r>
    </w:p>
    <w:p w14:paraId="5F7D018F">
      <w:pPr>
        <w:spacing w:after="0" w:line="360" w:lineRule="auto"/>
        <w:jc w:val="both"/>
        <w:rPr>
          <w:rFonts w:ascii="Times New Roman" w:hAnsi="Times New Roman" w:eastAsia="宋体" w:cs="Times New Roman"/>
          <w:sz w:val="24"/>
          <w:szCs w:val="24"/>
          <w:lang w:val="nl-BE"/>
        </w:rPr>
      </w:pPr>
      <w:r>
        <w:rPr>
          <w:rFonts w:ascii="Times New Roman" w:hAnsi="Times New Roman" w:eastAsia="宋体" w:cs="Times New Roman"/>
          <w:sz w:val="24"/>
          <w:szCs w:val="24"/>
          <w:vertAlign w:val="superscript"/>
          <w:lang w:val="nl-BE"/>
        </w:rPr>
        <w:t>c</w:t>
      </w:r>
      <w:r>
        <w:rPr>
          <w:rFonts w:ascii="Times New Roman" w:hAnsi="Times New Roman" w:eastAsia="宋体" w:cs="Times New Roman"/>
        </w:rPr>
        <w:t xml:space="preserve"> </w:t>
      </w:r>
      <w:r>
        <w:rPr>
          <w:rFonts w:ascii="Times New Roman" w:hAnsi="Times New Roman" w:eastAsia="宋体" w:cs="Times New Roman"/>
          <w:sz w:val="24"/>
          <w:szCs w:val="24"/>
          <w:lang w:val="nl-BE"/>
        </w:rPr>
        <w:t>Department of Ecology, College of Natural Resources and Environment, South China Agricultural University, Guangzhou 510642, China</w:t>
      </w:r>
    </w:p>
    <w:p w14:paraId="60C2E3B0">
      <w:pPr>
        <w:spacing w:after="0" w:line="360" w:lineRule="auto"/>
        <w:jc w:val="both"/>
        <w:rPr>
          <w:rFonts w:ascii="Times New Roman" w:hAnsi="Times New Roman" w:eastAsia="宋体" w:cs="Times New Roman"/>
          <w:sz w:val="24"/>
          <w:szCs w:val="24"/>
          <w:lang w:val="nl-BE"/>
        </w:rPr>
      </w:pPr>
      <w:r>
        <w:rPr>
          <w:rFonts w:ascii="Times New Roman" w:hAnsi="Times New Roman" w:eastAsia="宋体" w:cs="Times New Roman"/>
          <w:sz w:val="24"/>
          <w:szCs w:val="24"/>
          <w:vertAlign w:val="superscript"/>
          <w:lang w:val="nl-BE"/>
        </w:rPr>
        <w:t xml:space="preserve">d </w:t>
      </w:r>
      <w:r>
        <w:rPr>
          <w:rFonts w:ascii="Times New Roman" w:hAnsi="Times New Roman" w:eastAsia="宋体" w:cs="Times New Roman"/>
          <w:sz w:val="24"/>
          <w:szCs w:val="24"/>
          <w:lang w:val="nl-BE"/>
        </w:rPr>
        <w:t>Department of Forest and Soil Sciences, Institute of Soil Research, University of Natural Resources and Life‐Sciences Vienna (BOKU), 1190 Vienna, Austria</w:t>
      </w:r>
    </w:p>
    <w:p w14:paraId="044B02ED">
      <w:pPr>
        <w:spacing w:after="0" w:line="360" w:lineRule="auto"/>
        <w:jc w:val="both"/>
        <w:rPr>
          <w:rFonts w:ascii="Times New Roman" w:hAnsi="Times New Roman" w:eastAsia="宋体" w:cs="Times New Roman"/>
          <w:sz w:val="24"/>
          <w:szCs w:val="24"/>
          <w:lang w:val="nl-BE"/>
        </w:rPr>
      </w:pPr>
      <w:r>
        <w:rPr>
          <w:rFonts w:ascii="Times New Roman" w:hAnsi="Times New Roman" w:eastAsia="宋体" w:cs="Times New Roman"/>
          <w:sz w:val="24"/>
          <w:szCs w:val="24"/>
          <w:vertAlign w:val="superscript"/>
          <w:lang w:val="nl-BE"/>
        </w:rPr>
        <w:t xml:space="preserve">e </w:t>
      </w:r>
      <w:r>
        <w:rPr>
          <w:rFonts w:ascii="Times New Roman" w:hAnsi="Times New Roman" w:eastAsia="宋体" w:cs="Times New Roman"/>
          <w:sz w:val="24"/>
          <w:szCs w:val="24"/>
          <w:lang w:val="nl-BE"/>
        </w:rPr>
        <w:t>College of Resource and Environment, Northeast Agricultural University, Harbin, 150030, Heilongjiang,  China</w:t>
      </w:r>
    </w:p>
    <w:p w14:paraId="13B9CAE7">
      <w:pPr>
        <w:spacing w:after="0" w:line="360" w:lineRule="auto"/>
        <w:jc w:val="both"/>
        <w:rPr>
          <w:rFonts w:ascii="Times New Roman" w:hAnsi="Times New Roman" w:eastAsia="宋体" w:cs="Times New Roman"/>
          <w:sz w:val="24"/>
          <w:szCs w:val="24"/>
          <w:lang w:val="nl-BE"/>
        </w:rPr>
      </w:pPr>
      <w:r>
        <w:rPr>
          <w:rFonts w:ascii="Times New Roman" w:hAnsi="Times New Roman" w:eastAsia="宋体" w:cs="Times New Roman"/>
          <w:sz w:val="24"/>
          <w:szCs w:val="24"/>
          <w:vertAlign w:val="superscript"/>
          <w:lang w:val="nl-BE"/>
        </w:rPr>
        <w:t xml:space="preserve">f </w:t>
      </w:r>
      <w:r>
        <w:rPr>
          <w:rFonts w:ascii="Times New Roman" w:hAnsi="Times New Roman" w:eastAsia="宋体" w:cs="Times New Roman"/>
          <w:sz w:val="24"/>
          <w:szCs w:val="24"/>
          <w:lang w:val="nl-BE"/>
        </w:rPr>
        <w:t xml:space="preserve">Department of Applied Biology, College of Sciences, University of Sharjah, UAE </w:t>
      </w:r>
    </w:p>
    <w:p w14:paraId="1DE6084F">
      <w:pPr>
        <w:spacing w:after="0" w:line="360" w:lineRule="auto"/>
        <w:jc w:val="both"/>
        <w:rPr>
          <w:rFonts w:ascii="Times New Roman" w:hAnsi="Times New Roman" w:eastAsia="宋体" w:cs="Times New Roman"/>
        </w:rPr>
      </w:pPr>
      <w:r>
        <w:rPr>
          <w:rFonts w:ascii="Times New Roman" w:hAnsi="Times New Roman" w:eastAsia="宋体" w:cs="Times New Roman"/>
          <w:sz w:val="24"/>
          <w:szCs w:val="24"/>
          <w:vertAlign w:val="superscript"/>
          <w:lang w:val="nl-BE"/>
        </w:rPr>
        <w:t>g</w:t>
      </w:r>
      <w:r>
        <w:rPr>
          <w:rFonts w:ascii="Times New Roman" w:hAnsi="Times New Roman" w:eastAsia="宋体" w:cs="Times New Roman"/>
        </w:rPr>
        <w:t xml:space="preserve"> </w:t>
      </w:r>
      <w:r>
        <w:rPr>
          <w:rFonts w:ascii="Times New Roman" w:hAnsi="Times New Roman" w:eastAsia="宋体" w:cs="Times New Roman"/>
          <w:sz w:val="24"/>
          <w:szCs w:val="24"/>
          <w:lang w:val="nl-BE"/>
        </w:rPr>
        <w:t>Department of Economic Plants and Biotechnology, Yunnan Key Laboratory for Wild Plant Resources, Kunming Institute of Botany, Chinese Academy of Sciences, Kunming 650201, Yunnan, China</w:t>
      </w:r>
      <w:r>
        <w:rPr>
          <w:rFonts w:ascii="Times New Roman" w:hAnsi="Times New Roman" w:eastAsia="宋体" w:cs="Times New Roman"/>
        </w:rPr>
        <w:t xml:space="preserve"> </w:t>
      </w:r>
    </w:p>
    <w:p w14:paraId="347B7985">
      <w:pPr>
        <w:spacing w:after="0" w:line="360" w:lineRule="auto"/>
        <w:jc w:val="both"/>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sz w:val="24"/>
          <w:szCs w:val="24"/>
          <w:vertAlign w:val="superscript"/>
        </w:rPr>
        <w:t>h</w:t>
      </w:r>
      <w:r>
        <w:rPr>
          <w:rFonts w:ascii="Times New Roman" w:hAnsi="Times New Roman" w:eastAsia="宋体" w:cs="Times New Roman"/>
          <w:sz w:val="24"/>
          <w:szCs w:val="24"/>
        </w:rPr>
        <w:t xml:space="preserve">Engineering Research Center of Agricultural Microbiology Technology, Ministry of Education, and Heilongjiang Provincial Key Laboratory of Plant Genetic Engineering and Biological Fermentation Engineering for Cold Region, and Key Laboratory of Microbiology, College of Heilongjiang Province, and School of Life Sciences, Heilongjiang University, Harbin 150080, China. </w:t>
      </w:r>
    </w:p>
    <w:bookmarkEnd w:id="8"/>
    <w:p w14:paraId="35C361D1">
      <w:pPr>
        <w:spacing w:line="360" w:lineRule="auto"/>
        <w:jc w:val="both"/>
        <w:rPr>
          <w:rFonts w:ascii="Times New Roman" w:hAnsi="Times New Roman" w:eastAsia="宋体" w:cs="Times New Roman"/>
          <w:sz w:val="24"/>
          <w:szCs w:val="24"/>
          <w:lang w:val="nl-BE"/>
        </w:rPr>
      </w:pPr>
      <w:r>
        <w:rPr>
          <w:rFonts w:ascii="Times New Roman" w:hAnsi="Times New Roman" w:eastAsia="宋体" w:cs="Times New Roman"/>
          <w:sz w:val="24"/>
          <w:szCs w:val="24"/>
          <w:lang w:val="nl-BE"/>
        </w:rPr>
        <w:t>*Corresponding authors</w:t>
      </w:r>
    </w:p>
    <w:p w14:paraId="42B0E5DD">
      <w:pPr>
        <w:spacing w:line="360" w:lineRule="auto"/>
        <w:jc w:val="both"/>
        <w:rPr>
          <w:rFonts w:ascii="Times New Roman" w:hAnsi="Times New Roman" w:eastAsia="宋体" w:cs="Times New Roman"/>
          <w:sz w:val="24"/>
          <w:szCs w:val="24"/>
          <w:lang w:val="nl-BE"/>
        </w:rPr>
      </w:pPr>
      <w:r>
        <w:rPr>
          <w:rFonts w:ascii="Times New Roman" w:hAnsi="Times New Roman" w:eastAsia="宋体" w:cs="Times New Roman"/>
          <w:sz w:val="24"/>
          <w:szCs w:val="24"/>
          <w:lang w:val="nl-BE"/>
        </w:rPr>
        <w:t xml:space="preserve">E-mail: yousif@mail.kib.ac.cn; </w:t>
      </w:r>
      <w:r>
        <w:fldChar w:fldCharType="begin"/>
      </w:r>
      <w:r>
        <w:instrText xml:space="preserve"> HYPERLINK "mailto:liudongc@mail.kib.ac.cn" </w:instrText>
      </w:r>
      <w:r>
        <w:fldChar w:fldCharType="separate"/>
      </w:r>
      <w:r>
        <w:rPr>
          <w:rFonts w:ascii="Times New Roman" w:hAnsi="Times New Roman" w:eastAsia="宋体" w:cs="Times New Roman"/>
          <w:color w:val="000000" w:themeColor="text1"/>
          <w:sz w:val="24"/>
          <w:szCs w:val="24"/>
          <w:lang w:val="nl-BE"/>
          <w14:textFill>
            <w14:solidFill>
              <w14:schemeClr w14:val="tx1"/>
            </w14:solidFill>
          </w14:textFill>
        </w:rPr>
        <w:t>liudongc@mail.kib.ac.cn</w:t>
      </w:r>
      <w:r>
        <w:rPr>
          <w:rFonts w:ascii="Times New Roman" w:hAnsi="Times New Roman" w:eastAsia="宋体" w:cs="Times New Roman"/>
          <w:color w:val="000000" w:themeColor="text1"/>
          <w:sz w:val="24"/>
          <w:szCs w:val="24"/>
          <w:lang w:val="nl-BE"/>
          <w14:textFill>
            <w14:solidFill>
              <w14:schemeClr w14:val="tx1"/>
            </w14:solidFill>
          </w14:textFill>
        </w:rPr>
        <w:fldChar w:fldCharType="end"/>
      </w:r>
      <w:r>
        <w:rPr>
          <w:rFonts w:ascii="Times New Roman" w:hAnsi="Times New Roman" w:eastAsia="宋体" w:cs="Times New Roman"/>
          <w:color w:val="000000" w:themeColor="text1"/>
          <w:sz w:val="24"/>
          <w:szCs w:val="24"/>
          <w:lang w:val="nl-BE"/>
          <w14:textFill>
            <w14:solidFill>
              <w14:schemeClr w14:val="tx1"/>
            </w14:solidFill>
          </w14:textFill>
        </w:rPr>
        <w:t>; fqyu@mail.kib.ac.cn</w:t>
      </w:r>
    </w:p>
    <w:bookmarkEnd w:id="1"/>
    <w:p w14:paraId="1B6010F7">
      <w:pPr>
        <w:spacing w:after="0" w:line="360" w:lineRule="auto"/>
        <w:jc w:val="both"/>
        <w:rPr>
          <w:rFonts w:ascii="Times New Roman" w:hAnsi="Times New Roman" w:cs="Times New Roman"/>
          <w:color w:val="000000"/>
          <w:sz w:val="24"/>
          <w:szCs w:val="24"/>
        </w:rPr>
      </w:pPr>
      <w:r>
        <w:rPr>
          <w:rFonts w:ascii="Cambria Math" w:hAnsi="Cambria Math" w:cs="Cambria Math"/>
          <w:color w:val="000000"/>
          <w:sz w:val="24"/>
          <w:szCs w:val="24"/>
        </w:rPr>
        <w:t>∇</w:t>
      </w:r>
      <w:r>
        <w:rPr>
          <w:rFonts w:ascii="Times New Roman" w:hAnsi="Times New Roman" w:cs="Times New Roman"/>
          <w:color w:val="000000"/>
          <w:sz w:val="24"/>
          <w:szCs w:val="24"/>
        </w:rPr>
        <w:t xml:space="preserve"> Contributed equally to this work.</w:t>
      </w:r>
    </w:p>
    <w:bookmarkEnd w:id="0"/>
    <w:p w14:paraId="2642521F">
      <w:pPr>
        <w:rPr>
          <w:rFonts w:ascii="Arial" w:hAnsi="Arial"/>
          <w:b/>
          <w:sz w:val="24"/>
          <w:szCs w:val="24"/>
        </w:rPr>
      </w:pPr>
    </w:p>
    <w:p w14:paraId="0819A25E">
      <w:pPr>
        <w:rPr>
          <w:rFonts w:ascii="Arial" w:hAnsi="Arial"/>
          <w:b/>
          <w:sz w:val="24"/>
          <w:szCs w:val="24"/>
          <w:lang w:val="nl-BE"/>
        </w:rPr>
      </w:pPr>
    </w:p>
    <w:p w14:paraId="73652952">
      <w:pPr>
        <w:rPr>
          <w:rFonts w:ascii="Arial" w:hAnsi="Arial"/>
          <w:b/>
          <w:sz w:val="24"/>
          <w:szCs w:val="24"/>
          <w:lang w:val="nl-BE"/>
        </w:rPr>
      </w:pPr>
    </w:p>
    <w:p w14:paraId="009CF647">
      <w:pPr>
        <w:rPr>
          <w:rFonts w:ascii="Arial" w:hAnsi="Arial"/>
          <w:b/>
          <w:sz w:val="24"/>
          <w:szCs w:val="24"/>
          <w:lang w:val="nl-BE"/>
        </w:rPr>
      </w:pPr>
    </w:p>
    <w:p w14:paraId="1EE59D0D">
      <w:pPr>
        <w:rPr>
          <w:rFonts w:ascii="Arial" w:hAnsi="Arial"/>
          <w:b/>
          <w:sz w:val="24"/>
          <w:szCs w:val="24"/>
          <w:lang w:val="nl-BE"/>
        </w:rPr>
      </w:pPr>
    </w:p>
    <w:p w14:paraId="4920FC98">
      <w:pPr>
        <w:rPr>
          <w:rFonts w:ascii="Arial" w:hAnsi="Arial"/>
          <w:b/>
          <w:sz w:val="24"/>
          <w:szCs w:val="24"/>
          <w:lang w:val="nl-BE"/>
        </w:rPr>
      </w:pPr>
    </w:p>
    <w:p w14:paraId="180074C4">
      <w:pPr>
        <w:rPr>
          <w:rFonts w:ascii="Arial" w:hAnsi="Arial"/>
          <w:b/>
          <w:sz w:val="24"/>
          <w:szCs w:val="24"/>
          <w:lang w:val="nl-BE"/>
        </w:rPr>
      </w:pPr>
    </w:p>
    <w:p w14:paraId="7694DEC3">
      <w:pPr>
        <w:rPr>
          <w:rFonts w:ascii="Arial" w:hAnsi="Arial"/>
          <w:b/>
          <w:sz w:val="24"/>
          <w:szCs w:val="24"/>
          <w:lang w:val="nl-BE"/>
        </w:rPr>
      </w:pPr>
    </w:p>
    <w:p w14:paraId="6C4DDA6D">
      <w:pPr>
        <w:rPr>
          <w:rFonts w:ascii="Arial" w:hAnsi="Arial"/>
          <w:b/>
          <w:sz w:val="24"/>
          <w:szCs w:val="24"/>
          <w:lang w:val="nl-BE"/>
        </w:rPr>
      </w:pPr>
    </w:p>
    <w:p w14:paraId="3EDD5BE8">
      <w:pPr>
        <w:rPr>
          <w:rFonts w:ascii="Times New Roman" w:hAnsi="Times New Roman" w:cs="Times New Roman"/>
          <w:lang w:val="nl-BE"/>
        </w:rPr>
      </w:pPr>
      <w:r>
        <w:rPr>
          <w:rFonts w:ascii="Times New Roman" w:hAnsi="Times New Roman" w:cs="Times New Roman"/>
          <w:b/>
          <w:sz w:val="24"/>
          <w:szCs w:val="24"/>
        </w:rPr>
        <w:t xml:space="preserve">Supplementary </w:t>
      </w:r>
      <w:r>
        <w:rPr>
          <w:rFonts w:hint="eastAsia" w:ascii="Times New Roman" w:hAnsi="Times New Roman" w:cs="Times New Roman"/>
          <w:b/>
          <w:sz w:val="24"/>
          <w:szCs w:val="24"/>
          <w:lang w:val="en-US" w:eastAsia="zh-CN"/>
        </w:rPr>
        <w:t>d</w:t>
      </w:r>
      <w:r>
        <w:rPr>
          <w:rFonts w:ascii="Times New Roman" w:hAnsi="Times New Roman" w:cs="Times New Roman"/>
          <w:b/>
          <w:sz w:val="24"/>
          <w:szCs w:val="24"/>
        </w:rPr>
        <w:t xml:space="preserve">ata: </w:t>
      </w:r>
      <w:r>
        <w:rPr>
          <w:rFonts w:ascii="Times New Roman" w:hAnsi="Times New Roman" w:cs="Times New Roman"/>
          <w:sz w:val="24"/>
          <w:szCs w:val="24"/>
        </w:rPr>
        <w:t xml:space="preserve"> 44 Pages, 5 Tables, and 10 Figures</w:t>
      </w:r>
    </w:p>
    <w:p w14:paraId="2B8A7674">
      <w:pPr>
        <w:rPr>
          <w:rFonts w:ascii="Arial" w:hAnsi="Arial"/>
          <w:b/>
          <w:bCs/>
          <w:lang w:val="nl-BE"/>
        </w:rPr>
      </w:pPr>
    </w:p>
    <w:p w14:paraId="19AA0492">
      <w:pPr>
        <w:rPr>
          <w:rFonts w:ascii="Arial" w:hAnsi="Arial"/>
          <w:b/>
          <w:bCs/>
          <w:lang w:val="nl-BE"/>
        </w:rPr>
      </w:pPr>
    </w:p>
    <w:p w14:paraId="72ED39ED">
      <w:pPr>
        <w:rPr>
          <w:rFonts w:ascii="Arial" w:hAnsi="Arial"/>
          <w:b/>
          <w:bCs/>
          <w:lang w:val="nl-BE"/>
        </w:rPr>
      </w:pPr>
    </w:p>
    <w:p w14:paraId="4936DE8E">
      <w:pPr>
        <w:rPr>
          <w:rFonts w:ascii="Arial" w:hAnsi="Arial"/>
          <w:b/>
          <w:bCs/>
          <w:sz w:val="24"/>
          <w:lang w:val="nl-BE"/>
        </w:rPr>
      </w:pPr>
      <w:r>
        <w:rPr>
          <w:rFonts w:ascii="Arial" w:hAnsi="Arial"/>
          <w:b/>
          <w:bCs/>
          <w:sz w:val="24"/>
          <w:lang w:val="nl-BE"/>
        </w:rPr>
        <w:t xml:space="preserve">Materials and </w:t>
      </w:r>
      <w:r>
        <w:rPr>
          <w:rFonts w:hint="eastAsia" w:ascii="Arial" w:hAnsi="Arial"/>
          <w:b/>
          <w:bCs/>
          <w:sz w:val="24"/>
          <w:lang w:val="en-US" w:eastAsia="zh-CN"/>
        </w:rPr>
        <w:t>m</w:t>
      </w:r>
      <w:r>
        <w:rPr>
          <w:rFonts w:ascii="Arial" w:hAnsi="Arial"/>
          <w:b/>
          <w:bCs/>
          <w:sz w:val="24"/>
          <w:lang w:val="nl-BE"/>
        </w:rPr>
        <w:t>ethods</w:t>
      </w:r>
    </w:p>
    <w:p w14:paraId="669F1039">
      <w:pPr>
        <w:rPr>
          <w:rFonts w:ascii="Arial" w:hAnsi="Arial"/>
          <w:b/>
          <w:bCs/>
          <w:sz w:val="18"/>
          <w:szCs w:val="18"/>
          <w:lang w:val="nl-BE"/>
        </w:rPr>
      </w:pPr>
    </w:p>
    <w:p w14:paraId="04E56CF7">
      <w:pPr>
        <w:rPr>
          <w:rFonts w:ascii="Times New Roman" w:hAnsi="Times New Roman" w:cs="Times New Roman"/>
          <w:b/>
          <w:bCs/>
          <w:lang w:val="nl-BE"/>
        </w:rPr>
      </w:pPr>
      <w:r>
        <w:rPr>
          <w:rFonts w:ascii="Arial" w:hAnsi="Arial"/>
        </w:rPr>
        <w:drawing>
          <wp:inline distT="0" distB="0" distL="0" distR="0">
            <wp:extent cx="7096125" cy="4509135"/>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7"/>
                    <a:stretch>
                      <a:fillRect/>
                    </a:stretch>
                  </pic:blipFill>
                  <pic:spPr>
                    <a:xfrm>
                      <a:off x="0" y="0"/>
                      <a:ext cx="7096341" cy="4509272"/>
                    </a:xfrm>
                    <a:prstGeom prst="rect">
                      <a:avLst/>
                    </a:prstGeom>
                    <a:noFill/>
                    <a:ln>
                      <a:noFill/>
                    </a:ln>
                  </pic:spPr>
                </pic:pic>
              </a:graphicData>
            </a:graphic>
          </wp:inline>
        </w:drawing>
      </w:r>
      <w:r>
        <w:rPr>
          <w:rFonts w:ascii="Arial" w:hAnsi="Arial"/>
          <w:b/>
          <w:bCs/>
          <w:lang w:val="nl-BE"/>
        </w:rPr>
        <w:t xml:space="preserve"> </w:t>
      </w:r>
      <w:r>
        <w:rPr>
          <w:rFonts w:ascii="Times New Roman" w:hAnsi="Times New Roman" w:cs="Times New Roman"/>
          <w:b/>
          <w:bCs/>
          <w:lang w:val="nl-BE"/>
        </w:rPr>
        <w:t>Fig. S1</w:t>
      </w:r>
      <w:r>
        <w:rPr>
          <w:rFonts w:ascii="Times New Roman" w:hAnsi="Times New Roman" w:cs="Times New Roman"/>
          <w:lang w:val="nl-BE"/>
        </w:rPr>
        <w:t xml:space="preserve"> PRISMA flow diagram of the steps involved in article collection and the total number of articles (n) included in each stage.</w:t>
      </w:r>
    </w:p>
    <w:p w14:paraId="6A9D9BA2">
      <w:pPr>
        <w:rPr>
          <w:rFonts w:ascii="Arial" w:hAnsi="Arial"/>
          <w:b/>
          <w:bCs/>
          <w:sz w:val="18"/>
          <w:szCs w:val="18"/>
          <w:lang w:val="nl-BE"/>
        </w:rPr>
      </w:pPr>
      <w:r>
        <w:rPr>
          <w:rFonts w:ascii="Arial" w:hAnsi="Arial"/>
          <w:b/>
          <w:bCs/>
          <w:szCs w:val="18"/>
          <w:lang w:val="nl-BE"/>
        </w:rPr>
        <w:drawing>
          <wp:inline distT="0" distB="0" distL="0" distR="0">
            <wp:extent cx="7242175"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email"/>
                    <a:stretch>
                      <a:fillRect/>
                    </a:stretch>
                  </pic:blipFill>
                  <pic:spPr>
                    <a:xfrm>
                      <a:off x="0" y="0"/>
                      <a:ext cx="7242175" cy="3648075"/>
                    </a:xfrm>
                    <a:prstGeom prst="rect">
                      <a:avLst/>
                    </a:prstGeom>
                  </pic:spPr>
                </pic:pic>
              </a:graphicData>
            </a:graphic>
          </wp:inline>
        </w:drawing>
      </w:r>
      <w:r>
        <w:rPr>
          <w:rFonts w:ascii="Times New Roman" w:hAnsi="Times New Roman" w:cs="Times New Roman"/>
          <w:b/>
          <w:bCs/>
          <w:szCs w:val="18"/>
          <w:lang w:val="nl-BE"/>
        </w:rPr>
        <w:t xml:space="preserve">Fig. S2 </w:t>
      </w:r>
      <w:r>
        <w:rPr>
          <w:rFonts w:ascii="Times New Roman" w:hAnsi="Times New Roman" w:cs="Times New Roman"/>
          <w:bCs/>
          <w:szCs w:val="18"/>
          <w:lang w:val="nl-BE"/>
        </w:rPr>
        <w:t>World map of the 135 SCI papers selected for the present global meta-analysis. The colored dot on the map represents the total number of selected articles in a particular area.</w:t>
      </w:r>
      <w:r>
        <w:rPr>
          <w:rFonts w:ascii="Arial" w:hAnsi="Arial"/>
          <w:bCs/>
          <w:szCs w:val="18"/>
          <w:lang w:val="nl-BE"/>
        </w:rPr>
        <w:t xml:space="preserve"> </w:t>
      </w:r>
      <w:r>
        <w:rPr>
          <w:rFonts w:ascii="Arial" w:hAnsi="Arial"/>
          <w:b/>
          <w:bCs/>
          <w:sz w:val="18"/>
          <w:szCs w:val="18"/>
          <w:lang w:val="nl-BE"/>
        </w:rPr>
        <w:drawing>
          <wp:inline distT="0" distB="0" distL="0" distR="0">
            <wp:extent cx="6854825" cy="69215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hqprint"/>
                    <a:stretch>
                      <a:fillRect/>
                    </a:stretch>
                  </pic:blipFill>
                  <pic:spPr>
                    <a:xfrm>
                      <a:off x="0" y="0"/>
                      <a:ext cx="6854952" cy="6922008"/>
                    </a:xfrm>
                    <a:prstGeom prst="rect">
                      <a:avLst/>
                    </a:prstGeom>
                  </pic:spPr>
                </pic:pic>
              </a:graphicData>
            </a:graphic>
          </wp:inline>
        </w:drawing>
      </w:r>
    </w:p>
    <w:p w14:paraId="6358906A">
      <w:pPr>
        <w:spacing w:line="360" w:lineRule="auto"/>
        <w:jc w:val="both"/>
        <w:rPr>
          <w:rFonts w:ascii="Times New Roman" w:hAnsi="Times New Roman" w:cs="Times New Roman"/>
          <w:lang w:val="nl-BE"/>
        </w:rPr>
      </w:pPr>
      <w:r>
        <w:rPr>
          <w:rFonts w:ascii="Times New Roman" w:hAnsi="Times New Roman" w:cs="Times New Roman"/>
          <w:b/>
          <w:bCs/>
          <w:lang w:val="nl-BE"/>
        </w:rPr>
        <w:t>Fig. S3</w:t>
      </w:r>
      <w:r>
        <w:rPr>
          <w:rFonts w:ascii="Times New Roman" w:hAnsi="Times New Roman" w:cs="Times New Roman"/>
          <w:lang w:val="nl-BE"/>
        </w:rPr>
        <w:t xml:space="preserve"> Tests of publication bias for the selected studies used in our meta-analysis.</w:t>
      </w:r>
      <w:r>
        <w:rPr>
          <w:rFonts w:ascii="Times New Roman" w:hAnsi="Times New Roman" w:cs="Times New Roman"/>
          <w:sz w:val="28"/>
          <w:szCs w:val="28"/>
        </w:rPr>
        <w:t xml:space="preserve"> </w:t>
      </w:r>
      <w:r>
        <w:rPr>
          <w:rFonts w:ascii="Times New Roman" w:hAnsi="Times New Roman" w:cs="Times New Roman"/>
          <w:lang w:val="nl-BE"/>
        </w:rPr>
        <w:t>(a) Temperature; (b) C/N; (c) TOC; (d) TN; (e) GI; (f) HA; (g) CH</w:t>
      </w:r>
      <w:r>
        <w:rPr>
          <w:rFonts w:ascii="Times New Roman" w:hAnsi="Times New Roman" w:cs="Times New Roman"/>
          <w:vertAlign w:val="subscript"/>
          <w:lang w:val="nl-BE"/>
        </w:rPr>
        <w:t>4</w:t>
      </w:r>
      <w:r>
        <w:rPr>
          <w:rFonts w:ascii="Times New Roman" w:hAnsi="Times New Roman" w:cs="Times New Roman"/>
          <w:lang w:val="nl-BE"/>
        </w:rPr>
        <w:t>; (h) N</w:t>
      </w:r>
      <w:r>
        <w:rPr>
          <w:rFonts w:ascii="Times New Roman" w:hAnsi="Times New Roman" w:cs="Times New Roman"/>
          <w:vertAlign w:val="subscript"/>
          <w:lang w:val="nl-BE"/>
        </w:rPr>
        <w:t>2</w:t>
      </w:r>
      <w:r>
        <w:rPr>
          <w:rFonts w:ascii="Times New Roman" w:hAnsi="Times New Roman" w:cs="Times New Roman"/>
          <w:lang w:val="nl-BE"/>
        </w:rPr>
        <w:t>O; (i) NH</w:t>
      </w:r>
      <w:r>
        <w:rPr>
          <w:rFonts w:ascii="Times New Roman" w:hAnsi="Times New Roman" w:cs="Times New Roman"/>
          <w:vertAlign w:val="subscript"/>
          <w:lang w:val="nl-BE"/>
        </w:rPr>
        <w:t>3</w:t>
      </w:r>
      <w:r>
        <w:rPr>
          <w:rFonts w:ascii="Times New Roman" w:hAnsi="Times New Roman" w:cs="Times New Roman"/>
          <w:lang w:val="nl-BE"/>
        </w:rPr>
        <w:t>; (j) CO</w:t>
      </w:r>
      <w:r>
        <w:rPr>
          <w:rFonts w:ascii="Times New Roman" w:hAnsi="Times New Roman" w:cs="Times New Roman"/>
          <w:vertAlign w:val="subscript"/>
          <w:lang w:val="nl-BE"/>
        </w:rPr>
        <w:t>2</w:t>
      </w:r>
      <w:r>
        <w:rPr>
          <w:rFonts w:ascii="Times New Roman" w:hAnsi="Times New Roman" w:cs="Times New Roman"/>
          <w:lang w:val="nl-BE"/>
        </w:rPr>
        <w:t>; (k)</w:t>
      </w:r>
      <w:r>
        <w:rPr>
          <w:rFonts w:ascii="Times New Roman" w:hAnsi="Times New Roman" w:cs="Times New Roman"/>
        </w:rPr>
        <w:t xml:space="preserve"> </w:t>
      </w:r>
      <w:r>
        <w:rPr>
          <w:rFonts w:ascii="Times New Roman" w:hAnsi="Times New Roman" w:cs="Times New Roman"/>
          <w:lang w:val="nl-BE"/>
        </w:rPr>
        <w:t>H</w:t>
      </w:r>
      <w:r>
        <w:rPr>
          <w:rFonts w:ascii="Times New Roman" w:hAnsi="Times New Roman" w:cs="Times New Roman"/>
          <w:vertAlign w:val="subscript"/>
          <w:lang w:val="nl-BE"/>
        </w:rPr>
        <w:t>2</w:t>
      </w:r>
      <w:r>
        <w:rPr>
          <w:rFonts w:ascii="Times New Roman" w:hAnsi="Times New Roman" w:cs="Times New Roman"/>
          <w:lang w:val="nl-BE"/>
        </w:rPr>
        <w:t>S; and (l)</w:t>
      </w:r>
      <w:r>
        <w:rPr>
          <w:rFonts w:ascii="Times New Roman" w:hAnsi="Times New Roman" w:cs="Times New Roman"/>
        </w:rPr>
        <w:t xml:space="preserve"> </w:t>
      </w:r>
      <w:r>
        <w:rPr>
          <w:rFonts w:ascii="Times New Roman" w:hAnsi="Times New Roman" w:cs="Times New Roman"/>
          <w:lang w:val="nl-BE"/>
        </w:rPr>
        <w:t>VOCs. Funnel plot of the study precision (inverse of standard error) vs. the residuals of the meta-analysis. The asymmetry at low levels of precision indicates the presence of a publication bias. The dashed line was added as a visual reference for symmetry.</w:t>
      </w:r>
      <w:r>
        <w:rPr>
          <w:rFonts w:ascii="Times New Roman" w:hAnsi="Times New Roman" w:cs="Times New Roman"/>
          <w:sz w:val="28"/>
          <w:szCs w:val="28"/>
        </w:rPr>
        <w:t xml:space="preserve"> </w:t>
      </w:r>
      <w:r>
        <w:rPr>
          <w:rFonts w:ascii="Times New Roman" w:hAnsi="Times New Roman" w:cs="Times New Roman"/>
          <w:lang w:val="nl-BE"/>
        </w:rPr>
        <w:t xml:space="preserve">Temperature (test for funnel plot asymmetry: </w:t>
      </w:r>
      <w:r>
        <w:rPr>
          <w:rFonts w:ascii="Times New Roman" w:hAnsi="Times New Roman" w:cs="Times New Roman"/>
          <w:i/>
          <w:iCs/>
          <w:lang w:val="nl-BE"/>
        </w:rPr>
        <w:t>Z</w:t>
      </w:r>
      <w:r>
        <w:rPr>
          <w:rFonts w:ascii="Times New Roman" w:hAnsi="Times New Roman" w:cs="Times New Roman"/>
          <w:lang w:val="nl-BE"/>
        </w:rPr>
        <w:t xml:space="preserve"> = 1.1735, </w:t>
      </w:r>
      <w:r>
        <w:rPr>
          <w:rFonts w:ascii="Times New Roman" w:hAnsi="Times New Roman" w:cs="Times New Roman"/>
          <w:i/>
          <w:iCs/>
          <w:lang w:val="nl-BE"/>
        </w:rPr>
        <w:t>P</w:t>
      </w:r>
      <w:r>
        <w:rPr>
          <w:rFonts w:ascii="Times New Roman" w:hAnsi="Times New Roman" w:cs="Times New Roman"/>
          <w:lang w:val="nl-BE"/>
        </w:rPr>
        <w:t xml:space="preserve"> = 0.2406), C/N (test for funnel plot asymmetry: </w:t>
      </w:r>
      <w:r>
        <w:rPr>
          <w:rFonts w:ascii="Times New Roman" w:hAnsi="Times New Roman" w:cs="Times New Roman"/>
          <w:i/>
          <w:iCs/>
          <w:lang w:val="nl-BE"/>
        </w:rPr>
        <w:t>Z</w:t>
      </w:r>
      <w:r>
        <w:rPr>
          <w:rFonts w:ascii="Times New Roman" w:hAnsi="Times New Roman" w:cs="Times New Roman"/>
          <w:lang w:val="nl-BE"/>
        </w:rPr>
        <w:t xml:space="preserve"> = 1.4569, </w:t>
      </w:r>
      <w:r>
        <w:rPr>
          <w:rFonts w:ascii="Times New Roman" w:hAnsi="Times New Roman" w:cs="Times New Roman"/>
          <w:i/>
          <w:iCs/>
          <w:lang w:val="nl-BE"/>
        </w:rPr>
        <w:t>P</w:t>
      </w:r>
      <w:r>
        <w:rPr>
          <w:rFonts w:ascii="Times New Roman" w:hAnsi="Times New Roman" w:cs="Times New Roman"/>
          <w:lang w:val="nl-BE"/>
        </w:rPr>
        <w:t xml:space="preserve"> = 0.1452),</w:t>
      </w:r>
      <w:r>
        <w:rPr>
          <w:rFonts w:ascii="Times New Roman" w:hAnsi="Times New Roman" w:cs="Times New Roman"/>
        </w:rPr>
        <w:t xml:space="preserve"> </w:t>
      </w:r>
      <w:r>
        <w:rPr>
          <w:rFonts w:ascii="Times New Roman" w:hAnsi="Times New Roman" w:cs="Times New Roman"/>
          <w:lang w:val="nl-BE"/>
        </w:rPr>
        <w:t xml:space="preserve">TOC (test for funnel plot asymmetry: </w:t>
      </w:r>
      <w:r>
        <w:rPr>
          <w:rFonts w:ascii="Times New Roman" w:hAnsi="Times New Roman" w:cs="Times New Roman"/>
          <w:i/>
          <w:iCs/>
          <w:lang w:val="nl-BE"/>
        </w:rPr>
        <w:t>Z</w:t>
      </w:r>
      <w:r>
        <w:rPr>
          <w:rFonts w:ascii="Times New Roman" w:hAnsi="Times New Roman" w:cs="Times New Roman"/>
          <w:lang w:val="nl-BE"/>
        </w:rPr>
        <w:t xml:space="preserve"> = 0.3102, </w:t>
      </w:r>
      <w:r>
        <w:rPr>
          <w:rFonts w:ascii="Times New Roman" w:hAnsi="Times New Roman" w:cs="Times New Roman"/>
          <w:i/>
          <w:iCs/>
          <w:lang w:val="nl-BE"/>
        </w:rPr>
        <w:t>P</w:t>
      </w:r>
      <w:r>
        <w:rPr>
          <w:rFonts w:ascii="Times New Roman" w:hAnsi="Times New Roman" w:cs="Times New Roman"/>
          <w:lang w:val="nl-BE"/>
        </w:rPr>
        <w:t xml:space="preserve"> = 0.7564), TN (test for funnel plot asymmetry: </w:t>
      </w:r>
      <w:r>
        <w:rPr>
          <w:rFonts w:ascii="Times New Roman" w:hAnsi="Times New Roman" w:cs="Times New Roman"/>
          <w:i/>
          <w:iCs/>
          <w:lang w:val="nl-BE"/>
        </w:rPr>
        <w:t>Z</w:t>
      </w:r>
      <w:r>
        <w:rPr>
          <w:rFonts w:ascii="Times New Roman" w:hAnsi="Times New Roman" w:cs="Times New Roman"/>
          <w:lang w:val="nl-BE"/>
        </w:rPr>
        <w:t xml:space="preserve"> = −2.6970, </w:t>
      </w:r>
      <w:r>
        <w:rPr>
          <w:rFonts w:ascii="Times New Roman" w:hAnsi="Times New Roman" w:cs="Times New Roman"/>
          <w:i/>
          <w:iCs/>
          <w:lang w:val="nl-BE"/>
        </w:rPr>
        <w:t>P</w:t>
      </w:r>
      <w:r>
        <w:rPr>
          <w:rFonts w:ascii="Times New Roman" w:hAnsi="Times New Roman" w:cs="Times New Roman"/>
          <w:lang w:val="nl-BE"/>
        </w:rPr>
        <w:t xml:space="preserve"> = 0.0070),</w:t>
      </w:r>
      <w:r>
        <w:rPr>
          <w:rFonts w:ascii="Times New Roman" w:hAnsi="Times New Roman" w:cs="Times New Roman"/>
        </w:rPr>
        <w:t xml:space="preserve"> </w:t>
      </w:r>
      <w:r>
        <w:rPr>
          <w:rFonts w:ascii="Times New Roman" w:hAnsi="Times New Roman" w:cs="Times New Roman"/>
          <w:lang w:val="nl-BE"/>
        </w:rPr>
        <w:t xml:space="preserve">GI (test for funnel plot asymmetry: </w:t>
      </w:r>
      <w:r>
        <w:rPr>
          <w:rFonts w:ascii="Times New Roman" w:hAnsi="Times New Roman" w:cs="Times New Roman"/>
          <w:i/>
          <w:iCs/>
          <w:lang w:val="nl-BE"/>
        </w:rPr>
        <w:t>Z</w:t>
      </w:r>
      <w:r>
        <w:rPr>
          <w:rFonts w:ascii="Times New Roman" w:hAnsi="Times New Roman" w:cs="Times New Roman"/>
          <w:lang w:val="nl-BE"/>
        </w:rPr>
        <w:t xml:space="preserve"> = −6.6938, </w:t>
      </w:r>
      <w:r>
        <w:rPr>
          <w:rFonts w:ascii="Times New Roman" w:hAnsi="Times New Roman" w:cs="Times New Roman"/>
          <w:i/>
          <w:iCs/>
          <w:lang w:val="nl-BE"/>
        </w:rPr>
        <w:t>P</w:t>
      </w:r>
      <w:r>
        <w:rPr>
          <w:rFonts w:ascii="Times New Roman" w:hAnsi="Times New Roman" w:cs="Times New Roman"/>
          <w:lang w:val="nl-BE"/>
        </w:rPr>
        <w:t xml:space="preserve"> &lt; 0.0001),</w:t>
      </w:r>
      <w:r>
        <w:rPr>
          <w:rFonts w:ascii="Times New Roman" w:hAnsi="Times New Roman" w:cs="Times New Roman"/>
          <w:sz w:val="28"/>
          <w:szCs w:val="28"/>
        </w:rPr>
        <w:t xml:space="preserve"> </w:t>
      </w:r>
      <w:r>
        <w:rPr>
          <w:rFonts w:ascii="Times New Roman" w:hAnsi="Times New Roman" w:cs="Times New Roman"/>
          <w:lang w:val="nl-BE"/>
        </w:rPr>
        <w:t xml:space="preserve">HA (test for funnel plot asymmetry: </w:t>
      </w:r>
      <w:r>
        <w:rPr>
          <w:rFonts w:ascii="Times New Roman" w:hAnsi="Times New Roman" w:cs="Times New Roman"/>
          <w:i/>
          <w:iCs/>
          <w:lang w:val="nl-BE"/>
        </w:rPr>
        <w:t>Z</w:t>
      </w:r>
      <w:r>
        <w:rPr>
          <w:rFonts w:ascii="Times New Roman" w:hAnsi="Times New Roman" w:cs="Times New Roman"/>
          <w:lang w:val="nl-BE"/>
        </w:rPr>
        <w:t xml:space="preserve"> = −0.5417, </w:t>
      </w:r>
      <w:r>
        <w:rPr>
          <w:rFonts w:ascii="Times New Roman" w:hAnsi="Times New Roman" w:cs="Times New Roman"/>
          <w:i/>
          <w:iCs/>
          <w:lang w:val="nl-BE"/>
        </w:rPr>
        <w:t>P</w:t>
      </w:r>
      <w:r>
        <w:rPr>
          <w:rFonts w:ascii="Times New Roman" w:hAnsi="Times New Roman" w:cs="Times New Roman"/>
          <w:lang w:val="nl-BE"/>
        </w:rPr>
        <w:t xml:space="preserve"> = 0.5880),</w:t>
      </w:r>
      <w:r>
        <w:rPr>
          <w:rFonts w:ascii="Times New Roman" w:hAnsi="Times New Roman" w:cs="Times New Roman"/>
          <w:sz w:val="28"/>
          <w:szCs w:val="28"/>
        </w:rPr>
        <w:t xml:space="preserve"> </w:t>
      </w:r>
      <w:r>
        <w:rPr>
          <w:rFonts w:ascii="Times New Roman" w:hAnsi="Times New Roman" w:cs="Times New Roman"/>
          <w:lang w:val="nl-BE"/>
        </w:rPr>
        <w:t>CH</w:t>
      </w:r>
      <w:r>
        <w:rPr>
          <w:rFonts w:ascii="Times New Roman" w:hAnsi="Times New Roman" w:cs="Times New Roman"/>
          <w:vertAlign w:val="subscript"/>
          <w:lang w:val="nl-BE"/>
        </w:rPr>
        <w:t>4</w:t>
      </w:r>
      <w:r>
        <w:rPr>
          <w:rFonts w:ascii="Times New Roman" w:hAnsi="Times New Roman" w:cs="Times New Roman"/>
          <w:lang w:val="nl-BE"/>
        </w:rPr>
        <w:t xml:space="preserve"> (test for funnel plot asymmetry: </w:t>
      </w:r>
      <w:r>
        <w:rPr>
          <w:rFonts w:ascii="Times New Roman" w:hAnsi="Times New Roman" w:cs="Times New Roman"/>
          <w:i/>
          <w:iCs/>
          <w:lang w:val="nl-BE"/>
        </w:rPr>
        <w:t>Z</w:t>
      </w:r>
      <w:r>
        <w:rPr>
          <w:rFonts w:ascii="Times New Roman" w:hAnsi="Times New Roman" w:cs="Times New Roman"/>
          <w:lang w:val="nl-BE"/>
        </w:rPr>
        <w:t xml:space="preserve"> = 2.0257, </w:t>
      </w:r>
      <w:r>
        <w:rPr>
          <w:rFonts w:ascii="Times New Roman" w:hAnsi="Times New Roman" w:cs="Times New Roman"/>
          <w:i/>
          <w:iCs/>
          <w:lang w:val="nl-BE"/>
        </w:rPr>
        <w:t>P</w:t>
      </w:r>
      <w:r>
        <w:rPr>
          <w:rFonts w:ascii="Times New Roman" w:hAnsi="Times New Roman" w:cs="Times New Roman"/>
          <w:lang w:val="nl-BE"/>
        </w:rPr>
        <w:t xml:space="preserve"> = 0.0428),</w:t>
      </w:r>
      <w:r>
        <w:rPr>
          <w:rFonts w:ascii="Times New Roman" w:hAnsi="Times New Roman" w:cs="Times New Roman"/>
          <w:sz w:val="28"/>
          <w:szCs w:val="28"/>
        </w:rPr>
        <w:t xml:space="preserve"> </w:t>
      </w:r>
      <w:r>
        <w:rPr>
          <w:rFonts w:ascii="Times New Roman" w:hAnsi="Times New Roman" w:cs="Times New Roman"/>
          <w:lang w:val="nl-BE"/>
        </w:rPr>
        <w:t>N</w:t>
      </w:r>
      <w:r>
        <w:rPr>
          <w:rFonts w:ascii="Times New Roman" w:hAnsi="Times New Roman" w:cs="Times New Roman"/>
          <w:vertAlign w:val="subscript"/>
          <w:lang w:val="nl-BE"/>
        </w:rPr>
        <w:t>2</w:t>
      </w:r>
      <w:r>
        <w:rPr>
          <w:rFonts w:ascii="Times New Roman" w:hAnsi="Times New Roman" w:cs="Times New Roman"/>
          <w:lang w:val="nl-BE"/>
        </w:rPr>
        <w:t xml:space="preserve">O (test for funnel plot asymmetry: </w:t>
      </w:r>
      <w:r>
        <w:rPr>
          <w:rFonts w:ascii="Times New Roman" w:hAnsi="Times New Roman" w:cs="Times New Roman"/>
          <w:i/>
          <w:iCs/>
          <w:lang w:val="nl-BE"/>
        </w:rPr>
        <w:t>Z</w:t>
      </w:r>
      <w:r>
        <w:rPr>
          <w:rFonts w:ascii="Times New Roman" w:hAnsi="Times New Roman" w:cs="Times New Roman"/>
          <w:lang w:val="nl-BE"/>
        </w:rPr>
        <w:t xml:space="preserve"> = −1.7508, </w:t>
      </w:r>
      <w:r>
        <w:rPr>
          <w:rFonts w:ascii="Times New Roman" w:hAnsi="Times New Roman" w:cs="Times New Roman"/>
          <w:i/>
          <w:iCs/>
          <w:lang w:val="nl-BE"/>
        </w:rPr>
        <w:t>P</w:t>
      </w:r>
      <w:r>
        <w:rPr>
          <w:rFonts w:ascii="Times New Roman" w:hAnsi="Times New Roman" w:cs="Times New Roman"/>
          <w:lang w:val="nl-BE"/>
        </w:rPr>
        <w:t xml:space="preserve"> = 0.0800), NH</w:t>
      </w:r>
      <w:r>
        <w:rPr>
          <w:rFonts w:ascii="Times New Roman" w:hAnsi="Times New Roman" w:cs="Times New Roman"/>
          <w:vertAlign w:val="subscript"/>
          <w:lang w:val="nl-BE"/>
        </w:rPr>
        <w:t>3</w:t>
      </w:r>
      <w:r>
        <w:rPr>
          <w:rFonts w:ascii="Times New Roman" w:hAnsi="Times New Roman" w:cs="Times New Roman"/>
          <w:lang w:val="nl-BE"/>
        </w:rPr>
        <w:t xml:space="preserve"> (test for funnel plot asymmetry: </w:t>
      </w:r>
      <w:r>
        <w:rPr>
          <w:rFonts w:ascii="Times New Roman" w:hAnsi="Times New Roman" w:cs="Times New Roman"/>
          <w:i/>
          <w:iCs/>
          <w:lang w:val="nl-BE"/>
        </w:rPr>
        <w:t>Z</w:t>
      </w:r>
      <w:r>
        <w:rPr>
          <w:rFonts w:ascii="Times New Roman" w:hAnsi="Times New Roman" w:cs="Times New Roman"/>
          <w:lang w:val="nl-BE"/>
        </w:rPr>
        <w:t xml:space="preserve"> = −0.7265, </w:t>
      </w:r>
      <w:r>
        <w:rPr>
          <w:rFonts w:ascii="Times New Roman" w:hAnsi="Times New Roman" w:cs="Times New Roman"/>
          <w:i/>
          <w:iCs/>
          <w:lang w:val="nl-BE"/>
        </w:rPr>
        <w:t>P</w:t>
      </w:r>
      <w:r>
        <w:rPr>
          <w:rFonts w:ascii="Times New Roman" w:hAnsi="Times New Roman" w:cs="Times New Roman"/>
          <w:lang w:val="nl-BE"/>
        </w:rPr>
        <w:t xml:space="preserve"> = 0.4675), CO</w:t>
      </w:r>
      <w:r>
        <w:rPr>
          <w:rFonts w:ascii="Times New Roman" w:hAnsi="Times New Roman" w:cs="Times New Roman"/>
          <w:vertAlign w:val="subscript"/>
          <w:lang w:val="nl-BE"/>
        </w:rPr>
        <w:t>2</w:t>
      </w:r>
      <w:r>
        <w:rPr>
          <w:rFonts w:ascii="Times New Roman" w:hAnsi="Times New Roman" w:cs="Times New Roman"/>
          <w:lang w:val="nl-BE"/>
        </w:rPr>
        <w:t xml:space="preserve"> (test for funnel plot asymmetry: </w:t>
      </w:r>
      <w:r>
        <w:rPr>
          <w:rFonts w:ascii="Times New Roman" w:hAnsi="Times New Roman" w:cs="Times New Roman"/>
          <w:i/>
          <w:iCs/>
          <w:lang w:val="nl-BE"/>
        </w:rPr>
        <w:t>Z</w:t>
      </w:r>
      <w:r>
        <w:rPr>
          <w:rFonts w:ascii="Times New Roman" w:hAnsi="Times New Roman" w:cs="Times New Roman"/>
          <w:lang w:val="nl-BE"/>
        </w:rPr>
        <w:t xml:space="preserve"> = −0.5567, </w:t>
      </w:r>
      <w:r>
        <w:rPr>
          <w:rFonts w:ascii="Times New Roman" w:hAnsi="Times New Roman" w:cs="Times New Roman"/>
          <w:i/>
          <w:iCs/>
          <w:lang w:val="nl-BE"/>
        </w:rPr>
        <w:t>P</w:t>
      </w:r>
      <w:r>
        <w:rPr>
          <w:rFonts w:ascii="Times New Roman" w:hAnsi="Times New Roman" w:cs="Times New Roman"/>
          <w:lang w:val="nl-BE"/>
        </w:rPr>
        <w:t xml:space="preserve"> = 0.5777), H</w:t>
      </w:r>
      <w:r>
        <w:rPr>
          <w:rFonts w:ascii="Times New Roman" w:hAnsi="Times New Roman" w:cs="Times New Roman"/>
          <w:vertAlign w:val="subscript"/>
          <w:lang w:val="nl-BE"/>
        </w:rPr>
        <w:t>2</w:t>
      </w:r>
      <w:r>
        <w:rPr>
          <w:rFonts w:ascii="Times New Roman" w:hAnsi="Times New Roman" w:cs="Times New Roman"/>
          <w:lang w:val="nl-BE"/>
        </w:rPr>
        <w:t xml:space="preserve">S (test for funnel plot asymmetry: </w:t>
      </w:r>
      <w:r>
        <w:rPr>
          <w:rFonts w:ascii="Times New Roman" w:hAnsi="Times New Roman" w:cs="Times New Roman"/>
          <w:i/>
          <w:iCs/>
          <w:lang w:val="nl-BE"/>
        </w:rPr>
        <w:t>Z</w:t>
      </w:r>
      <w:r>
        <w:rPr>
          <w:rFonts w:ascii="Times New Roman" w:hAnsi="Times New Roman" w:cs="Times New Roman"/>
          <w:lang w:val="nl-BE"/>
        </w:rPr>
        <w:t xml:space="preserve"> = −0.5567, </w:t>
      </w:r>
      <w:r>
        <w:rPr>
          <w:rFonts w:ascii="Times New Roman" w:hAnsi="Times New Roman" w:cs="Times New Roman"/>
          <w:i/>
          <w:iCs/>
          <w:lang w:val="nl-BE"/>
        </w:rPr>
        <w:t>P</w:t>
      </w:r>
      <w:r>
        <w:rPr>
          <w:rFonts w:ascii="Times New Roman" w:hAnsi="Times New Roman" w:cs="Times New Roman"/>
          <w:lang w:val="nl-BE"/>
        </w:rPr>
        <w:t xml:space="preserve"> = 0.5777), and VOCs (test for funnel plot asymmetry: </w:t>
      </w:r>
      <w:r>
        <w:rPr>
          <w:rFonts w:ascii="Times New Roman" w:hAnsi="Times New Roman" w:cs="Times New Roman"/>
          <w:i/>
          <w:iCs/>
          <w:lang w:val="nl-BE"/>
        </w:rPr>
        <w:t>Z</w:t>
      </w:r>
      <w:r>
        <w:rPr>
          <w:rFonts w:ascii="Times New Roman" w:hAnsi="Times New Roman" w:cs="Times New Roman"/>
          <w:lang w:val="nl-BE"/>
        </w:rPr>
        <w:t xml:space="preserve"> = −0.5567, </w:t>
      </w:r>
      <w:r>
        <w:rPr>
          <w:rFonts w:ascii="Times New Roman" w:hAnsi="Times New Roman" w:cs="Times New Roman"/>
          <w:i/>
          <w:iCs/>
          <w:lang w:val="nl-BE"/>
        </w:rPr>
        <w:t>P</w:t>
      </w:r>
      <w:r>
        <w:rPr>
          <w:rFonts w:ascii="Times New Roman" w:hAnsi="Times New Roman" w:cs="Times New Roman"/>
          <w:lang w:val="nl-BE"/>
        </w:rPr>
        <w:t xml:space="preserve"> = 0.5777).</w:t>
      </w:r>
    </w:p>
    <w:p w14:paraId="0708FC63">
      <w:pPr>
        <w:rPr>
          <w:rFonts w:ascii="Times New Roman" w:hAnsi="Times New Roman" w:cs="Times New Roman"/>
          <w:b/>
          <w:bCs/>
          <w:lang w:val="nl-BE"/>
        </w:rPr>
      </w:pPr>
    </w:p>
    <w:p w14:paraId="5DCA6CC9">
      <w:pPr>
        <w:spacing w:after="0"/>
        <w:rPr>
          <w:rFonts w:ascii="Times New Roman" w:hAnsi="Times New Roman" w:cs="Times New Roman"/>
        </w:rPr>
      </w:pPr>
      <w:bookmarkStart w:id="9" w:name="_Hlk175736082"/>
      <w:r>
        <w:rPr>
          <w:rFonts w:ascii="Times New Roman" w:hAnsi="Times New Roman" w:cs="Times New Roman"/>
          <w:b/>
        </w:rPr>
        <w:t>Table S1</w:t>
      </w:r>
      <w:r>
        <w:rPr>
          <w:rFonts w:ascii="Times New Roman" w:hAnsi="Times New Roman" w:cs="Times New Roman"/>
        </w:rPr>
        <w:t xml:space="preserve"> Types of control measures extracted from the selected articles and explored in the present meta-analysis</w:t>
      </w:r>
    </w:p>
    <w:bookmarkEnd w:id="9"/>
    <w:tbl>
      <w:tblPr>
        <w:tblStyle w:val="8"/>
        <w:tblW w:w="11456"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50"/>
        <w:gridCol w:w="8306"/>
      </w:tblGrid>
      <w:tr w14:paraId="051339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3150" w:type="dxa"/>
            <w:tcBorders>
              <w:top w:val="single" w:color="auto" w:sz="12" w:space="0"/>
              <w:bottom w:val="single" w:color="auto" w:sz="8" w:space="0"/>
            </w:tcBorders>
          </w:tcPr>
          <w:p w14:paraId="4827E244">
            <w:pPr>
              <w:spacing w:after="0" w:line="240" w:lineRule="auto"/>
              <w:rPr>
                <w:rFonts w:ascii="Times New Roman" w:hAnsi="Times New Roman" w:cs="Times New Roman"/>
              </w:rPr>
            </w:pPr>
            <w:r>
              <w:rPr>
                <w:rFonts w:ascii="Times New Roman" w:hAnsi="Times New Roman" w:cs="Times New Roman"/>
              </w:rPr>
              <w:t>Category</w:t>
            </w:r>
          </w:p>
        </w:tc>
        <w:tc>
          <w:tcPr>
            <w:tcW w:w="8306" w:type="dxa"/>
            <w:tcBorders>
              <w:top w:val="single" w:color="auto" w:sz="12" w:space="0"/>
              <w:bottom w:val="single" w:color="auto" w:sz="8" w:space="0"/>
            </w:tcBorders>
          </w:tcPr>
          <w:p w14:paraId="79297F04">
            <w:pPr>
              <w:spacing w:after="0" w:line="240" w:lineRule="auto"/>
              <w:rPr>
                <w:rFonts w:ascii="Times New Roman" w:hAnsi="Times New Roman" w:cs="Times New Roman"/>
              </w:rPr>
            </w:pPr>
            <w:r>
              <w:rPr>
                <w:rFonts w:ascii="Times New Roman" w:hAnsi="Times New Roman" w:cs="Times New Roman"/>
              </w:rPr>
              <w:t xml:space="preserve">Type of management measures </w:t>
            </w:r>
          </w:p>
        </w:tc>
      </w:tr>
      <w:tr w14:paraId="3FE9AE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3150" w:type="dxa"/>
            <w:tcBorders>
              <w:top w:val="single" w:color="auto" w:sz="8" w:space="0"/>
            </w:tcBorders>
          </w:tcPr>
          <w:p w14:paraId="5F7005D1">
            <w:pPr>
              <w:spacing w:after="0" w:line="360" w:lineRule="auto"/>
              <w:rPr>
                <w:rFonts w:ascii="Times New Roman" w:hAnsi="Times New Roman" w:cs="Times New Roman"/>
              </w:rPr>
            </w:pPr>
            <w:r>
              <w:rPr>
                <w:rFonts w:ascii="Times New Roman" w:hAnsi="Times New Roman" w:cs="Times New Roman"/>
              </w:rPr>
              <w:t>Biological management measures</w:t>
            </w:r>
          </w:p>
        </w:tc>
        <w:tc>
          <w:tcPr>
            <w:tcW w:w="8306" w:type="dxa"/>
            <w:tcBorders>
              <w:top w:val="single" w:color="auto" w:sz="8" w:space="0"/>
            </w:tcBorders>
          </w:tcPr>
          <w:p w14:paraId="18B83388">
            <w:pPr>
              <w:spacing w:after="0" w:line="360" w:lineRule="auto"/>
              <w:jc w:val="both"/>
              <w:rPr>
                <w:rFonts w:ascii="Times New Roman" w:hAnsi="Times New Roman" w:cs="Times New Roman"/>
              </w:rPr>
            </w:pPr>
            <w:r>
              <w:rPr>
                <w:rFonts w:ascii="Times New Roman" w:hAnsi="Times New Roman" w:cs="Times New Roman"/>
              </w:rPr>
              <w:t>Microbial inoculants, fungal biofilters, black soldier fly larvae conversion, and earthworms.</w:t>
            </w:r>
          </w:p>
        </w:tc>
      </w:tr>
      <w:tr w14:paraId="101082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7" w:hRule="atLeast"/>
        </w:trPr>
        <w:tc>
          <w:tcPr>
            <w:tcW w:w="3150" w:type="dxa"/>
          </w:tcPr>
          <w:p w14:paraId="222D21B2">
            <w:pPr>
              <w:spacing w:after="0" w:line="360" w:lineRule="auto"/>
              <w:rPr>
                <w:rFonts w:ascii="Times New Roman" w:hAnsi="Times New Roman" w:cs="Times New Roman"/>
              </w:rPr>
            </w:pPr>
            <w:r>
              <w:rPr>
                <w:rFonts w:ascii="Times New Roman" w:hAnsi="Times New Roman" w:cs="Times New Roman"/>
              </w:rPr>
              <w:t>Chemical management measures</w:t>
            </w:r>
          </w:p>
        </w:tc>
        <w:tc>
          <w:tcPr>
            <w:tcW w:w="8306" w:type="dxa"/>
          </w:tcPr>
          <w:p w14:paraId="106B98F8">
            <w:pPr>
              <w:spacing w:after="0" w:line="360" w:lineRule="auto"/>
              <w:jc w:val="both"/>
              <w:rPr>
                <w:rFonts w:ascii="Times New Roman" w:hAnsi="Times New Roman" w:cs="Times New Roman"/>
              </w:rPr>
            </w:pPr>
            <w:r>
              <w:rPr>
                <w:rFonts w:ascii="Times New Roman" w:hAnsi="Times New Roman" w:cs="Times New Roman"/>
              </w:rPr>
              <w:t>Sodium sulphite, phosphoric acid, sulphuric acid, ferrous sulfate, magnesium chloride, potassium hydrogen phosphate, phosphoric acid,  magnesium hydroxide, potassium phosphate, magnesium sulfate, calcium dihydrogen phosphate, magnesium sulfate, pelelith, calcium magnesium phosphate, potassium peroxodisulfate, phosphogypsum and dicyandiamide, superphosphate, vinegar, lactic acid, sulfamethoxazole, norfloxacin, L-cysteine, L-methionine, urease inhibitor, nitrification inhibitor, activated peroxodisulfate, leachate, lignite, calcium carbonate, acetic acid, ammonium molybdate, and sodium nitrite, ferric chloride, potassium chloride, and sodium bicarbonate.</w:t>
            </w:r>
          </w:p>
        </w:tc>
      </w:tr>
      <w:tr w14:paraId="3990AC4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trPr>
        <w:tc>
          <w:tcPr>
            <w:tcW w:w="3150" w:type="dxa"/>
          </w:tcPr>
          <w:p w14:paraId="5117A780">
            <w:pPr>
              <w:spacing w:after="0" w:line="360" w:lineRule="auto"/>
              <w:rPr>
                <w:rFonts w:ascii="Times New Roman" w:hAnsi="Times New Roman" w:cs="Times New Roman"/>
              </w:rPr>
            </w:pPr>
            <w:r>
              <w:rPr>
                <w:rFonts w:ascii="Times New Roman" w:hAnsi="Times New Roman" w:cs="Times New Roman"/>
              </w:rPr>
              <w:t>Physical management measures</w:t>
            </w:r>
          </w:p>
        </w:tc>
        <w:tc>
          <w:tcPr>
            <w:tcW w:w="8306" w:type="dxa"/>
          </w:tcPr>
          <w:p w14:paraId="564EF971">
            <w:pPr>
              <w:spacing w:after="0" w:line="360" w:lineRule="auto"/>
              <w:jc w:val="both"/>
              <w:rPr>
                <w:rFonts w:ascii="Times New Roman" w:hAnsi="Times New Roman" w:cs="Times New Roman"/>
              </w:rPr>
            </w:pPr>
            <w:r>
              <w:rPr>
                <w:rFonts w:ascii="Times New Roman" w:hAnsi="Times New Roman" w:cs="Times New Roman"/>
              </w:rPr>
              <w:t>Biochar, ceramsite, zeolite, clay,  medical stone, lime, bentonite, nano iron, hydrothermal carbonation, bean dregs, beer lees, garden waste, sawdust, woodchips, spent mushroom substrate, spent coffee grounds, mature compost, barley straw, lupin residues, biogas residue, coffee pulp, branch, yard trimmings, cotton gin waste, farm bedding, and magnetite.</w:t>
            </w:r>
          </w:p>
        </w:tc>
      </w:tr>
      <w:tr w14:paraId="73AA4F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4" w:hRule="atLeast"/>
        </w:trPr>
        <w:tc>
          <w:tcPr>
            <w:tcW w:w="3150" w:type="dxa"/>
          </w:tcPr>
          <w:p w14:paraId="553BC214">
            <w:pPr>
              <w:spacing w:after="0" w:line="360" w:lineRule="auto"/>
              <w:rPr>
                <w:rFonts w:ascii="Times New Roman" w:hAnsi="Times New Roman" w:cs="Times New Roman"/>
              </w:rPr>
            </w:pPr>
            <w:r>
              <w:rPr>
                <w:rFonts w:ascii="Times New Roman" w:hAnsi="Times New Roman" w:cs="Times New Roman"/>
              </w:rPr>
              <w:t>Mechanical management measures</w:t>
            </w:r>
          </w:p>
        </w:tc>
        <w:tc>
          <w:tcPr>
            <w:tcW w:w="8306" w:type="dxa"/>
          </w:tcPr>
          <w:p w14:paraId="2DB6A789">
            <w:pPr>
              <w:spacing w:after="0" w:line="360" w:lineRule="auto"/>
              <w:jc w:val="both"/>
              <w:rPr>
                <w:rFonts w:ascii="Times New Roman" w:hAnsi="Times New Roman" w:cs="Times New Roman"/>
              </w:rPr>
            </w:pPr>
            <w:r>
              <w:rPr>
                <w:rFonts w:ascii="Times New Roman" w:hAnsi="Times New Roman" w:cs="Times New Roman"/>
              </w:rPr>
              <w:t>Biotrickling filters, pressure aeration, electric field, functional membrane cover, gasification filter cake, turning operation, free air space, and nylon mesh bag.</w:t>
            </w:r>
          </w:p>
        </w:tc>
      </w:tr>
    </w:tbl>
    <w:p w14:paraId="33A90013">
      <w:pPr>
        <w:rPr>
          <w:rFonts w:ascii="Times New Roman" w:hAnsi="Times New Roman" w:cs="Times New Roman"/>
        </w:rPr>
      </w:pPr>
    </w:p>
    <w:p w14:paraId="780CB166">
      <w:pPr>
        <w:rPr>
          <w:rFonts w:ascii="Times New Roman" w:hAnsi="Times New Roman" w:cs="Times New Roman"/>
          <w:b/>
          <w:bCs/>
        </w:rPr>
      </w:pPr>
    </w:p>
    <w:p w14:paraId="731C428D">
      <w:pPr>
        <w:spacing w:line="360" w:lineRule="auto"/>
        <w:jc w:val="both"/>
        <w:rPr>
          <w:rFonts w:ascii="Times New Roman" w:hAnsi="Times New Roman" w:cs="Times New Roman"/>
          <w:b/>
          <w:bCs/>
          <w:color w:val="000000" w:themeColor="text1"/>
          <w:lang w:val="nl-BE"/>
          <w14:textFill>
            <w14:solidFill>
              <w14:schemeClr w14:val="tx1"/>
            </w14:solidFill>
          </w14:textFill>
        </w:rPr>
      </w:pPr>
    </w:p>
    <w:p w14:paraId="01D6598D">
      <w:pPr>
        <w:spacing w:line="360" w:lineRule="auto"/>
        <w:jc w:val="both"/>
        <w:rPr>
          <w:rFonts w:ascii="Times New Roman" w:hAnsi="Times New Roman" w:cs="Times New Roman"/>
          <w:b/>
          <w:bCs/>
          <w:color w:val="000000" w:themeColor="text1"/>
          <w:lang w:val="nl-BE"/>
          <w14:textFill>
            <w14:solidFill>
              <w14:schemeClr w14:val="tx1"/>
            </w14:solidFill>
          </w14:textFill>
        </w:rPr>
      </w:pPr>
    </w:p>
    <w:p w14:paraId="097784F3">
      <w:pPr>
        <w:spacing w:line="360" w:lineRule="auto"/>
        <w:jc w:val="both"/>
        <w:rPr>
          <w:rFonts w:ascii="Times New Roman" w:hAnsi="Times New Roman" w:cs="Times New Roman"/>
          <w:b/>
          <w:bCs/>
          <w:color w:val="000000" w:themeColor="text1"/>
          <w:lang w:val="nl-BE"/>
          <w14:textFill>
            <w14:solidFill>
              <w14:schemeClr w14:val="tx1"/>
            </w14:solidFill>
          </w14:textFill>
        </w:rPr>
      </w:pPr>
    </w:p>
    <w:p w14:paraId="1367ACAE">
      <w:pPr>
        <w:spacing w:line="360" w:lineRule="auto"/>
        <w:jc w:val="both"/>
        <w:rPr>
          <w:rFonts w:ascii="Times New Roman" w:hAnsi="Times New Roman" w:cs="Times New Roman"/>
          <w:b/>
          <w:bCs/>
          <w:color w:val="000000" w:themeColor="text1"/>
          <w:lang w:val="nl-BE"/>
          <w14:textFill>
            <w14:solidFill>
              <w14:schemeClr w14:val="tx1"/>
            </w14:solidFill>
          </w14:textFill>
        </w:rPr>
      </w:pPr>
    </w:p>
    <w:p w14:paraId="163DB3B6">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lang w:val="nl-BE"/>
          <w14:textFill>
            <w14:solidFill>
              <w14:schemeClr w14:val="tx1"/>
            </w14:solidFill>
          </w14:textFill>
        </w:rPr>
        <w:t>Table S2</w:t>
      </w:r>
      <w:r>
        <w:rPr>
          <w:rFonts w:ascii="Times New Roman" w:hAnsi="Times New Roman" w:cs="Times New Roman"/>
          <w:color w:val="000000" w:themeColor="text1"/>
          <w:lang w:val="nl-BE"/>
          <w14:textFill>
            <w14:solidFill>
              <w14:schemeClr w14:val="tx1"/>
            </w14:solidFill>
          </w14:textFill>
        </w:rPr>
        <w:t xml:space="preserve"> Explanation of study author and published year, composting feedstock, bulking agents, mitigation approaches, applied rate, and composting mode extracted from the selected articles and then included in this meta-analysis</w:t>
      </w:r>
    </w:p>
    <w:tbl>
      <w:tblPr>
        <w:tblStyle w:val="8"/>
        <w:tblW w:w="13038" w:type="dxa"/>
        <w:tblInd w:w="-459"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7"/>
        <w:gridCol w:w="1909"/>
        <w:gridCol w:w="682"/>
        <w:gridCol w:w="1416"/>
        <w:gridCol w:w="1805"/>
        <w:gridCol w:w="2900"/>
        <w:gridCol w:w="1800"/>
        <w:gridCol w:w="1959"/>
      </w:tblGrid>
      <w:tr w14:paraId="6E714F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auto" w:sz="12" w:space="0"/>
              <w:bottom w:val="single" w:color="auto" w:sz="8" w:space="0"/>
            </w:tcBorders>
            <w:noWrap/>
          </w:tcPr>
          <w:p w14:paraId="7AEF2EF3">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ID</w:t>
            </w:r>
          </w:p>
        </w:tc>
        <w:tc>
          <w:tcPr>
            <w:tcW w:w="1909" w:type="dxa"/>
            <w:tcBorders>
              <w:top w:val="single" w:color="auto" w:sz="12" w:space="0"/>
              <w:bottom w:val="single" w:color="auto" w:sz="8" w:space="0"/>
            </w:tcBorders>
            <w:noWrap/>
          </w:tcPr>
          <w:p w14:paraId="6A11546A">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Study</w:t>
            </w:r>
          </w:p>
        </w:tc>
        <w:tc>
          <w:tcPr>
            <w:tcW w:w="682" w:type="dxa"/>
            <w:tcBorders>
              <w:top w:val="single" w:color="auto" w:sz="12" w:space="0"/>
              <w:bottom w:val="single" w:color="auto" w:sz="8" w:space="0"/>
            </w:tcBorders>
            <w:noWrap/>
          </w:tcPr>
          <w:p w14:paraId="5A1B8846">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Year</w:t>
            </w:r>
          </w:p>
        </w:tc>
        <w:tc>
          <w:tcPr>
            <w:tcW w:w="1416" w:type="dxa"/>
            <w:tcBorders>
              <w:top w:val="single" w:color="auto" w:sz="12" w:space="0"/>
              <w:bottom w:val="single" w:color="auto" w:sz="8" w:space="0"/>
            </w:tcBorders>
            <w:noWrap/>
          </w:tcPr>
          <w:p w14:paraId="5F1278E0">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Composting feedstock</w:t>
            </w:r>
          </w:p>
        </w:tc>
        <w:tc>
          <w:tcPr>
            <w:tcW w:w="1805" w:type="dxa"/>
            <w:tcBorders>
              <w:top w:val="single" w:color="auto" w:sz="12" w:space="0"/>
              <w:bottom w:val="single" w:color="auto" w:sz="8" w:space="0"/>
            </w:tcBorders>
            <w:noWrap/>
          </w:tcPr>
          <w:p w14:paraId="480A6591">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Type of bulking agent </w:t>
            </w:r>
          </w:p>
        </w:tc>
        <w:tc>
          <w:tcPr>
            <w:tcW w:w="2900" w:type="dxa"/>
            <w:tcBorders>
              <w:top w:val="single" w:color="auto" w:sz="12" w:space="0"/>
              <w:bottom w:val="single" w:color="auto" w:sz="8" w:space="0"/>
            </w:tcBorders>
            <w:noWrap/>
          </w:tcPr>
          <w:p w14:paraId="75C58C66">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Type of treatment/mitigation approach</w:t>
            </w:r>
          </w:p>
        </w:tc>
        <w:tc>
          <w:tcPr>
            <w:tcW w:w="1800" w:type="dxa"/>
            <w:tcBorders>
              <w:top w:val="single" w:color="auto" w:sz="12" w:space="0"/>
              <w:bottom w:val="single" w:color="auto" w:sz="8" w:space="0"/>
            </w:tcBorders>
            <w:noWrap/>
          </w:tcPr>
          <w:p w14:paraId="6085BAAB">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Applied rate (%)</w:t>
            </w:r>
          </w:p>
        </w:tc>
        <w:tc>
          <w:tcPr>
            <w:tcW w:w="1959" w:type="dxa"/>
            <w:tcBorders>
              <w:top w:val="single" w:color="auto" w:sz="12" w:space="0"/>
              <w:bottom w:val="single" w:color="auto" w:sz="8" w:space="0"/>
            </w:tcBorders>
            <w:noWrap/>
          </w:tcPr>
          <w:p w14:paraId="0A5E46DD">
            <w:pPr>
              <w:spacing w:after="0" w:line="360"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 xml:space="preserve">Mode of composting </w:t>
            </w:r>
          </w:p>
        </w:tc>
      </w:tr>
      <w:tr w14:paraId="336EC0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auto" w:sz="8" w:space="0"/>
            </w:tcBorders>
            <w:noWrap/>
          </w:tcPr>
          <w:p w14:paraId="397879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09" w:type="dxa"/>
            <w:tcBorders>
              <w:top w:val="single" w:color="auto" w:sz="8" w:space="0"/>
            </w:tcBorders>
            <w:noWrap/>
          </w:tcPr>
          <w:p w14:paraId="3F7375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Tian et al. (</w:t>
            </w:r>
            <w:r>
              <w:rPr>
                <w:rFonts w:ascii="Times New Roman" w:hAnsi="Times New Roman" w:cs="Times New Roman"/>
                <w:sz w:val="20"/>
                <w:szCs w:val="20"/>
              </w:rPr>
              <w:t>2023)</w:t>
            </w:r>
          </w:p>
        </w:tc>
        <w:tc>
          <w:tcPr>
            <w:tcW w:w="682" w:type="dxa"/>
            <w:tcBorders>
              <w:top w:val="single" w:color="auto" w:sz="8" w:space="0"/>
            </w:tcBorders>
            <w:noWrap/>
          </w:tcPr>
          <w:p w14:paraId="073CFA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tcBorders>
              <w:top w:val="single" w:color="auto" w:sz="8" w:space="0"/>
            </w:tcBorders>
            <w:noWrap/>
          </w:tcPr>
          <w:p w14:paraId="5F40D5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Sewage sludge </w:t>
            </w:r>
          </w:p>
        </w:tc>
        <w:tc>
          <w:tcPr>
            <w:tcW w:w="1805" w:type="dxa"/>
            <w:tcBorders>
              <w:top w:val="single" w:color="auto" w:sz="8" w:space="0"/>
            </w:tcBorders>
            <w:noWrap/>
          </w:tcPr>
          <w:p w14:paraId="3B2821C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Peanut hull</w:t>
            </w:r>
          </w:p>
        </w:tc>
        <w:tc>
          <w:tcPr>
            <w:tcW w:w="2900" w:type="dxa"/>
            <w:tcBorders>
              <w:top w:val="single" w:color="auto" w:sz="8" w:space="0"/>
            </w:tcBorders>
            <w:noWrap/>
          </w:tcPr>
          <w:p w14:paraId="02103C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Biotrickling filters </w:t>
            </w:r>
          </w:p>
        </w:tc>
        <w:tc>
          <w:tcPr>
            <w:tcW w:w="1800" w:type="dxa"/>
            <w:tcBorders>
              <w:top w:val="single" w:color="auto" w:sz="8" w:space="0"/>
            </w:tcBorders>
            <w:noWrap/>
          </w:tcPr>
          <w:p w14:paraId="219E68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tcBorders>
              <w:top w:val="single" w:color="auto" w:sz="8" w:space="0"/>
            </w:tcBorders>
            <w:noWrap/>
          </w:tcPr>
          <w:p w14:paraId="210132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305797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B353E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09" w:type="dxa"/>
            <w:noWrap/>
          </w:tcPr>
          <w:p w14:paraId="0F1B9C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Tian et al. (</w:t>
            </w:r>
            <w:r>
              <w:rPr>
                <w:rFonts w:ascii="Times New Roman" w:hAnsi="Times New Roman" w:cs="Times New Roman"/>
                <w:sz w:val="20"/>
                <w:szCs w:val="20"/>
              </w:rPr>
              <w:t>2023)</w:t>
            </w:r>
          </w:p>
        </w:tc>
        <w:tc>
          <w:tcPr>
            <w:tcW w:w="682" w:type="dxa"/>
            <w:noWrap/>
          </w:tcPr>
          <w:p w14:paraId="1DB78F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CD4CB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Sewage sludge </w:t>
            </w:r>
          </w:p>
        </w:tc>
        <w:tc>
          <w:tcPr>
            <w:tcW w:w="1805" w:type="dxa"/>
            <w:noWrap/>
          </w:tcPr>
          <w:p w14:paraId="2F1AA8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Peanut hull</w:t>
            </w:r>
          </w:p>
        </w:tc>
        <w:tc>
          <w:tcPr>
            <w:tcW w:w="2900" w:type="dxa"/>
            <w:noWrap/>
          </w:tcPr>
          <w:p w14:paraId="144E66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Fungal biofilters </w:t>
            </w:r>
          </w:p>
        </w:tc>
        <w:tc>
          <w:tcPr>
            <w:tcW w:w="1800" w:type="dxa"/>
            <w:noWrap/>
          </w:tcPr>
          <w:p w14:paraId="4F3F299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9974CE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7CC1CB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380F4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09" w:type="dxa"/>
            <w:noWrap/>
          </w:tcPr>
          <w:p w14:paraId="13B61F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Maulini-Duran et al. (</w:t>
            </w:r>
            <w:r>
              <w:rPr>
                <w:rFonts w:ascii="Times New Roman" w:hAnsi="Times New Roman" w:cs="Times New Roman"/>
                <w:sz w:val="20"/>
                <w:szCs w:val="20"/>
              </w:rPr>
              <w:t>2013)</w:t>
            </w:r>
          </w:p>
        </w:tc>
        <w:tc>
          <w:tcPr>
            <w:tcW w:w="682" w:type="dxa"/>
            <w:noWrap/>
          </w:tcPr>
          <w:p w14:paraId="486427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05DB55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Sewage sludge </w:t>
            </w:r>
          </w:p>
        </w:tc>
        <w:tc>
          <w:tcPr>
            <w:tcW w:w="1805" w:type="dxa"/>
            <w:noWrap/>
          </w:tcPr>
          <w:p w14:paraId="502626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 Woodchips</w:t>
            </w:r>
          </w:p>
        </w:tc>
        <w:tc>
          <w:tcPr>
            <w:tcW w:w="2900" w:type="dxa"/>
            <w:noWrap/>
          </w:tcPr>
          <w:p w14:paraId="3C57E5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713E5B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42</w:t>
            </w:r>
          </w:p>
        </w:tc>
        <w:tc>
          <w:tcPr>
            <w:tcW w:w="1959" w:type="dxa"/>
            <w:noWrap/>
          </w:tcPr>
          <w:p w14:paraId="6E4881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B7E74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11DCB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09" w:type="dxa"/>
            <w:noWrap/>
          </w:tcPr>
          <w:p w14:paraId="621AC3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Cao et al. (</w:t>
            </w:r>
            <w:r>
              <w:rPr>
                <w:rFonts w:ascii="Times New Roman" w:hAnsi="Times New Roman" w:cs="Times New Roman"/>
                <w:sz w:val="20"/>
                <w:szCs w:val="20"/>
              </w:rPr>
              <w:t>2020)</w:t>
            </w:r>
          </w:p>
        </w:tc>
        <w:tc>
          <w:tcPr>
            <w:tcW w:w="682" w:type="dxa"/>
            <w:noWrap/>
          </w:tcPr>
          <w:p w14:paraId="6C2EF6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32BD9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0C66D3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03E1F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Sulphuric acid </w:t>
            </w:r>
          </w:p>
        </w:tc>
        <w:tc>
          <w:tcPr>
            <w:tcW w:w="1800" w:type="dxa"/>
            <w:noWrap/>
          </w:tcPr>
          <w:p w14:paraId="74A272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44999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F30A7A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6AF86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09" w:type="dxa"/>
            <w:noWrap/>
          </w:tcPr>
          <w:p w14:paraId="065BE6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Cao et al. (</w:t>
            </w:r>
            <w:r>
              <w:rPr>
                <w:rFonts w:ascii="Times New Roman" w:hAnsi="Times New Roman" w:cs="Times New Roman"/>
                <w:sz w:val="20"/>
                <w:szCs w:val="20"/>
              </w:rPr>
              <w:t>2020)</w:t>
            </w:r>
          </w:p>
        </w:tc>
        <w:tc>
          <w:tcPr>
            <w:tcW w:w="682" w:type="dxa"/>
            <w:noWrap/>
          </w:tcPr>
          <w:p w14:paraId="2E0032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3776FA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71C720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AF8EF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Sulphuric acid </w:t>
            </w:r>
          </w:p>
        </w:tc>
        <w:tc>
          <w:tcPr>
            <w:tcW w:w="1800" w:type="dxa"/>
            <w:noWrap/>
          </w:tcPr>
          <w:p w14:paraId="22D1FD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2AD609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556089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8A5DA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09" w:type="dxa"/>
            <w:noWrap/>
          </w:tcPr>
          <w:p w14:paraId="0DE61F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Cao et al. (</w:t>
            </w:r>
            <w:r>
              <w:rPr>
                <w:rFonts w:ascii="Times New Roman" w:hAnsi="Times New Roman" w:cs="Times New Roman"/>
                <w:sz w:val="20"/>
                <w:szCs w:val="20"/>
              </w:rPr>
              <w:t>2020)</w:t>
            </w:r>
          </w:p>
        </w:tc>
        <w:tc>
          <w:tcPr>
            <w:tcW w:w="682" w:type="dxa"/>
            <w:noWrap/>
          </w:tcPr>
          <w:p w14:paraId="0DE57B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96A52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5899D2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694553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Sodium hydroxide </w:t>
            </w:r>
          </w:p>
        </w:tc>
        <w:tc>
          <w:tcPr>
            <w:tcW w:w="1800" w:type="dxa"/>
            <w:noWrap/>
          </w:tcPr>
          <w:p w14:paraId="31DCA5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DCA53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54B4B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57FA9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09" w:type="dxa"/>
            <w:noWrap/>
          </w:tcPr>
          <w:p w14:paraId="746567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w:t>
            </w:r>
            <w:r>
              <w:rPr>
                <w:rFonts w:ascii="Times New Roman" w:hAnsi="Times New Roman" w:cs="Times New Roman"/>
                <w:sz w:val="20"/>
                <w:szCs w:val="20"/>
              </w:rPr>
              <w:t>2023)</w:t>
            </w:r>
          </w:p>
        </w:tc>
        <w:tc>
          <w:tcPr>
            <w:tcW w:w="682" w:type="dxa"/>
            <w:noWrap/>
          </w:tcPr>
          <w:p w14:paraId="55784D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DFE7C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Silkworm excrement</w:t>
            </w:r>
          </w:p>
        </w:tc>
        <w:tc>
          <w:tcPr>
            <w:tcW w:w="1805" w:type="dxa"/>
            <w:noWrap/>
          </w:tcPr>
          <w:p w14:paraId="3D09F09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Mulberry branches</w:t>
            </w:r>
          </w:p>
        </w:tc>
        <w:tc>
          <w:tcPr>
            <w:tcW w:w="2900" w:type="dxa"/>
            <w:noWrap/>
          </w:tcPr>
          <w:p w14:paraId="79D6E3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297C8E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2C6D68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1F68D1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931B4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09" w:type="dxa"/>
            <w:noWrap/>
          </w:tcPr>
          <w:p w14:paraId="09FB29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w:t>
            </w:r>
            <w:r>
              <w:rPr>
                <w:rFonts w:ascii="Times New Roman" w:hAnsi="Times New Roman" w:cs="Times New Roman"/>
                <w:sz w:val="20"/>
                <w:szCs w:val="20"/>
              </w:rPr>
              <w:t>2023)</w:t>
            </w:r>
          </w:p>
        </w:tc>
        <w:tc>
          <w:tcPr>
            <w:tcW w:w="682" w:type="dxa"/>
            <w:noWrap/>
          </w:tcPr>
          <w:p w14:paraId="56551A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E43E3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Silkworm excrement</w:t>
            </w:r>
          </w:p>
        </w:tc>
        <w:tc>
          <w:tcPr>
            <w:tcW w:w="1805" w:type="dxa"/>
            <w:noWrap/>
          </w:tcPr>
          <w:p w14:paraId="1DAC2F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Mulberry branches</w:t>
            </w:r>
          </w:p>
        </w:tc>
        <w:tc>
          <w:tcPr>
            <w:tcW w:w="2900" w:type="dxa"/>
            <w:noWrap/>
          </w:tcPr>
          <w:p w14:paraId="4D4C5A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297C2C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511D69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5EB4A8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833C0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09" w:type="dxa"/>
            <w:noWrap/>
          </w:tcPr>
          <w:p w14:paraId="393074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w:t>
            </w:r>
            <w:r>
              <w:rPr>
                <w:rFonts w:ascii="Times New Roman" w:hAnsi="Times New Roman" w:cs="Times New Roman"/>
                <w:sz w:val="20"/>
                <w:szCs w:val="20"/>
              </w:rPr>
              <w:t>2023)</w:t>
            </w:r>
          </w:p>
        </w:tc>
        <w:tc>
          <w:tcPr>
            <w:tcW w:w="682" w:type="dxa"/>
            <w:noWrap/>
          </w:tcPr>
          <w:p w14:paraId="76E393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E1BCD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8AE09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A8877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58C4959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3AA1CE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9349D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5F80E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09" w:type="dxa"/>
            <w:noWrap/>
          </w:tcPr>
          <w:p w14:paraId="212B05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w:t>
            </w:r>
            <w:r>
              <w:rPr>
                <w:rFonts w:ascii="Times New Roman" w:hAnsi="Times New Roman" w:cs="Times New Roman"/>
                <w:sz w:val="20"/>
                <w:szCs w:val="20"/>
              </w:rPr>
              <w:t>2023)</w:t>
            </w:r>
          </w:p>
        </w:tc>
        <w:tc>
          <w:tcPr>
            <w:tcW w:w="682" w:type="dxa"/>
            <w:noWrap/>
          </w:tcPr>
          <w:p w14:paraId="2932FA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51870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9D5E9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96566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0E92B5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2B4AE9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AA017F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4315A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09" w:type="dxa"/>
            <w:noWrap/>
          </w:tcPr>
          <w:p w14:paraId="21722F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He et al. (</w:t>
            </w:r>
            <w:r>
              <w:rPr>
                <w:rFonts w:ascii="Times New Roman" w:hAnsi="Times New Roman" w:cs="Times New Roman"/>
                <w:sz w:val="20"/>
                <w:szCs w:val="20"/>
              </w:rPr>
              <w:t>2020)</w:t>
            </w:r>
          </w:p>
        </w:tc>
        <w:tc>
          <w:tcPr>
            <w:tcW w:w="682" w:type="dxa"/>
            <w:noWrap/>
          </w:tcPr>
          <w:p w14:paraId="4B5025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F9996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09F7FC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5C6EB9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6BC636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E4EB2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D08A4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EDD4D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w:t>
            </w:r>
          </w:p>
        </w:tc>
        <w:tc>
          <w:tcPr>
            <w:tcW w:w="1909" w:type="dxa"/>
            <w:noWrap/>
          </w:tcPr>
          <w:p w14:paraId="6B0CF0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Xue et al. (</w:t>
            </w:r>
            <w:r>
              <w:rPr>
                <w:rFonts w:ascii="Times New Roman" w:hAnsi="Times New Roman" w:cs="Times New Roman"/>
                <w:sz w:val="20"/>
                <w:szCs w:val="20"/>
              </w:rPr>
              <w:t>2021)</w:t>
            </w:r>
          </w:p>
        </w:tc>
        <w:tc>
          <w:tcPr>
            <w:tcW w:w="682" w:type="dxa"/>
            <w:noWrap/>
          </w:tcPr>
          <w:p w14:paraId="383CC2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71C7D8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2672D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4658F4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6C5E1C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DB7AE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2E2DA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1F421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w:t>
            </w:r>
          </w:p>
        </w:tc>
        <w:tc>
          <w:tcPr>
            <w:tcW w:w="1909" w:type="dxa"/>
            <w:noWrap/>
          </w:tcPr>
          <w:p w14:paraId="052131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Xue et al. (</w:t>
            </w:r>
            <w:r>
              <w:rPr>
                <w:rFonts w:ascii="Times New Roman" w:hAnsi="Times New Roman" w:cs="Times New Roman"/>
                <w:sz w:val="20"/>
                <w:szCs w:val="20"/>
              </w:rPr>
              <w:t>2021)</w:t>
            </w:r>
          </w:p>
        </w:tc>
        <w:tc>
          <w:tcPr>
            <w:tcW w:w="682" w:type="dxa"/>
            <w:noWrap/>
          </w:tcPr>
          <w:p w14:paraId="76B403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0E24DD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3E546D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457417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2C0233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59" w:type="dxa"/>
            <w:noWrap/>
          </w:tcPr>
          <w:p w14:paraId="46F1C4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72288E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1681C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w:t>
            </w:r>
          </w:p>
        </w:tc>
        <w:tc>
          <w:tcPr>
            <w:tcW w:w="1909" w:type="dxa"/>
            <w:noWrap/>
          </w:tcPr>
          <w:p w14:paraId="209378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Xue et al. (</w:t>
            </w:r>
            <w:r>
              <w:rPr>
                <w:rFonts w:ascii="Times New Roman" w:hAnsi="Times New Roman" w:cs="Times New Roman"/>
                <w:sz w:val="20"/>
                <w:szCs w:val="20"/>
              </w:rPr>
              <w:t>2021)</w:t>
            </w:r>
          </w:p>
        </w:tc>
        <w:tc>
          <w:tcPr>
            <w:tcW w:w="682" w:type="dxa"/>
            <w:noWrap/>
          </w:tcPr>
          <w:p w14:paraId="463B52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23DB4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337D31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53AE059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 and microbial inoculants</w:t>
            </w:r>
          </w:p>
        </w:tc>
        <w:tc>
          <w:tcPr>
            <w:tcW w:w="1800" w:type="dxa"/>
            <w:noWrap/>
          </w:tcPr>
          <w:p w14:paraId="11816F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28B274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9406E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DC11D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w:t>
            </w:r>
          </w:p>
        </w:tc>
        <w:tc>
          <w:tcPr>
            <w:tcW w:w="1909" w:type="dxa"/>
            <w:noWrap/>
          </w:tcPr>
          <w:p w14:paraId="3967DB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Xue et al. (</w:t>
            </w:r>
            <w:r>
              <w:rPr>
                <w:rFonts w:ascii="Times New Roman" w:hAnsi="Times New Roman" w:cs="Times New Roman"/>
                <w:sz w:val="20"/>
                <w:szCs w:val="20"/>
              </w:rPr>
              <w:t>2021)</w:t>
            </w:r>
          </w:p>
        </w:tc>
        <w:tc>
          <w:tcPr>
            <w:tcW w:w="682" w:type="dxa"/>
            <w:noWrap/>
          </w:tcPr>
          <w:p w14:paraId="3A4EE3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16B26F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141CAC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3CCB6E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242B25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59" w:type="dxa"/>
            <w:noWrap/>
          </w:tcPr>
          <w:p w14:paraId="045E7D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BBAB4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4F242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w:t>
            </w:r>
          </w:p>
        </w:tc>
        <w:tc>
          <w:tcPr>
            <w:tcW w:w="1909" w:type="dxa"/>
            <w:noWrap/>
          </w:tcPr>
          <w:p w14:paraId="6806B8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Xue et al. (</w:t>
            </w:r>
            <w:r>
              <w:rPr>
                <w:rFonts w:ascii="Times New Roman" w:hAnsi="Times New Roman" w:cs="Times New Roman"/>
                <w:sz w:val="20"/>
                <w:szCs w:val="20"/>
              </w:rPr>
              <w:t>2021)</w:t>
            </w:r>
          </w:p>
        </w:tc>
        <w:tc>
          <w:tcPr>
            <w:tcW w:w="682" w:type="dxa"/>
            <w:noWrap/>
          </w:tcPr>
          <w:p w14:paraId="6207BA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82150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68CF98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161521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 and microbial inoculants</w:t>
            </w:r>
          </w:p>
        </w:tc>
        <w:tc>
          <w:tcPr>
            <w:tcW w:w="1800" w:type="dxa"/>
            <w:noWrap/>
          </w:tcPr>
          <w:p w14:paraId="0265AA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59" w:type="dxa"/>
            <w:noWrap/>
          </w:tcPr>
          <w:p w14:paraId="24427A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BED1C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85046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w:t>
            </w:r>
          </w:p>
        </w:tc>
        <w:tc>
          <w:tcPr>
            <w:tcW w:w="1909" w:type="dxa"/>
            <w:noWrap/>
          </w:tcPr>
          <w:p w14:paraId="6C52F8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w:t>
            </w:r>
            <w:r>
              <w:rPr>
                <w:rFonts w:ascii="Times New Roman" w:hAnsi="Times New Roman" w:cs="Times New Roman"/>
                <w:sz w:val="20"/>
                <w:szCs w:val="20"/>
              </w:rPr>
              <w:t>2022)</w:t>
            </w:r>
          </w:p>
        </w:tc>
        <w:tc>
          <w:tcPr>
            <w:tcW w:w="682" w:type="dxa"/>
            <w:noWrap/>
          </w:tcPr>
          <w:p w14:paraId="37B4FD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389CC0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BFC20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614A04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3026CC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4664C2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DC89AA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32E62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w:t>
            </w:r>
          </w:p>
        </w:tc>
        <w:tc>
          <w:tcPr>
            <w:tcW w:w="1909" w:type="dxa"/>
            <w:noWrap/>
          </w:tcPr>
          <w:p w14:paraId="1A6886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w:t>
            </w:r>
            <w:r>
              <w:rPr>
                <w:rFonts w:ascii="Times New Roman" w:hAnsi="Times New Roman" w:cs="Times New Roman"/>
                <w:sz w:val="20"/>
                <w:szCs w:val="20"/>
              </w:rPr>
              <w:t>2021a)</w:t>
            </w:r>
          </w:p>
        </w:tc>
        <w:tc>
          <w:tcPr>
            <w:tcW w:w="682" w:type="dxa"/>
            <w:noWrap/>
          </w:tcPr>
          <w:p w14:paraId="51FB40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EEFD8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FCE2E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5F7E7F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1800" w:type="dxa"/>
            <w:noWrap/>
          </w:tcPr>
          <w:p w14:paraId="57337C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1A57C9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BDEB3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57699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w:t>
            </w:r>
          </w:p>
        </w:tc>
        <w:tc>
          <w:tcPr>
            <w:tcW w:w="1909" w:type="dxa"/>
            <w:noWrap/>
          </w:tcPr>
          <w:p w14:paraId="7EF33F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w:t>
            </w:r>
            <w:r>
              <w:rPr>
                <w:rFonts w:ascii="Times New Roman" w:hAnsi="Times New Roman" w:cs="Times New Roman"/>
                <w:sz w:val="20"/>
                <w:szCs w:val="20"/>
              </w:rPr>
              <w:t>2021a)</w:t>
            </w:r>
          </w:p>
        </w:tc>
        <w:tc>
          <w:tcPr>
            <w:tcW w:w="682" w:type="dxa"/>
            <w:noWrap/>
          </w:tcPr>
          <w:p w14:paraId="346835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30E9C3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8D7E9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mushroom substrate</w:t>
            </w:r>
          </w:p>
        </w:tc>
        <w:tc>
          <w:tcPr>
            <w:tcW w:w="2900" w:type="dxa"/>
            <w:noWrap/>
          </w:tcPr>
          <w:p w14:paraId="5B6DD5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mushroom substrate</w:t>
            </w:r>
          </w:p>
        </w:tc>
        <w:tc>
          <w:tcPr>
            <w:tcW w:w="1800" w:type="dxa"/>
            <w:noWrap/>
          </w:tcPr>
          <w:p w14:paraId="189AA2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35B182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E3397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F4E7C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09" w:type="dxa"/>
            <w:noWrap/>
          </w:tcPr>
          <w:p w14:paraId="0F3BF3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w:t>
            </w:r>
            <w:r>
              <w:rPr>
                <w:rFonts w:ascii="Times New Roman" w:hAnsi="Times New Roman" w:cs="Times New Roman"/>
                <w:sz w:val="20"/>
                <w:szCs w:val="20"/>
              </w:rPr>
              <w:t>2021a)</w:t>
            </w:r>
          </w:p>
        </w:tc>
        <w:tc>
          <w:tcPr>
            <w:tcW w:w="682" w:type="dxa"/>
            <w:noWrap/>
          </w:tcPr>
          <w:p w14:paraId="00D9E3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1D42765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56EC99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Garden waste </w:t>
            </w:r>
          </w:p>
        </w:tc>
        <w:tc>
          <w:tcPr>
            <w:tcW w:w="2900" w:type="dxa"/>
            <w:noWrap/>
          </w:tcPr>
          <w:p w14:paraId="10CB1F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423EB7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36</w:t>
            </w:r>
          </w:p>
        </w:tc>
        <w:tc>
          <w:tcPr>
            <w:tcW w:w="1959" w:type="dxa"/>
            <w:noWrap/>
          </w:tcPr>
          <w:p w14:paraId="68C280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6B9E3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0D932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09" w:type="dxa"/>
            <w:noWrap/>
          </w:tcPr>
          <w:p w14:paraId="23DDB5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w:t>
            </w:r>
            <w:r>
              <w:rPr>
                <w:rFonts w:ascii="Times New Roman" w:hAnsi="Times New Roman" w:cs="Times New Roman"/>
                <w:sz w:val="20"/>
                <w:szCs w:val="20"/>
              </w:rPr>
              <w:t>2021a)</w:t>
            </w:r>
          </w:p>
        </w:tc>
        <w:tc>
          <w:tcPr>
            <w:tcW w:w="682" w:type="dxa"/>
            <w:noWrap/>
          </w:tcPr>
          <w:p w14:paraId="14E3BE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1A528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D32FF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Garden waste </w:t>
            </w:r>
          </w:p>
        </w:tc>
        <w:tc>
          <w:tcPr>
            <w:tcW w:w="2900" w:type="dxa"/>
            <w:noWrap/>
          </w:tcPr>
          <w:p w14:paraId="649FCA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15A67A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48</w:t>
            </w:r>
          </w:p>
        </w:tc>
        <w:tc>
          <w:tcPr>
            <w:tcW w:w="1959" w:type="dxa"/>
            <w:noWrap/>
          </w:tcPr>
          <w:p w14:paraId="541782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620BC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953C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w:t>
            </w:r>
          </w:p>
        </w:tc>
        <w:tc>
          <w:tcPr>
            <w:tcW w:w="1909" w:type="dxa"/>
            <w:noWrap/>
          </w:tcPr>
          <w:p w14:paraId="017EB3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Qi et al. (</w:t>
            </w:r>
            <w:r>
              <w:rPr>
                <w:rFonts w:ascii="Times New Roman" w:hAnsi="Times New Roman" w:cs="Times New Roman"/>
                <w:sz w:val="20"/>
                <w:szCs w:val="20"/>
              </w:rPr>
              <w:t>2022)</w:t>
            </w:r>
          </w:p>
        </w:tc>
        <w:tc>
          <w:tcPr>
            <w:tcW w:w="682" w:type="dxa"/>
            <w:noWrap/>
          </w:tcPr>
          <w:p w14:paraId="2DEE9B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5B08DE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E5A79A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Garden waste </w:t>
            </w:r>
          </w:p>
        </w:tc>
        <w:tc>
          <w:tcPr>
            <w:tcW w:w="2900" w:type="dxa"/>
            <w:noWrap/>
          </w:tcPr>
          <w:p w14:paraId="0D7B95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6C9CC4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49C3EE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52570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C6C46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w:t>
            </w:r>
          </w:p>
        </w:tc>
        <w:tc>
          <w:tcPr>
            <w:tcW w:w="1909" w:type="dxa"/>
            <w:noWrap/>
          </w:tcPr>
          <w:p w14:paraId="72DD25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Qi et al. (</w:t>
            </w:r>
            <w:r>
              <w:rPr>
                <w:rFonts w:ascii="Times New Roman" w:hAnsi="Times New Roman" w:cs="Times New Roman"/>
                <w:sz w:val="20"/>
                <w:szCs w:val="20"/>
              </w:rPr>
              <w:t>2022)</w:t>
            </w:r>
          </w:p>
        </w:tc>
        <w:tc>
          <w:tcPr>
            <w:tcW w:w="682" w:type="dxa"/>
            <w:noWrap/>
          </w:tcPr>
          <w:p w14:paraId="4E0744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7D524B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D0364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Garden waste </w:t>
            </w:r>
          </w:p>
        </w:tc>
        <w:tc>
          <w:tcPr>
            <w:tcW w:w="2900" w:type="dxa"/>
            <w:noWrap/>
          </w:tcPr>
          <w:p w14:paraId="6A4988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Lime and microbial inoculants</w:t>
            </w:r>
          </w:p>
        </w:tc>
        <w:tc>
          <w:tcPr>
            <w:tcW w:w="1800" w:type="dxa"/>
            <w:noWrap/>
          </w:tcPr>
          <w:p w14:paraId="694CB7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59" w:type="dxa"/>
            <w:noWrap/>
          </w:tcPr>
          <w:p w14:paraId="6D44BB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642FDF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DD8F4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09" w:type="dxa"/>
            <w:noWrap/>
          </w:tcPr>
          <w:p w14:paraId="0C7C9D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w:t>
            </w:r>
            <w:r>
              <w:rPr>
                <w:rFonts w:ascii="Times New Roman" w:hAnsi="Times New Roman" w:cs="Times New Roman"/>
                <w:sz w:val="20"/>
                <w:szCs w:val="20"/>
              </w:rPr>
              <w:t>2021)</w:t>
            </w:r>
          </w:p>
        </w:tc>
        <w:tc>
          <w:tcPr>
            <w:tcW w:w="682" w:type="dxa"/>
            <w:noWrap/>
          </w:tcPr>
          <w:p w14:paraId="44CD60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04FF71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4CD8F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05968F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470285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0.3</w:t>
            </w:r>
          </w:p>
        </w:tc>
        <w:tc>
          <w:tcPr>
            <w:tcW w:w="1959" w:type="dxa"/>
            <w:noWrap/>
          </w:tcPr>
          <w:p w14:paraId="73E73E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6842D6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E9DB5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09" w:type="dxa"/>
            <w:noWrap/>
          </w:tcPr>
          <w:p w14:paraId="62F013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w:t>
            </w:r>
            <w:r>
              <w:rPr>
                <w:rFonts w:ascii="Times New Roman" w:hAnsi="Times New Roman" w:cs="Times New Roman"/>
                <w:sz w:val="20"/>
                <w:szCs w:val="20"/>
              </w:rPr>
              <w:t>2021)</w:t>
            </w:r>
          </w:p>
        </w:tc>
        <w:tc>
          <w:tcPr>
            <w:tcW w:w="682" w:type="dxa"/>
            <w:noWrap/>
          </w:tcPr>
          <w:p w14:paraId="719320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6DC9F4C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D8EA5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28297E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35D5079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0.6</w:t>
            </w:r>
          </w:p>
        </w:tc>
        <w:tc>
          <w:tcPr>
            <w:tcW w:w="1959" w:type="dxa"/>
            <w:noWrap/>
          </w:tcPr>
          <w:p w14:paraId="4DEB59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7CAB4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4C4B6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09" w:type="dxa"/>
            <w:noWrap/>
          </w:tcPr>
          <w:p w14:paraId="6C0288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w:t>
            </w:r>
            <w:r>
              <w:rPr>
                <w:rFonts w:ascii="Times New Roman" w:hAnsi="Times New Roman" w:cs="Times New Roman"/>
                <w:sz w:val="20"/>
                <w:szCs w:val="20"/>
              </w:rPr>
              <w:t>2021)</w:t>
            </w:r>
          </w:p>
        </w:tc>
        <w:tc>
          <w:tcPr>
            <w:tcW w:w="682" w:type="dxa"/>
            <w:noWrap/>
          </w:tcPr>
          <w:p w14:paraId="422D55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09032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BBF2B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334C6A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1EDE99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0.9</w:t>
            </w:r>
          </w:p>
        </w:tc>
        <w:tc>
          <w:tcPr>
            <w:tcW w:w="1959" w:type="dxa"/>
            <w:noWrap/>
          </w:tcPr>
          <w:p w14:paraId="6795AD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37967D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E2FA5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09" w:type="dxa"/>
            <w:noWrap/>
          </w:tcPr>
          <w:p w14:paraId="6852DB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w:t>
            </w:r>
            <w:r>
              <w:rPr>
                <w:rFonts w:ascii="Times New Roman" w:hAnsi="Times New Roman" w:cs="Times New Roman"/>
                <w:sz w:val="20"/>
                <w:szCs w:val="20"/>
              </w:rPr>
              <w:t>2021)</w:t>
            </w:r>
          </w:p>
        </w:tc>
        <w:tc>
          <w:tcPr>
            <w:tcW w:w="682" w:type="dxa"/>
            <w:noWrap/>
          </w:tcPr>
          <w:p w14:paraId="59BD21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10C111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10C08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73D2F4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1F1775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24B553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18F05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F7691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66AA0A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791111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3DA58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3DAE9F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526D7D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Ceramsite</w:t>
            </w:r>
          </w:p>
        </w:tc>
        <w:tc>
          <w:tcPr>
            <w:tcW w:w="1800" w:type="dxa"/>
            <w:noWrap/>
          </w:tcPr>
          <w:p w14:paraId="3B2DFE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AAC8F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3467C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73995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7DEC7F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6DD84C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DB270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63CB76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2E2789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Ceramsite</w:t>
            </w:r>
          </w:p>
        </w:tc>
        <w:tc>
          <w:tcPr>
            <w:tcW w:w="1800" w:type="dxa"/>
            <w:noWrap/>
          </w:tcPr>
          <w:p w14:paraId="3B7560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49AD4B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39E011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9CDC9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6B7718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114908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718479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2D1AFD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5FBB3638">
            <w:pPr>
              <w:spacing w:after="0" w:line="360" w:lineRule="auto"/>
              <w:rPr>
                <w:rFonts w:ascii="Times New Roman" w:hAnsi="Times New Roman" w:cs="Times New Roman"/>
                <w:color w:val="000000" w:themeColor="text1"/>
                <w:sz w:val="20"/>
                <w:szCs w:val="20"/>
                <w14:textFill>
                  <w14:solidFill>
                    <w14:schemeClr w14:val="tx1"/>
                  </w14:solidFill>
                </w14:textFill>
              </w:rPr>
            </w:pPr>
            <w:bookmarkStart w:id="10" w:name="OLE_LINK1"/>
            <w:bookmarkStart w:id="11" w:name="OLE_LINK2"/>
            <w:r>
              <w:rPr>
                <w:rFonts w:ascii="Times New Roman" w:hAnsi="Times New Roman" w:cs="Times New Roman"/>
                <w:color w:val="000000" w:themeColor="text1"/>
                <w:sz w:val="20"/>
                <w:szCs w:val="20"/>
                <w14:textFill>
                  <w14:solidFill>
                    <w14:schemeClr w14:val="tx1"/>
                  </w14:solidFill>
                </w14:textFill>
              </w:rPr>
              <w:t>Beer lees</w:t>
            </w:r>
            <w:bookmarkEnd w:id="10"/>
            <w:bookmarkEnd w:id="11"/>
          </w:p>
        </w:tc>
        <w:tc>
          <w:tcPr>
            <w:tcW w:w="1800" w:type="dxa"/>
            <w:noWrap/>
          </w:tcPr>
          <w:p w14:paraId="124374B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7C6B02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BB2C3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C2915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1EBA1F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1001AE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33DFE1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038523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4EE80A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Ceramsite</w:t>
            </w:r>
          </w:p>
        </w:tc>
        <w:tc>
          <w:tcPr>
            <w:tcW w:w="1800" w:type="dxa"/>
            <w:noWrap/>
          </w:tcPr>
          <w:p w14:paraId="592801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0A38C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C70043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998A3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12C1E8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0FC2B3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6C7BAE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2FAD79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7C7692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1800" w:type="dxa"/>
            <w:noWrap/>
          </w:tcPr>
          <w:p w14:paraId="4B8CA8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1B39DD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4CFEEE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CAA86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080326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338994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2430A2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4FE321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4FA806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1800" w:type="dxa"/>
            <w:noWrap/>
          </w:tcPr>
          <w:p w14:paraId="0CB57A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59" w:type="dxa"/>
            <w:noWrap/>
          </w:tcPr>
          <w:p w14:paraId="13CBA9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7FD8D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63D56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3CB135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69C804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6192AC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1A5E41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754049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1800" w:type="dxa"/>
            <w:noWrap/>
          </w:tcPr>
          <w:p w14:paraId="7131C7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59" w:type="dxa"/>
            <w:noWrap/>
          </w:tcPr>
          <w:p w14:paraId="330E80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DC83F7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6F4DA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w:t>
            </w:r>
          </w:p>
        </w:tc>
        <w:tc>
          <w:tcPr>
            <w:tcW w:w="1909" w:type="dxa"/>
            <w:noWrap/>
          </w:tcPr>
          <w:p w14:paraId="5E1B29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w:t>
            </w:r>
            <w:r>
              <w:rPr>
                <w:rFonts w:ascii="Times New Roman" w:hAnsi="Times New Roman" w:cs="Times New Roman"/>
                <w:sz w:val="20"/>
                <w:szCs w:val="20"/>
              </w:rPr>
              <w:t>2021)</w:t>
            </w:r>
          </w:p>
        </w:tc>
        <w:tc>
          <w:tcPr>
            <w:tcW w:w="682" w:type="dxa"/>
            <w:noWrap/>
          </w:tcPr>
          <w:p w14:paraId="43F5D5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0B5524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Green waste </w:t>
            </w:r>
          </w:p>
        </w:tc>
        <w:tc>
          <w:tcPr>
            <w:tcW w:w="1805" w:type="dxa"/>
            <w:noWrap/>
          </w:tcPr>
          <w:p w14:paraId="5780D1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Beer lees</w:t>
            </w:r>
          </w:p>
        </w:tc>
        <w:tc>
          <w:tcPr>
            <w:tcW w:w="2900" w:type="dxa"/>
            <w:noWrap/>
          </w:tcPr>
          <w:p w14:paraId="7320D5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Ceramsite</w:t>
            </w:r>
          </w:p>
        </w:tc>
        <w:tc>
          <w:tcPr>
            <w:tcW w:w="1800" w:type="dxa"/>
            <w:noWrap/>
          </w:tcPr>
          <w:p w14:paraId="36B539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327FFA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845E7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97281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14</w:t>
            </w:r>
          </w:p>
        </w:tc>
        <w:tc>
          <w:tcPr>
            <w:tcW w:w="1909" w:type="dxa"/>
            <w:noWrap/>
          </w:tcPr>
          <w:p w14:paraId="22D650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w:t>
            </w:r>
            <w:r>
              <w:rPr>
                <w:rFonts w:ascii="Times New Roman" w:hAnsi="Times New Roman" w:cs="Times New Roman"/>
                <w:sz w:val="20"/>
                <w:szCs w:val="20"/>
              </w:rPr>
              <w:t>2018)</w:t>
            </w:r>
          </w:p>
        </w:tc>
        <w:tc>
          <w:tcPr>
            <w:tcW w:w="682" w:type="dxa"/>
            <w:noWrap/>
          </w:tcPr>
          <w:p w14:paraId="07F83C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02191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6C36FE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59A6CC4D">
            <w:pPr>
              <w:spacing w:after="0" w:line="360" w:lineRule="auto"/>
              <w:rPr>
                <w:rFonts w:ascii="Times New Roman" w:hAnsi="Times New Roman" w:cs="Times New Roman"/>
                <w:color w:val="000000" w:themeColor="text1"/>
                <w:sz w:val="20"/>
                <w:szCs w:val="20"/>
                <w14:textFill>
                  <w14:solidFill>
                    <w14:schemeClr w14:val="tx1"/>
                  </w14:solidFill>
                </w14:textFill>
              </w:rPr>
            </w:pPr>
            <w:bookmarkStart w:id="12" w:name="OLE_LINK3"/>
            <w:bookmarkStart w:id="13" w:name="OLE_LINK4"/>
            <w:r>
              <w:rPr>
                <w:rFonts w:ascii="Times New Roman" w:hAnsi="Times New Roman" w:cs="Times New Roman"/>
                <w:color w:val="000000" w:themeColor="text1"/>
                <w:sz w:val="20"/>
                <w:szCs w:val="20"/>
                <w14:textFill>
                  <w14:solidFill>
                    <w14:schemeClr w14:val="tx1"/>
                  </w14:solidFill>
                </w14:textFill>
              </w:rPr>
              <w:t>Pelelith</w:t>
            </w:r>
            <w:bookmarkEnd w:id="12"/>
            <w:bookmarkEnd w:id="13"/>
          </w:p>
        </w:tc>
        <w:tc>
          <w:tcPr>
            <w:tcW w:w="1800" w:type="dxa"/>
            <w:noWrap/>
          </w:tcPr>
          <w:p w14:paraId="680CA3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2A0B22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AC0BF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A6C08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14</w:t>
            </w:r>
          </w:p>
        </w:tc>
        <w:tc>
          <w:tcPr>
            <w:tcW w:w="1909" w:type="dxa"/>
            <w:noWrap/>
          </w:tcPr>
          <w:p w14:paraId="4B7D68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w:t>
            </w:r>
            <w:r>
              <w:rPr>
                <w:rFonts w:ascii="Times New Roman" w:hAnsi="Times New Roman" w:cs="Times New Roman"/>
                <w:sz w:val="20"/>
                <w:szCs w:val="20"/>
              </w:rPr>
              <w:t>2018)</w:t>
            </w:r>
          </w:p>
        </w:tc>
        <w:tc>
          <w:tcPr>
            <w:tcW w:w="682" w:type="dxa"/>
            <w:noWrap/>
          </w:tcPr>
          <w:p w14:paraId="67A55F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5E9929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5A770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31562E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Pelelith and dicyandiamide </w:t>
            </w:r>
          </w:p>
        </w:tc>
        <w:tc>
          <w:tcPr>
            <w:tcW w:w="1800" w:type="dxa"/>
            <w:noWrap/>
          </w:tcPr>
          <w:p w14:paraId="6F606C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0.5</w:t>
            </w:r>
          </w:p>
        </w:tc>
        <w:tc>
          <w:tcPr>
            <w:tcW w:w="1959" w:type="dxa"/>
            <w:noWrap/>
          </w:tcPr>
          <w:p w14:paraId="55E1D9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BFAC57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981D0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09" w:type="dxa"/>
            <w:noWrap/>
          </w:tcPr>
          <w:p w14:paraId="059D40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Sánchez-García et al. (</w:t>
            </w:r>
            <w:r>
              <w:rPr>
                <w:rFonts w:ascii="Times New Roman" w:hAnsi="Times New Roman" w:cs="Times New Roman"/>
                <w:sz w:val="20"/>
                <w:szCs w:val="20"/>
              </w:rPr>
              <w:t>2015)</w:t>
            </w:r>
          </w:p>
        </w:tc>
        <w:tc>
          <w:tcPr>
            <w:tcW w:w="682" w:type="dxa"/>
            <w:noWrap/>
          </w:tcPr>
          <w:p w14:paraId="794FCA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2015</w:t>
            </w:r>
          </w:p>
        </w:tc>
        <w:tc>
          <w:tcPr>
            <w:tcW w:w="1416" w:type="dxa"/>
            <w:noWrap/>
          </w:tcPr>
          <w:p w14:paraId="055B52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60D047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Barley  straw</w:t>
            </w:r>
          </w:p>
        </w:tc>
        <w:tc>
          <w:tcPr>
            <w:tcW w:w="2900" w:type="dxa"/>
            <w:noWrap/>
          </w:tcPr>
          <w:p w14:paraId="3B35D3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4C9E23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59" w:type="dxa"/>
            <w:noWrap/>
          </w:tcPr>
          <w:p w14:paraId="2ACE8C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0A55D8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CC572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w:t>
            </w:r>
          </w:p>
        </w:tc>
        <w:tc>
          <w:tcPr>
            <w:tcW w:w="1909" w:type="dxa"/>
            <w:noWrap/>
          </w:tcPr>
          <w:p w14:paraId="4D667A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w:t>
            </w:r>
            <w:r>
              <w:rPr>
                <w:rFonts w:ascii="Times New Roman" w:hAnsi="Times New Roman" w:cs="Times New Roman"/>
                <w:sz w:val="20"/>
                <w:szCs w:val="20"/>
              </w:rPr>
              <w:t>2022)</w:t>
            </w:r>
          </w:p>
        </w:tc>
        <w:tc>
          <w:tcPr>
            <w:tcW w:w="682" w:type="dxa"/>
            <w:noWrap/>
          </w:tcPr>
          <w:p w14:paraId="29D454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BCCF4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5DE2F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69027A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64EEFB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4F7BB97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00FA63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4AA45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w:t>
            </w:r>
          </w:p>
        </w:tc>
        <w:tc>
          <w:tcPr>
            <w:tcW w:w="1909" w:type="dxa"/>
            <w:noWrap/>
          </w:tcPr>
          <w:p w14:paraId="7EB118E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w:t>
            </w:r>
            <w:r>
              <w:rPr>
                <w:rFonts w:ascii="Times New Roman" w:hAnsi="Times New Roman" w:cs="Times New Roman"/>
                <w:sz w:val="20"/>
                <w:szCs w:val="20"/>
              </w:rPr>
              <w:t>2022)</w:t>
            </w:r>
          </w:p>
        </w:tc>
        <w:tc>
          <w:tcPr>
            <w:tcW w:w="682" w:type="dxa"/>
            <w:noWrap/>
          </w:tcPr>
          <w:p w14:paraId="5EC49E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27FE33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1E2CF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73FD74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Ferrous sulfate</w:t>
            </w:r>
          </w:p>
        </w:tc>
        <w:tc>
          <w:tcPr>
            <w:tcW w:w="1800" w:type="dxa"/>
            <w:noWrap/>
          </w:tcPr>
          <w:p w14:paraId="5B031B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806B0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26341C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50FCC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w:t>
            </w:r>
          </w:p>
        </w:tc>
        <w:tc>
          <w:tcPr>
            <w:tcW w:w="1909" w:type="dxa"/>
            <w:noWrap/>
          </w:tcPr>
          <w:p w14:paraId="07464A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w:t>
            </w:r>
            <w:r>
              <w:rPr>
                <w:rFonts w:ascii="Times New Roman" w:hAnsi="Times New Roman" w:cs="Times New Roman"/>
                <w:sz w:val="20"/>
                <w:szCs w:val="20"/>
              </w:rPr>
              <w:t>2022)</w:t>
            </w:r>
          </w:p>
        </w:tc>
        <w:tc>
          <w:tcPr>
            <w:tcW w:w="682" w:type="dxa"/>
            <w:noWrap/>
          </w:tcPr>
          <w:p w14:paraId="563D49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458D96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B37F8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36C3DC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ferrous sulfate</w:t>
            </w:r>
          </w:p>
        </w:tc>
        <w:tc>
          <w:tcPr>
            <w:tcW w:w="1800" w:type="dxa"/>
            <w:noWrap/>
          </w:tcPr>
          <w:p w14:paraId="36BF9B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5360EC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4B7890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496F4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17</w:t>
            </w:r>
          </w:p>
        </w:tc>
        <w:tc>
          <w:tcPr>
            <w:tcW w:w="1909" w:type="dxa"/>
            <w:noWrap/>
          </w:tcPr>
          <w:p w14:paraId="0AC25A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Gong et al. (</w:t>
            </w:r>
            <w:r>
              <w:rPr>
                <w:rFonts w:ascii="Times New Roman" w:hAnsi="Times New Roman" w:cs="Times New Roman"/>
                <w:sz w:val="20"/>
                <w:szCs w:val="20"/>
              </w:rPr>
              <w:t>2023)</w:t>
            </w:r>
          </w:p>
        </w:tc>
        <w:tc>
          <w:tcPr>
            <w:tcW w:w="682" w:type="dxa"/>
            <w:noWrap/>
          </w:tcPr>
          <w:p w14:paraId="4FFA79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4D41C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33CD59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straw</w:t>
            </w:r>
          </w:p>
        </w:tc>
        <w:tc>
          <w:tcPr>
            <w:tcW w:w="2900" w:type="dxa"/>
            <w:noWrap/>
          </w:tcPr>
          <w:p w14:paraId="4242EA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Bamboo biochar </w:t>
            </w:r>
          </w:p>
        </w:tc>
        <w:tc>
          <w:tcPr>
            <w:tcW w:w="1800" w:type="dxa"/>
            <w:noWrap/>
          </w:tcPr>
          <w:p w14:paraId="662268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432ABB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79CBD8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34F93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17</w:t>
            </w:r>
          </w:p>
        </w:tc>
        <w:tc>
          <w:tcPr>
            <w:tcW w:w="1909" w:type="dxa"/>
            <w:noWrap/>
          </w:tcPr>
          <w:p w14:paraId="64EA7C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Gong et al. (</w:t>
            </w:r>
            <w:r>
              <w:rPr>
                <w:rFonts w:ascii="Times New Roman" w:hAnsi="Times New Roman" w:cs="Times New Roman"/>
                <w:sz w:val="20"/>
                <w:szCs w:val="20"/>
              </w:rPr>
              <w:t>2023)</w:t>
            </w:r>
          </w:p>
        </w:tc>
        <w:tc>
          <w:tcPr>
            <w:tcW w:w="682" w:type="dxa"/>
            <w:noWrap/>
          </w:tcPr>
          <w:p w14:paraId="49D8D83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DB7BA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28ADCF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straw</w:t>
            </w:r>
          </w:p>
        </w:tc>
        <w:tc>
          <w:tcPr>
            <w:tcW w:w="2900" w:type="dxa"/>
            <w:noWrap/>
          </w:tcPr>
          <w:p w14:paraId="7E5445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Bamboo biochar </w:t>
            </w:r>
          </w:p>
        </w:tc>
        <w:tc>
          <w:tcPr>
            <w:tcW w:w="1800" w:type="dxa"/>
            <w:noWrap/>
          </w:tcPr>
          <w:p w14:paraId="59478F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7684F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031F8C4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BFFCE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17</w:t>
            </w:r>
          </w:p>
        </w:tc>
        <w:tc>
          <w:tcPr>
            <w:tcW w:w="1909" w:type="dxa"/>
            <w:noWrap/>
          </w:tcPr>
          <w:p w14:paraId="51F1F9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Gong et al. (</w:t>
            </w:r>
            <w:r>
              <w:rPr>
                <w:rFonts w:ascii="Times New Roman" w:hAnsi="Times New Roman" w:cs="Times New Roman"/>
                <w:sz w:val="20"/>
                <w:szCs w:val="20"/>
              </w:rPr>
              <w:t>2023)</w:t>
            </w:r>
          </w:p>
        </w:tc>
        <w:tc>
          <w:tcPr>
            <w:tcW w:w="682" w:type="dxa"/>
            <w:noWrap/>
          </w:tcPr>
          <w:p w14:paraId="09380B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59C0B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55FF04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straw</w:t>
            </w:r>
          </w:p>
        </w:tc>
        <w:tc>
          <w:tcPr>
            <w:tcW w:w="2900" w:type="dxa"/>
            <w:noWrap/>
          </w:tcPr>
          <w:p w14:paraId="6F425C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 biochar</w:t>
            </w:r>
          </w:p>
        </w:tc>
        <w:tc>
          <w:tcPr>
            <w:tcW w:w="1800" w:type="dxa"/>
            <w:noWrap/>
          </w:tcPr>
          <w:p w14:paraId="0579EF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B769B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C034C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806BD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17</w:t>
            </w:r>
          </w:p>
        </w:tc>
        <w:tc>
          <w:tcPr>
            <w:tcW w:w="1909" w:type="dxa"/>
            <w:noWrap/>
          </w:tcPr>
          <w:p w14:paraId="5BB839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Gong et al. (</w:t>
            </w:r>
            <w:r>
              <w:rPr>
                <w:rFonts w:ascii="Times New Roman" w:hAnsi="Times New Roman" w:cs="Times New Roman"/>
                <w:sz w:val="20"/>
                <w:szCs w:val="20"/>
              </w:rPr>
              <w:t>2023)</w:t>
            </w:r>
          </w:p>
        </w:tc>
        <w:tc>
          <w:tcPr>
            <w:tcW w:w="682" w:type="dxa"/>
            <w:noWrap/>
          </w:tcPr>
          <w:p w14:paraId="7B3448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536A2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1EC695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straw</w:t>
            </w:r>
          </w:p>
        </w:tc>
        <w:tc>
          <w:tcPr>
            <w:tcW w:w="2900" w:type="dxa"/>
            <w:noWrap/>
          </w:tcPr>
          <w:p w14:paraId="368509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 biochar</w:t>
            </w:r>
          </w:p>
        </w:tc>
        <w:tc>
          <w:tcPr>
            <w:tcW w:w="1800" w:type="dxa"/>
            <w:noWrap/>
          </w:tcPr>
          <w:p w14:paraId="049214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91E71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28AF566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04FD7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18</w:t>
            </w:r>
          </w:p>
        </w:tc>
        <w:tc>
          <w:tcPr>
            <w:tcW w:w="1909" w:type="dxa"/>
            <w:noWrap/>
          </w:tcPr>
          <w:p w14:paraId="52C2E7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Janczak et al. (</w:t>
            </w:r>
            <w:r>
              <w:rPr>
                <w:rFonts w:ascii="Times New Roman" w:hAnsi="Times New Roman" w:cs="Times New Roman"/>
                <w:sz w:val="20"/>
                <w:szCs w:val="20"/>
              </w:rPr>
              <w:t>2017)</w:t>
            </w:r>
          </w:p>
        </w:tc>
        <w:tc>
          <w:tcPr>
            <w:tcW w:w="682" w:type="dxa"/>
            <w:noWrap/>
          </w:tcPr>
          <w:p w14:paraId="2DA095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736CAE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0A4A5F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96A41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5F512E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5EB5CFD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1A2A5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C6EDD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18</w:t>
            </w:r>
          </w:p>
        </w:tc>
        <w:tc>
          <w:tcPr>
            <w:tcW w:w="1909" w:type="dxa"/>
            <w:noWrap/>
          </w:tcPr>
          <w:p w14:paraId="5B773A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Janczak et al. (</w:t>
            </w:r>
            <w:r>
              <w:rPr>
                <w:rFonts w:ascii="Times New Roman" w:hAnsi="Times New Roman" w:cs="Times New Roman"/>
                <w:sz w:val="20"/>
                <w:szCs w:val="20"/>
              </w:rPr>
              <w:t>2017)</w:t>
            </w:r>
          </w:p>
        </w:tc>
        <w:tc>
          <w:tcPr>
            <w:tcW w:w="682" w:type="dxa"/>
            <w:noWrap/>
          </w:tcPr>
          <w:p w14:paraId="45835D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65D7CE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1471CDC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E9B39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516591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FA597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A6319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9EBF8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w:t>
            </w:r>
          </w:p>
        </w:tc>
        <w:tc>
          <w:tcPr>
            <w:tcW w:w="1909" w:type="dxa"/>
            <w:noWrap/>
          </w:tcPr>
          <w:p w14:paraId="4E19B0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Ravindran et al. (</w:t>
            </w:r>
            <w:r>
              <w:rPr>
                <w:rFonts w:ascii="Times New Roman" w:hAnsi="Times New Roman" w:cs="Times New Roman"/>
                <w:sz w:val="20"/>
                <w:szCs w:val="20"/>
              </w:rPr>
              <w:t>2022)</w:t>
            </w:r>
          </w:p>
        </w:tc>
        <w:tc>
          <w:tcPr>
            <w:tcW w:w="682" w:type="dxa"/>
            <w:noWrap/>
          </w:tcPr>
          <w:p w14:paraId="3A7C58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CB245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072BA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4F156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Magnesium chloride and potassium hydrogen phosphate</w:t>
            </w:r>
          </w:p>
        </w:tc>
        <w:tc>
          <w:tcPr>
            <w:tcW w:w="1800" w:type="dxa"/>
            <w:noWrap/>
          </w:tcPr>
          <w:p w14:paraId="04EE27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28.5</w:t>
            </w:r>
          </w:p>
        </w:tc>
        <w:tc>
          <w:tcPr>
            <w:tcW w:w="1959" w:type="dxa"/>
            <w:noWrap/>
          </w:tcPr>
          <w:p w14:paraId="29F4FD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FD4643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5FE84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w:t>
            </w:r>
          </w:p>
        </w:tc>
        <w:tc>
          <w:tcPr>
            <w:tcW w:w="1909" w:type="dxa"/>
            <w:noWrap/>
          </w:tcPr>
          <w:p w14:paraId="7C749B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Ravindran et al. (</w:t>
            </w:r>
            <w:r>
              <w:rPr>
                <w:rFonts w:ascii="Times New Roman" w:hAnsi="Times New Roman" w:cs="Times New Roman"/>
                <w:sz w:val="20"/>
                <w:szCs w:val="20"/>
              </w:rPr>
              <w:t>2022)</w:t>
            </w:r>
          </w:p>
        </w:tc>
        <w:tc>
          <w:tcPr>
            <w:tcW w:w="682" w:type="dxa"/>
            <w:noWrap/>
          </w:tcPr>
          <w:p w14:paraId="38001F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6A177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50C42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74E1F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A3502E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79DC8E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0EC0C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DEF92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w:t>
            </w:r>
          </w:p>
        </w:tc>
        <w:tc>
          <w:tcPr>
            <w:tcW w:w="1909" w:type="dxa"/>
            <w:noWrap/>
          </w:tcPr>
          <w:p w14:paraId="08D74E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Ravindran et al. (</w:t>
            </w:r>
            <w:r>
              <w:rPr>
                <w:rFonts w:ascii="Times New Roman" w:hAnsi="Times New Roman" w:cs="Times New Roman"/>
                <w:sz w:val="20"/>
                <w:szCs w:val="20"/>
              </w:rPr>
              <w:t>2022)</w:t>
            </w:r>
          </w:p>
        </w:tc>
        <w:tc>
          <w:tcPr>
            <w:tcW w:w="682" w:type="dxa"/>
            <w:noWrap/>
          </w:tcPr>
          <w:p w14:paraId="54D822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694BB7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A90BB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5AA00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208280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59" w:type="dxa"/>
            <w:noWrap/>
          </w:tcPr>
          <w:p w14:paraId="6076A5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DFC75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017A3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w:t>
            </w:r>
          </w:p>
        </w:tc>
        <w:tc>
          <w:tcPr>
            <w:tcW w:w="1909" w:type="dxa"/>
            <w:noWrap/>
          </w:tcPr>
          <w:p w14:paraId="5AF3EC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Ravindran et al. (</w:t>
            </w:r>
            <w:r>
              <w:rPr>
                <w:rFonts w:ascii="Times New Roman" w:hAnsi="Times New Roman" w:cs="Times New Roman"/>
                <w:sz w:val="20"/>
                <w:szCs w:val="20"/>
              </w:rPr>
              <w:t>2022)</w:t>
            </w:r>
          </w:p>
        </w:tc>
        <w:tc>
          <w:tcPr>
            <w:tcW w:w="682" w:type="dxa"/>
            <w:noWrap/>
          </w:tcPr>
          <w:p w14:paraId="52A204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B3324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017C9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3BB564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722746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065CEE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EFC98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629F1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w:t>
            </w:r>
          </w:p>
        </w:tc>
        <w:tc>
          <w:tcPr>
            <w:tcW w:w="1909" w:type="dxa"/>
            <w:noWrap/>
          </w:tcPr>
          <w:p w14:paraId="4ECF12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Ravindran et al. (</w:t>
            </w:r>
            <w:r>
              <w:rPr>
                <w:rFonts w:ascii="Times New Roman" w:hAnsi="Times New Roman" w:cs="Times New Roman"/>
                <w:sz w:val="20"/>
                <w:szCs w:val="20"/>
              </w:rPr>
              <w:t>2022)</w:t>
            </w:r>
          </w:p>
        </w:tc>
        <w:tc>
          <w:tcPr>
            <w:tcW w:w="682" w:type="dxa"/>
            <w:noWrap/>
          </w:tcPr>
          <w:p w14:paraId="5D9E301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4A7F7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171A3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0BDB8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5D3ED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w:t>
            </w:r>
          </w:p>
        </w:tc>
        <w:tc>
          <w:tcPr>
            <w:tcW w:w="1959" w:type="dxa"/>
            <w:noWrap/>
          </w:tcPr>
          <w:p w14:paraId="5AFE00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11995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216C2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w:t>
            </w:r>
          </w:p>
        </w:tc>
        <w:tc>
          <w:tcPr>
            <w:tcW w:w="1909" w:type="dxa"/>
            <w:noWrap/>
          </w:tcPr>
          <w:p w14:paraId="7A39D4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Ravindran et al. (</w:t>
            </w:r>
            <w:r>
              <w:rPr>
                <w:rFonts w:ascii="Times New Roman" w:hAnsi="Times New Roman" w:cs="Times New Roman"/>
                <w:sz w:val="20"/>
                <w:szCs w:val="20"/>
              </w:rPr>
              <w:t>2022)</w:t>
            </w:r>
          </w:p>
        </w:tc>
        <w:tc>
          <w:tcPr>
            <w:tcW w:w="682" w:type="dxa"/>
            <w:noWrap/>
          </w:tcPr>
          <w:p w14:paraId="1B42E2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744167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55C9F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517529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70DB02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397C0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7FC154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9B5F9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09" w:type="dxa"/>
            <w:noWrap/>
          </w:tcPr>
          <w:p w14:paraId="495ADB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w:t>
            </w:r>
            <w:r>
              <w:rPr>
                <w:rFonts w:ascii="Times New Roman" w:hAnsi="Times New Roman" w:cs="Times New Roman"/>
                <w:sz w:val="20"/>
                <w:szCs w:val="20"/>
              </w:rPr>
              <w:t>2017)</w:t>
            </w:r>
          </w:p>
        </w:tc>
        <w:tc>
          <w:tcPr>
            <w:tcW w:w="682" w:type="dxa"/>
            <w:noWrap/>
          </w:tcPr>
          <w:p w14:paraId="1B5900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49DA2F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85DCE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441ED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11DDBD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9EC02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2CB24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F9669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09" w:type="dxa"/>
            <w:noWrap/>
          </w:tcPr>
          <w:p w14:paraId="5A1FFF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w:t>
            </w:r>
            <w:r>
              <w:rPr>
                <w:rFonts w:ascii="Times New Roman" w:hAnsi="Times New Roman" w:cs="Times New Roman"/>
                <w:sz w:val="20"/>
                <w:szCs w:val="20"/>
              </w:rPr>
              <w:t>2017)</w:t>
            </w:r>
          </w:p>
        </w:tc>
        <w:tc>
          <w:tcPr>
            <w:tcW w:w="682" w:type="dxa"/>
            <w:noWrap/>
          </w:tcPr>
          <w:p w14:paraId="1831E7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350CDB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6F4593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7580D1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Bentonite</w:t>
            </w:r>
          </w:p>
        </w:tc>
        <w:tc>
          <w:tcPr>
            <w:tcW w:w="1800" w:type="dxa"/>
            <w:noWrap/>
          </w:tcPr>
          <w:p w14:paraId="341EC0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4EB89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1BCCC9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2337E1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09" w:type="dxa"/>
            <w:noWrap/>
          </w:tcPr>
          <w:p w14:paraId="6F201C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w:t>
            </w:r>
            <w:r>
              <w:rPr>
                <w:rFonts w:ascii="Times New Roman" w:hAnsi="Times New Roman" w:cs="Times New Roman"/>
                <w:sz w:val="20"/>
                <w:szCs w:val="20"/>
              </w:rPr>
              <w:t>2017)</w:t>
            </w:r>
          </w:p>
        </w:tc>
        <w:tc>
          <w:tcPr>
            <w:tcW w:w="682" w:type="dxa"/>
            <w:noWrap/>
          </w:tcPr>
          <w:p w14:paraId="42B092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08F20F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010176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2A020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Medical stone</w:t>
            </w:r>
          </w:p>
        </w:tc>
        <w:tc>
          <w:tcPr>
            <w:tcW w:w="1800" w:type="dxa"/>
            <w:noWrap/>
          </w:tcPr>
          <w:p w14:paraId="5974D1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854AC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37783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DFAAE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w:t>
            </w:r>
          </w:p>
        </w:tc>
        <w:tc>
          <w:tcPr>
            <w:tcW w:w="1909" w:type="dxa"/>
            <w:noWrap/>
          </w:tcPr>
          <w:p w14:paraId="547E9C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(2020)</w:t>
            </w:r>
          </w:p>
        </w:tc>
        <w:tc>
          <w:tcPr>
            <w:tcW w:w="682" w:type="dxa"/>
            <w:noWrap/>
          </w:tcPr>
          <w:p w14:paraId="4A16FD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318459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FBBA6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C6D69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Bean dregs</w:t>
            </w:r>
          </w:p>
        </w:tc>
        <w:tc>
          <w:tcPr>
            <w:tcW w:w="1800" w:type="dxa"/>
            <w:noWrap/>
          </w:tcPr>
          <w:p w14:paraId="36E8B1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7AC938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A441AB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E51DC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w:t>
            </w:r>
          </w:p>
        </w:tc>
        <w:tc>
          <w:tcPr>
            <w:tcW w:w="1909" w:type="dxa"/>
            <w:noWrap/>
          </w:tcPr>
          <w:p w14:paraId="554416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(2020)</w:t>
            </w:r>
          </w:p>
        </w:tc>
        <w:tc>
          <w:tcPr>
            <w:tcW w:w="682" w:type="dxa"/>
            <w:noWrap/>
          </w:tcPr>
          <w:p w14:paraId="62663F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4EF447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85927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69AF3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286E46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74A99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74A45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69B3B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w:t>
            </w:r>
          </w:p>
        </w:tc>
        <w:tc>
          <w:tcPr>
            <w:tcW w:w="1909" w:type="dxa"/>
            <w:noWrap/>
          </w:tcPr>
          <w:p w14:paraId="0C1C58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(2020)</w:t>
            </w:r>
          </w:p>
        </w:tc>
        <w:tc>
          <w:tcPr>
            <w:tcW w:w="682" w:type="dxa"/>
            <w:noWrap/>
          </w:tcPr>
          <w:p w14:paraId="630C6C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28E55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66552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A8D90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Bean dregs and biochar</w:t>
            </w:r>
          </w:p>
        </w:tc>
        <w:tc>
          <w:tcPr>
            <w:tcW w:w="1800" w:type="dxa"/>
            <w:noWrap/>
          </w:tcPr>
          <w:p w14:paraId="695A4B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4CDD3F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0015E3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D9E1C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w:t>
            </w:r>
          </w:p>
        </w:tc>
        <w:tc>
          <w:tcPr>
            <w:tcW w:w="1909" w:type="dxa"/>
            <w:noWrap/>
          </w:tcPr>
          <w:p w14:paraId="39C631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(2018)</w:t>
            </w:r>
          </w:p>
        </w:tc>
        <w:tc>
          <w:tcPr>
            <w:tcW w:w="682" w:type="dxa"/>
            <w:noWrap/>
          </w:tcPr>
          <w:p w14:paraId="2C14CA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BC4E4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Farmyard  manure</w:t>
            </w:r>
          </w:p>
        </w:tc>
        <w:tc>
          <w:tcPr>
            <w:tcW w:w="1805" w:type="dxa"/>
            <w:noWrap/>
          </w:tcPr>
          <w:p w14:paraId="609E9E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4F59F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5DE067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0.25</w:t>
            </w:r>
          </w:p>
        </w:tc>
        <w:tc>
          <w:tcPr>
            <w:tcW w:w="1959" w:type="dxa"/>
            <w:noWrap/>
          </w:tcPr>
          <w:p w14:paraId="3C03C9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85318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D45700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w:t>
            </w:r>
          </w:p>
        </w:tc>
        <w:tc>
          <w:tcPr>
            <w:tcW w:w="1909" w:type="dxa"/>
            <w:noWrap/>
          </w:tcPr>
          <w:p w14:paraId="6A343E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(2018)</w:t>
            </w:r>
          </w:p>
        </w:tc>
        <w:tc>
          <w:tcPr>
            <w:tcW w:w="682" w:type="dxa"/>
            <w:noWrap/>
          </w:tcPr>
          <w:p w14:paraId="38BC01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31101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Farmyard  manure</w:t>
            </w:r>
          </w:p>
        </w:tc>
        <w:tc>
          <w:tcPr>
            <w:tcW w:w="1805" w:type="dxa"/>
            <w:noWrap/>
          </w:tcPr>
          <w:p w14:paraId="68738F8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EB3D0E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048853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0.5</w:t>
            </w:r>
          </w:p>
        </w:tc>
        <w:tc>
          <w:tcPr>
            <w:tcW w:w="1959" w:type="dxa"/>
            <w:noWrap/>
          </w:tcPr>
          <w:p w14:paraId="57A967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27869C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BB06F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w:t>
            </w:r>
          </w:p>
        </w:tc>
        <w:tc>
          <w:tcPr>
            <w:tcW w:w="1909" w:type="dxa"/>
            <w:noWrap/>
          </w:tcPr>
          <w:p w14:paraId="164C33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(2018)</w:t>
            </w:r>
          </w:p>
        </w:tc>
        <w:tc>
          <w:tcPr>
            <w:tcW w:w="682" w:type="dxa"/>
            <w:noWrap/>
          </w:tcPr>
          <w:p w14:paraId="75ECDE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7C5796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Farmyard  manure</w:t>
            </w:r>
          </w:p>
        </w:tc>
        <w:tc>
          <w:tcPr>
            <w:tcW w:w="1805" w:type="dxa"/>
            <w:noWrap/>
          </w:tcPr>
          <w:p w14:paraId="52374A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BD5F7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462B25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0.75</w:t>
            </w:r>
          </w:p>
        </w:tc>
        <w:tc>
          <w:tcPr>
            <w:tcW w:w="1959" w:type="dxa"/>
            <w:noWrap/>
          </w:tcPr>
          <w:p w14:paraId="1D22A6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D6B231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E8126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23</w:t>
            </w:r>
          </w:p>
        </w:tc>
        <w:tc>
          <w:tcPr>
            <w:tcW w:w="1909" w:type="dxa"/>
            <w:noWrap/>
          </w:tcPr>
          <w:p w14:paraId="694195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423997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4F6023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511C1C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735BA9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Electric field</w:t>
            </w:r>
          </w:p>
        </w:tc>
        <w:tc>
          <w:tcPr>
            <w:tcW w:w="1800" w:type="dxa"/>
            <w:noWrap/>
          </w:tcPr>
          <w:p w14:paraId="440E5A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184F91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BDAE56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26968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23</w:t>
            </w:r>
          </w:p>
        </w:tc>
        <w:tc>
          <w:tcPr>
            <w:tcW w:w="1909" w:type="dxa"/>
            <w:noWrap/>
          </w:tcPr>
          <w:p w14:paraId="0A6EEB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0B0206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5EA92D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6F2A57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4D30BA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444840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47709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CDA147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5BA9B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23</w:t>
            </w:r>
          </w:p>
        </w:tc>
        <w:tc>
          <w:tcPr>
            <w:tcW w:w="1909" w:type="dxa"/>
            <w:noWrap/>
          </w:tcPr>
          <w:p w14:paraId="567717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484DF9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56C21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7A59A5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32DFE5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Electric filed and biochar</w:t>
            </w:r>
          </w:p>
        </w:tc>
        <w:tc>
          <w:tcPr>
            <w:tcW w:w="1800" w:type="dxa"/>
            <w:noWrap/>
          </w:tcPr>
          <w:p w14:paraId="63A7BB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02750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F9644A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AB56C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24</w:t>
            </w:r>
          </w:p>
        </w:tc>
        <w:tc>
          <w:tcPr>
            <w:tcW w:w="1909" w:type="dxa"/>
            <w:noWrap/>
          </w:tcPr>
          <w:p w14:paraId="5A12E5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(2023)</w:t>
            </w:r>
          </w:p>
        </w:tc>
        <w:tc>
          <w:tcPr>
            <w:tcW w:w="682" w:type="dxa"/>
            <w:noWrap/>
          </w:tcPr>
          <w:p w14:paraId="0E582B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7FCCF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66AE7A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straw</w:t>
            </w:r>
          </w:p>
        </w:tc>
        <w:tc>
          <w:tcPr>
            <w:tcW w:w="2900" w:type="dxa"/>
            <w:noWrap/>
          </w:tcPr>
          <w:p w14:paraId="4142BC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64D4BE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5CB110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4D16A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31584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24</w:t>
            </w:r>
          </w:p>
        </w:tc>
        <w:tc>
          <w:tcPr>
            <w:tcW w:w="1909" w:type="dxa"/>
            <w:noWrap/>
          </w:tcPr>
          <w:p w14:paraId="4D6290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(2023)</w:t>
            </w:r>
          </w:p>
        </w:tc>
        <w:tc>
          <w:tcPr>
            <w:tcW w:w="682" w:type="dxa"/>
            <w:noWrap/>
          </w:tcPr>
          <w:p w14:paraId="6D0FB3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E3C57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134D09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straw</w:t>
            </w:r>
          </w:p>
        </w:tc>
        <w:tc>
          <w:tcPr>
            <w:tcW w:w="2900" w:type="dxa"/>
            <w:noWrap/>
          </w:tcPr>
          <w:p w14:paraId="7D23B7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1C1B7E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FFB9A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9BD750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7B8819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09" w:type="dxa"/>
            <w:noWrap/>
          </w:tcPr>
          <w:p w14:paraId="49756F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Zheng et al. (2022)</w:t>
            </w:r>
          </w:p>
        </w:tc>
        <w:tc>
          <w:tcPr>
            <w:tcW w:w="682" w:type="dxa"/>
            <w:noWrap/>
          </w:tcPr>
          <w:p w14:paraId="41C3E3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79A963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6E035F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3E18B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566E9ED5">
            <w:pPr>
              <w:spacing w:after="0" w:line="360" w:lineRule="auto"/>
              <w:rPr>
                <w:rFonts w:ascii="Times New Roman" w:hAnsi="Times New Roman" w:cs="Times New Roman"/>
                <w:color w:val="000000" w:themeColor="text1"/>
                <w:sz w:val="20"/>
                <w:szCs w:val="20"/>
                <w14:textFill>
                  <w14:solidFill>
                    <w14:schemeClr w14:val="tx1"/>
                  </w14:solidFill>
                </w14:textFill>
              </w:rPr>
            </w:pPr>
          </w:p>
        </w:tc>
        <w:tc>
          <w:tcPr>
            <w:tcW w:w="1959" w:type="dxa"/>
            <w:noWrap/>
          </w:tcPr>
          <w:p w14:paraId="7819B3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6D7DA0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ADD6E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w:t>
            </w:r>
          </w:p>
        </w:tc>
        <w:tc>
          <w:tcPr>
            <w:tcW w:w="1909" w:type="dxa"/>
            <w:noWrap/>
          </w:tcPr>
          <w:p w14:paraId="54EC61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Sun et al. (2023)</w:t>
            </w:r>
          </w:p>
        </w:tc>
        <w:tc>
          <w:tcPr>
            <w:tcW w:w="682" w:type="dxa"/>
            <w:noWrap/>
          </w:tcPr>
          <w:p w14:paraId="74ABBD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84F9C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E51CF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7E6468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47CCDD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17B6EB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21A024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3B9DC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w:t>
            </w:r>
          </w:p>
        </w:tc>
        <w:tc>
          <w:tcPr>
            <w:tcW w:w="1909" w:type="dxa"/>
            <w:noWrap/>
          </w:tcPr>
          <w:p w14:paraId="1D957B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Sun et al. (2023)</w:t>
            </w:r>
          </w:p>
        </w:tc>
        <w:tc>
          <w:tcPr>
            <w:tcW w:w="682" w:type="dxa"/>
            <w:noWrap/>
          </w:tcPr>
          <w:p w14:paraId="6CEE13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3D6ED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76604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18590C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10FADA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74613A2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B101F6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488478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27</w:t>
            </w:r>
          </w:p>
        </w:tc>
        <w:tc>
          <w:tcPr>
            <w:tcW w:w="1909" w:type="dxa"/>
            <w:noWrap/>
          </w:tcPr>
          <w:p w14:paraId="26C56F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Peng et al. (2023)</w:t>
            </w:r>
          </w:p>
        </w:tc>
        <w:tc>
          <w:tcPr>
            <w:tcW w:w="682" w:type="dxa"/>
            <w:noWrap/>
          </w:tcPr>
          <w:p w14:paraId="22BF0E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35D4A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82048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0F37D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05A966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0.3</w:t>
            </w:r>
          </w:p>
        </w:tc>
        <w:tc>
          <w:tcPr>
            <w:tcW w:w="1959" w:type="dxa"/>
            <w:noWrap/>
          </w:tcPr>
          <w:p w14:paraId="417558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B3CB12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F93DF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27</w:t>
            </w:r>
          </w:p>
        </w:tc>
        <w:tc>
          <w:tcPr>
            <w:tcW w:w="1909" w:type="dxa"/>
            <w:noWrap/>
          </w:tcPr>
          <w:p w14:paraId="488253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Peng et al. (2023)</w:t>
            </w:r>
          </w:p>
        </w:tc>
        <w:tc>
          <w:tcPr>
            <w:tcW w:w="682" w:type="dxa"/>
            <w:noWrap/>
          </w:tcPr>
          <w:p w14:paraId="3F5BEB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6DDCC1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A9329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6CD8F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0820F2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w:t>
            </w:r>
          </w:p>
        </w:tc>
        <w:tc>
          <w:tcPr>
            <w:tcW w:w="1959" w:type="dxa"/>
            <w:noWrap/>
          </w:tcPr>
          <w:p w14:paraId="77BA00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27005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F1BF4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27</w:t>
            </w:r>
          </w:p>
        </w:tc>
        <w:tc>
          <w:tcPr>
            <w:tcW w:w="1909" w:type="dxa"/>
            <w:noWrap/>
          </w:tcPr>
          <w:p w14:paraId="18C5F4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Peng et al. (2023)</w:t>
            </w:r>
          </w:p>
        </w:tc>
        <w:tc>
          <w:tcPr>
            <w:tcW w:w="682" w:type="dxa"/>
            <w:noWrap/>
          </w:tcPr>
          <w:p w14:paraId="7552B8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AB6F0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C9F74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C0663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7CBE7A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0.5</w:t>
            </w:r>
          </w:p>
        </w:tc>
        <w:tc>
          <w:tcPr>
            <w:tcW w:w="1959" w:type="dxa"/>
            <w:noWrap/>
          </w:tcPr>
          <w:p w14:paraId="1368BD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3C895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FD9A6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27</w:t>
            </w:r>
          </w:p>
        </w:tc>
        <w:tc>
          <w:tcPr>
            <w:tcW w:w="1909" w:type="dxa"/>
            <w:noWrap/>
          </w:tcPr>
          <w:p w14:paraId="431181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Peng et al. (2023)</w:t>
            </w:r>
          </w:p>
        </w:tc>
        <w:tc>
          <w:tcPr>
            <w:tcW w:w="682" w:type="dxa"/>
            <w:noWrap/>
          </w:tcPr>
          <w:p w14:paraId="397DFB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D328F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70E65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7AEFA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49D96C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0.6</w:t>
            </w:r>
          </w:p>
        </w:tc>
        <w:tc>
          <w:tcPr>
            <w:tcW w:w="1959" w:type="dxa"/>
            <w:noWrap/>
          </w:tcPr>
          <w:p w14:paraId="287CA9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EE7D5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68B04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c>
          <w:tcPr>
            <w:tcW w:w="1909" w:type="dxa"/>
            <w:noWrap/>
          </w:tcPr>
          <w:p w14:paraId="48896A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Chung et al. [28]</w:t>
            </w:r>
          </w:p>
        </w:tc>
        <w:tc>
          <w:tcPr>
            <w:tcW w:w="682" w:type="dxa"/>
            <w:noWrap/>
          </w:tcPr>
          <w:p w14:paraId="6F9CD3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50436E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0C1024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732348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43270B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59" w:type="dxa"/>
            <w:noWrap/>
          </w:tcPr>
          <w:p w14:paraId="5E2903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50EFE6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309EA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c>
          <w:tcPr>
            <w:tcW w:w="1909" w:type="dxa"/>
            <w:noWrap/>
          </w:tcPr>
          <w:p w14:paraId="080CA50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Chung et al. (2022)</w:t>
            </w:r>
          </w:p>
        </w:tc>
        <w:tc>
          <w:tcPr>
            <w:tcW w:w="682" w:type="dxa"/>
            <w:noWrap/>
          </w:tcPr>
          <w:p w14:paraId="2B1A59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5CBDF4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5A7A8F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7AD0F3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1C42D9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5FD08D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69D685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A8327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c>
          <w:tcPr>
            <w:tcW w:w="1909" w:type="dxa"/>
            <w:noWrap/>
          </w:tcPr>
          <w:p w14:paraId="4D836F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Chung et al. (2022)</w:t>
            </w:r>
          </w:p>
        </w:tc>
        <w:tc>
          <w:tcPr>
            <w:tcW w:w="682" w:type="dxa"/>
            <w:noWrap/>
          </w:tcPr>
          <w:p w14:paraId="1E541F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6CEBBE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5D0A28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4DA3E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535154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4C8EAE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C56B87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B80C6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29</w:t>
            </w:r>
          </w:p>
        </w:tc>
        <w:tc>
          <w:tcPr>
            <w:tcW w:w="1909" w:type="dxa"/>
            <w:noWrap/>
          </w:tcPr>
          <w:p w14:paraId="0D1D4C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0CD334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5DE53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5EA273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79C06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7E760C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411BD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75EDAB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E4BB4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29</w:t>
            </w:r>
          </w:p>
        </w:tc>
        <w:tc>
          <w:tcPr>
            <w:tcW w:w="1909" w:type="dxa"/>
            <w:noWrap/>
          </w:tcPr>
          <w:p w14:paraId="17DE0E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2057E7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75CF3B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054987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6FC4C7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5B5298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755B07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0BDFD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D642C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29</w:t>
            </w:r>
          </w:p>
        </w:tc>
        <w:tc>
          <w:tcPr>
            <w:tcW w:w="1909" w:type="dxa"/>
            <w:noWrap/>
          </w:tcPr>
          <w:p w14:paraId="2FCB9B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21C070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5E0815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29888A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20A154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microbial inoculants</w:t>
            </w:r>
          </w:p>
        </w:tc>
        <w:tc>
          <w:tcPr>
            <w:tcW w:w="1800" w:type="dxa"/>
            <w:noWrap/>
          </w:tcPr>
          <w:p w14:paraId="6D3669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3029AB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9B974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1D3B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29</w:t>
            </w:r>
          </w:p>
        </w:tc>
        <w:tc>
          <w:tcPr>
            <w:tcW w:w="1909" w:type="dxa"/>
            <w:noWrap/>
          </w:tcPr>
          <w:p w14:paraId="2A6A6B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690C22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3794EA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3439E2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CFEE2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3AE574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799596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71394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357E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29</w:t>
            </w:r>
          </w:p>
        </w:tc>
        <w:tc>
          <w:tcPr>
            <w:tcW w:w="1909" w:type="dxa"/>
            <w:noWrap/>
          </w:tcPr>
          <w:p w14:paraId="642F5B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120995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DBFC8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2962CEF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F4DEB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microbial inoculants</w:t>
            </w:r>
          </w:p>
        </w:tc>
        <w:tc>
          <w:tcPr>
            <w:tcW w:w="1800" w:type="dxa"/>
            <w:noWrap/>
          </w:tcPr>
          <w:p w14:paraId="26FE45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45C006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D4EF9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E3AFD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09" w:type="dxa"/>
            <w:noWrap/>
          </w:tcPr>
          <w:p w14:paraId="589691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Ouyang et al. (2022)</w:t>
            </w:r>
          </w:p>
        </w:tc>
        <w:tc>
          <w:tcPr>
            <w:tcW w:w="682" w:type="dxa"/>
            <w:noWrap/>
          </w:tcPr>
          <w:p w14:paraId="1ED4E5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59D52B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95A10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2E4BD2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0C838D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7603F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8A6CC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0685D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09" w:type="dxa"/>
            <w:noWrap/>
          </w:tcPr>
          <w:p w14:paraId="7625DF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Ouyang et al. (2022)</w:t>
            </w:r>
          </w:p>
        </w:tc>
        <w:tc>
          <w:tcPr>
            <w:tcW w:w="682" w:type="dxa"/>
            <w:noWrap/>
          </w:tcPr>
          <w:p w14:paraId="1C2EE4B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606151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A27C9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22EEDA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2108BD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1AD22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2811E0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91E0A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09" w:type="dxa"/>
            <w:noWrap/>
          </w:tcPr>
          <w:p w14:paraId="455466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Ouyang et al. (2022)</w:t>
            </w:r>
          </w:p>
        </w:tc>
        <w:tc>
          <w:tcPr>
            <w:tcW w:w="682" w:type="dxa"/>
            <w:noWrap/>
          </w:tcPr>
          <w:p w14:paraId="76AA3A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CE797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36E298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033C17E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5A9907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3EBE4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46030D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4C7AF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31</w:t>
            </w:r>
          </w:p>
        </w:tc>
        <w:tc>
          <w:tcPr>
            <w:tcW w:w="1909" w:type="dxa"/>
            <w:noWrap/>
          </w:tcPr>
          <w:p w14:paraId="33554C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(2013)</w:t>
            </w:r>
          </w:p>
        </w:tc>
        <w:tc>
          <w:tcPr>
            <w:tcW w:w="682" w:type="dxa"/>
            <w:noWrap/>
          </w:tcPr>
          <w:p w14:paraId="46E364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43AD0F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8B510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ECF67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1F0A78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409CE5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F45671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36C70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31</w:t>
            </w:r>
          </w:p>
        </w:tc>
        <w:tc>
          <w:tcPr>
            <w:tcW w:w="1909" w:type="dxa"/>
            <w:noWrap/>
          </w:tcPr>
          <w:p w14:paraId="4CC41B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(2013)</w:t>
            </w:r>
          </w:p>
        </w:tc>
        <w:tc>
          <w:tcPr>
            <w:tcW w:w="682" w:type="dxa"/>
            <w:noWrap/>
          </w:tcPr>
          <w:p w14:paraId="080C47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28372B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DC220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6EA4A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1800" w:type="dxa"/>
            <w:noWrap/>
          </w:tcPr>
          <w:p w14:paraId="088D76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09B248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CF04B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3E52B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31</w:t>
            </w:r>
          </w:p>
        </w:tc>
        <w:tc>
          <w:tcPr>
            <w:tcW w:w="1909" w:type="dxa"/>
            <w:noWrap/>
          </w:tcPr>
          <w:p w14:paraId="1FA9E7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(2013)</w:t>
            </w:r>
          </w:p>
        </w:tc>
        <w:tc>
          <w:tcPr>
            <w:tcW w:w="682" w:type="dxa"/>
            <w:noWrap/>
          </w:tcPr>
          <w:p w14:paraId="1A0347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712982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D1895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mushroom substrate</w:t>
            </w:r>
          </w:p>
        </w:tc>
        <w:tc>
          <w:tcPr>
            <w:tcW w:w="2900" w:type="dxa"/>
            <w:noWrap/>
          </w:tcPr>
          <w:p w14:paraId="715EA8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mushroom substrate</w:t>
            </w:r>
          </w:p>
        </w:tc>
        <w:tc>
          <w:tcPr>
            <w:tcW w:w="1800" w:type="dxa"/>
            <w:noWrap/>
          </w:tcPr>
          <w:p w14:paraId="7A815A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C7562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9FB70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FB35E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32</w:t>
            </w:r>
          </w:p>
        </w:tc>
        <w:tc>
          <w:tcPr>
            <w:tcW w:w="1909" w:type="dxa"/>
            <w:noWrap/>
          </w:tcPr>
          <w:p w14:paraId="3DB70C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Ren et al. (2020)</w:t>
            </w:r>
          </w:p>
        </w:tc>
        <w:tc>
          <w:tcPr>
            <w:tcW w:w="682" w:type="dxa"/>
            <w:noWrap/>
          </w:tcPr>
          <w:p w14:paraId="261308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43FF52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B8D6D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0ECE4D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Clay</w:t>
            </w:r>
          </w:p>
        </w:tc>
        <w:tc>
          <w:tcPr>
            <w:tcW w:w="1800" w:type="dxa"/>
            <w:noWrap/>
          </w:tcPr>
          <w:p w14:paraId="098B63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6D601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0EF47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B847F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33</w:t>
            </w:r>
          </w:p>
        </w:tc>
        <w:tc>
          <w:tcPr>
            <w:tcW w:w="1909" w:type="dxa"/>
            <w:noWrap/>
          </w:tcPr>
          <w:p w14:paraId="5C93F6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Spencer and Heyst (2013)</w:t>
            </w:r>
          </w:p>
        </w:tc>
        <w:tc>
          <w:tcPr>
            <w:tcW w:w="682" w:type="dxa"/>
            <w:noWrap/>
          </w:tcPr>
          <w:p w14:paraId="6765FD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3187F4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611F17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47938B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1800" w:type="dxa"/>
            <w:noWrap/>
          </w:tcPr>
          <w:p w14:paraId="7FDCFD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57AF1B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078E49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C4D4D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33</w:t>
            </w:r>
          </w:p>
        </w:tc>
        <w:tc>
          <w:tcPr>
            <w:tcW w:w="1909" w:type="dxa"/>
            <w:noWrap/>
          </w:tcPr>
          <w:p w14:paraId="4DA69A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Spencer and Heyst (2013)</w:t>
            </w:r>
          </w:p>
        </w:tc>
        <w:tc>
          <w:tcPr>
            <w:tcW w:w="682" w:type="dxa"/>
            <w:noWrap/>
          </w:tcPr>
          <w:p w14:paraId="34C0A7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7C1785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6DF516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5C2226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1800" w:type="dxa"/>
            <w:noWrap/>
          </w:tcPr>
          <w:p w14:paraId="1429E9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AE7DF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061FC1E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5C504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33</w:t>
            </w:r>
          </w:p>
        </w:tc>
        <w:tc>
          <w:tcPr>
            <w:tcW w:w="1909" w:type="dxa"/>
            <w:noWrap/>
          </w:tcPr>
          <w:p w14:paraId="11A708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Spencer and Heyst (2013)</w:t>
            </w:r>
          </w:p>
        </w:tc>
        <w:tc>
          <w:tcPr>
            <w:tcW w:w="682" w:type="dxa"/>
            <w:noWrap/>
          </w:tcPr>
          <w:p w14:paraId="2F7EA6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7B0F20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018A7B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41D499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1800" w:type="dxa"/>
            <w:noWrap/>
          </w:tcPr>
          <w:p w14:paraId="0135EA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70ED9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03968DC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DBC52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34</w:t>
            </w:r>
          </w:p>
        </w:tc>
        <w:tc>
          <w:tcPr>
            <w:tcW w:w="1909" w:type="dxa"/>
            <w:noWrap/>
          </w:tcPr>
          <w:p w14:paraId="09208A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Santos et al. (2017)</w:t>
            </w:r>
          </w:p>
        </w:tc>
        <w:tc>
          <w:tcPr>
            <w:tcW w:w="682" w:type="dxa"/>
            <w:noWrap/>
          </w:tcPr>
          <w:p w14:paraId="210CA5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7264F718">
            <w:pPr>
              <w:spacing w:after="0" w:line="360" w:lineRule="auto"/>
              <w:rPr>
                <w:rFonts w:ascii="Times New Roman" w:hAnsi="Times New Roman" w:cs="Times New Roman"/>
                <w:i/>
                <w:color w:val="000000" w:themeColor="text1"/>
                <w:sz w:val="20"/>
                <w:szCs w:val="20"/>
                <w14:textFill>
                  <w14:solidFill>
                    <w14:schemeClr w14:val="tx1"/>
                  </w14:solidFill>
                </w14:textFill>
              </w:rPr>
            </w:pPr>
            <w:r>
              <w:rPr>
                <w:rFonts w:ascii="Times New Roman" w:hAnsi="Times New Roman" w:cs="Times New Roman"/>
                <w:i/>
                <w:color w:val="000000" w:themeColor="text1"/>
                <w:sz w:val="20"/>
                <w:szCs w:val="20"/>
                <w14:textFill>
                  <w14:solidFill>
                    <w14:schemeClr w14:val="tx1"/>
                  </w14:solidFill>
                </w14:textFill>
              </w:rPr>
              <w:t>Acacia dealbata</w:t>
            </w:r>
          </w:p>
        </w:tc>
        <w:tc>
          <w:tcPr>
            <w:tcW w:w="1805" w:type="dxa"/>
            <w:noWrap/>
          </w:tcPr>
          <w:p w14:paraId="1FFECCC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32943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coffee grounds</w:t>
            </w:r>
          </w:p>
        </w:tc>
        <w:tc>
          <w:tcPr>
            <w:tcW w:w="1800" w:type="dxa"/>
            <w:noWrap/>
          </w:tcPr>
          <w:p w14:paraId="128E36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8471F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BEDA2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2D097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34</w:t>
            </w:r>
          </w:p>
        </w:tc>
        <w:tc>
          <w:tcPr>
            <w:tcW w:w="1909" w:type="dxa"/>
            <w:noWrap/>
          </w:tcPr>
          <w:p w14:paraId="4345C6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Santos et al. (2017)</w:t>
            </w:r>
          </w:p>
        </w:tc>
        <w:tc>
          <w:tcPr>
            <w:tcW w:w="682" w:type="dxa"/>
            <w:noWrap/>
          </w:tcPr>
          <w:p w14:paraId="07C369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5281AEED">
            <w:pPr>
              <w:spacing w:after="0" w:line="360" w:lineRule="auto"/>
              <w:rPr>
                <w:rFonts w:ascii="Times New Roman" w:hAnsi="Times New Roman" w:cs="Times New Roman"/>
                <w:i/>
                <w:color w:val="000000" w:themeColor="text1"/>
                <w:sz w:val="20"/>
                <w:szCs w:val="20"/>
                <w14:textFill>
                  <w14:solidFill>
                    <w14:schemeClr w14:val="tx1"/>
                  </w14:solidFill>
                </w14:textFill>
              </w:rPr>
            </w:pPr>
            <w:r>
              <w:rPr>
                <w:rFonts w:ascii="Times New Roman" w:hAnsi="Times New Roman" w:cs="Times New Roman"/>
                <w:i/>
                <w:color w:val="000000" w:themeColor="text1"/>
                <w:sz w:val="20"/>
                <w:szCs w:val="20"/>
                <w14:textFill>
                  <w14:solidFill>
                    <w14:schemeClr w14:val="tx1"/>
                  </w14:solidFill>
                </w14:textFill>
              </w:rPr>
              <w:t>Acacia dealbata</w:t>
            </w:r>
          </w:p>
        </w:tc>
        <w:tc>
          <w:tcPr>
            <w:tcW w:w="1805" w:type="dxa"/>
            <w:noWrap/>
          </w:tcPr>
          <w:p w14:paraId="4BD948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AEE62B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coffee grounds</w:t>
            </w:r>
          </w:p>
        </w:tc>
        <w:tc>
          <w:tcPr>
            <w:tcW w:w="1800" w:type="dxa"/>
            <w:noWrap/>
          </w:tcPr>
          <w:p w14:paraId="62EAB3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59" w:type="dxa"/>
            <w:noWrap/>
          </w:tcPr>
          <w:p w14:paraId="05890D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60A55E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83D8E6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34</w:t>
            </w:r>
          </w:p>
        </w:tc>
        <w:tc>
          <w:tcPr>
            <w:tcW w:w="1909" w:type="dxa"/>
            <w:noWrap/>
          </w:tcPr>
          <w:p w14:paraId="12808D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Santos et al. (2017)</w:t>
            </w:r>
          </w:p>
        </w:tc>
        <w:tc>
          <w:tcPr>
            <w:tcW w:w="682" w:type="dxa"/>
            <w:noWrap/>
          </w:tcPr>
          <w:p w14:paraId="244179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05619759">
            <w:pPr>
              <w:spacing w:after="0" w:line="360" w:lineRule="auto"/>
              <w:rPr>
                <w:rFonts w:ascii="Times New Roman" w:hAnsi="Times New Roman" w:cs="Times New Roman"/>
                <w:i/>
                <w:color w:val="000000" w:themeColor="text1"/>
                <w:sz w:val="20"/>
                <w:szCs w:val="20"/>
                <w14:textFill>
                  <w14:solidFill>
                    <w14:schemeClr w14:val="tx1"/>
                  </w14:solidFill>
                </w14:textFill>
              </w:rPr>
            </w:pPr>
            <w:r>
              <w:rPr>
                <w:rFonts w:ascii="Times New Roman" w:hAnsi="Times New Roman" w:cs="Times New Roman"/>
                <w:i/>
                <w:color w:val="000000" w:themeColor="text1"/>
                <w:sz w:val="20"/>
                <w:szCs w:val="20"/>
                <w14:textFill>
                  <w14:solidFill>
                    <w14:schemeClr w14:val="tx1"/>
                  </w14:solidFill>
                </w14:textFill>
              </w:rPr>
              <w:t>Acacia dealbata</w:t>
            </w:r>
          </w:p>
        </w:tc>
        <w:tc>
          <w:tcPr>
            <w:tcW w:w="1805" w:type="dxa"/>
            <w:noWrap/>
          </w:tcPr>
          <w:p w14:paraId="22261A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B0830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coffee grounds</w:t>
            </w:r>
          </w:p>
        </w:tc>
        <w:tc>
          <w:tcPr>
            <w:tcW w:w="1800" w:type="dxa"/>
            <w:noWrap/>
          </w:tcPr>
          <w:p w14:paraId="46CD1F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40</w:t>
            </w:r>
          </w:p>
        </w:tc>
        <w:tc>
          <w:tcPr>
            <w:tcW w:w="1959" w:type="dxa"/>
            <w:noWrap/>
          </w:tcPr>
          <w:p w14:paraId="59D726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D4CBD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EC6CC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35</w:t>
            </w:r>
          </w:p>
        </w:tc>
        <w:tc>
          <w:tcPr>
            <w:tcW w:w="1909" w:type="dxa"/>
            <w:noWrap/>
          </w:tcPr>
          <w:p w14:paraId="0C314C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Chowdhury et al. (2014)</w:t>
            </w:r>
          </w:p>
        </w:tc>
        <w:tc>
          <w:tcPr>
            <w:tcW w:w="682" w:type="dxa"/>
            <w:noWrap/>
          </w:tcPr>
          <w:p w14:paraId="1942F5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2FB250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5B03ED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1BB6A79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1800" w:type="dxa"/>
            <w:noWrap/>
          </w:tcPr>
          <w:p w14:paraId="732A74C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6E471B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60B7E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8F762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35</w:t>
            </w:r>
          </w:p>
        </w:tc>
        <w:tc>
          <w:tcPr>
            <w:tcW w:w="1909" w:type="dxa"/>
            <w:noWrap/>
          </w:tcPr>
          <w:p w14:paraId="0B1D11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Chowdhury et al. (2014)</w:t>
            </w:r>
          </w:p>
        </w:tc>
        <w:tc>
          <w:tcPr>
            <w:tcW w:w="682" w:type="dxa"/>
            <w:noWrap/>
          </w:tcPr>
          <w:p w14:paraId="49D48F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4F50E3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70A88B9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5D1483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644A40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59" w:type="dxa"/>
            <w:noWrap/>
          </w:tcPr>
          <w:p w14:paraId="5F5A26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9758A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26D70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35</w:t>
            </w:r>
          </w:p>
        </w:tc>
        <w:tc>
          <w:tcPr>
            <w:tcW w:w="1909" w:type="dxa"/>
            <w:noWrap/>
          </w:tcPr>
          <w:p w14:paraId="1F7C8C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Chowdhury et al. (2014)</w:t>
            </w:r>
          </w:p>
        </w:tc>
        <w:tc>
          <w:tcPr>
            <w:tcW w:w="682" w:type="dxa"/>
            <w:noWrap/>
          </w:tcPr>
          <w:p w14:paraId="55B062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79C7DC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C5857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Barley straw</w:t>
            </w:r>
          </w:p>
        </w:tc>
        <w:tc>
          <w:tcPr>
            <w:tcW w:w="2900" w:type="dxa"/>
            <w:noWrap/>
          </w:tcPr>
          <w:p w14:paraId="14A8A1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Barley straw</w:t>
            </w:r>
          </w:p>
        </w:tc>
        <w:tc>
          <w:tcPr>
            <w:tcW w:w="1800" w:type="dxa"/>
            <w:noWrap/>
          </w:tcPr>
          <w:p w14:paraId="352172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3DBEC6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5861E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78DD1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35</w:t>
            </w:r>
          </w:p>
        </w:tc>
        <w:tc>
          <w:tcPr>
            <w:tcW w:w="1909" w:type="dxa"/>
            <w:noWrap/>
          </w:tcPr>
          <w:p w14:paraId="61B3F4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Chowdhury et al. (2014)</w:t>
            </w:r>
          </w:p>
        </w:tc>
        <w:tc>
          <w:tcPr>
            <w:tcW w:w="682" w:type="dxa"/>
            <w:noWrap/>
          </w:tcPr>
          <w:p w14:paraId="65FF51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0036E5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7E72C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Lupin residues</w:t>
            </w:r>
          </w:p>
        </w:tc>
        <w:tc>
          <w:tcPr>
            <w:tcW w:w="2900" w:type="dxa"/>
            <w:noWrap/>
          </w:tcPr>
          <w:p w14:paraId="5123FF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Lupin residues</w:t>
            </w:r>
          </w:p>
        </w:tc>
        <w:tc>
          <w:tcPr>
            <w:tcW w:w="1800" w:type="dxa"/>
            <w:noWrap/>
          </w:tcPr>
          <w:p w14:paraId="4698FCE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473588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5659E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EB74EA6">
            <w:pPr>
              <w:spacing w:after="0" w:line="360" w:lineRule="auto"/>
              <w:rPr>
                <w:rFonts w:ascii="Times New Roman" w:hAnsi="Times New Roman" w:cs="Times New Roman"/>
                <w:color w:val="000000" w:themeColor="text1"/>
                <w:sz w:val="20"/>
                <w:szCs w:val="20"/>
                <w14:textFill>
                  <w14:solidFill>
                    <w14:schemeClr w14:val="tx1"/>
                  </w14:solidFill>
                </w14:textFill>
              </w:rPr>
            </w:pPr>
            <w:bookmarkStart w:id="14" w:name="_Hlk175732847"/>
            <w:r>
              <w:rPr>
                <w:rFonts w:ascii="Times New Roman" w:hAnsi="Times New Roman" w:cs="Times New Roman"/>
                <w:color w:val="000000" w:themeColor="text1"/>
                <w:sz w:val="20"/>
                <w:szCs w:val="20"/>
                <w14:textFill>
                  <w14:solidFill>
                    <w14:schemeClr w14:val="tx1"/>
                  </w14:solidFill>
                </w14:textFill>
              </w:rPr>
              <w:t>36</w:t>
            </w:r>
          </w:p>
        </w:tc>
        <w:tc>
          <w:tcPr>
            <w:tcW w:w="1909" w:type="dxa"/>
            <w:noWrap/>
          </w:tcPr>
          <w:p w14:paraId="4A3937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(2016)</w:t>
            </w:r>
          </w:p>
        </w:tc>
        <w:tc>
          <w:tcPr>
            <w:tcW w:w="682" w:type="dxa"/>
            <w:noWrap/>
          </w:tcPr>
          <w:p w14:paraId="3F0C52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2016</w:t>
            </w:r>
          </w:p>
        </w:tc>
        <w:tc>
          <w:tcPr>
            <w:tcW w:w="1416" w:type="dxa"/>
            <w:noWrap/>
          </w:tcPr>
          <w:p w14:paraId="0BD356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B4B30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98AC3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Phosphoric acid and  magnesium hydroxide</w:t>
            </w:r>
          </w:p>
        </w:tc>
        <w:tc>
          <w:tcPr>
            <w:tcW w:w="1800" w:type="dxa"/>
            <w:noWrap/>
          </w:tcPr>
          <w:p w14:paraId="3FC70B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63FA63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BF413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6510C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36</w:t>
            </w:r>
          </w:p>
        </w:tc>
        <w:tc>
          <w:tcPr>
            <w:tcW w:w="1909" w:type="dxa"/>
            <w:noWrap/>
          </w:tcPr>
          <w:p w14:paraId="39DE5D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(2016)</w:t>
            </w:r>
          </w:p>
        </w:tc>
        <w:tc>
          <w:tcPr>
            <w:tcW w:w="682" w:type="dxa"/>
            <w:noWrap/>
          </w:tcPr>
          <w:p w14:paraId="019B9C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2016</w:t>
            </w:r>
          </w:p>
        </w:tc>
        <w:tc>
          <w:tcPr>
            <w:tcW w:w="1416" w:type="dxa"/>
            <w:noWrap/>
          </w:tcPr>
          <w:p w14:paraId="4316E6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B7240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4EB4C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Potassium phosphate and magnesium sulfate</w:t>
            </w:r>
          </w:p>
        </w:tc>
        <w:tc>
          <w:tcPr>
            <w:tcW w:w="1800" w:type="dxa"/>
            <w:noWrap/>
          </w:tcPr>
          <w:p w14:paraId="5C2B26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383989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98B66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3FEE5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36</w:t>
            </w:r>
          </w:p>
        </w:tc>
        <w:tc>
          <w:tcPr>
            <w:tcW w:w="1909" w:type="dxa"/>
            <w:noWrap/>
          </w:tcPr>
          <w:p w14:paraId="74886E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(2016)</w:t>
            </w:r>
          </w:p>
        </w:tc>
        <w:tc>
          <w:tcPr>
            <w:tcW w:w="682" w:type="dxa"/>
            <w:noWrap/>
          </w:tcPr>
          <w:p w14:paraId="399D5F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2016</w:t>
            </w:r>
          </w:p>
        </w:tc>
        <w:tc>
          <w:tcPr>
            <w:tcW w:w="1416" w:type="dxa"/>
            <w:noWrap/>
          </w:tcPr>
          <w:p w14:paraId="78EF0F3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77B8E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8EC3E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Calcium dihydrogen phosphate and magnesium sulfate</w:t>
            </w:r>
          </w:p>
        </w:tc>
        <w:tc>
          <w:tcPr>
            <w:tcW w:w="1800" w:type="dxa"/>
            <w:noWrap/>
          </w:tcPr>
          <w:p w14:paraId="4B6F9C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5AE762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bookmarkEnd w:id="14"/>
      <w:tr w14:paraId="0CB8E5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113A1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36</w:t>
            </w:r>
          </w:p>
        </w:tc>
        <w:tc>
          <w:tcPr>
            <w:tcW w:w="1909" w:type="dxa"/>
            <w:noWrap/>
          </w:tcPr>
          <w:p w14:paraId="5C296D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(2016)</w:t>
            </w:r>
          </w:p>
        </w:tc>
        <w:tc>
          <w:tcPr>
            <w:tcW w:w="682" w:type="dxa"/>
            <w:noWrap/>
          </w:tcPr>
          <w:p w14:paraId="2C3F34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2016</w:t>
            </w:r>
          </w:p>
        </w:tc>
        <w:tc>
          <w:tcPr>
            <w:tcW w:w="1416" w:type="dxa"/>
            <w:noWrap/>
          </w:tcPr>
          <w:p w14:paraId="22F249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2022EA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3730A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Phosphoric acid and magnesium sulfate</w:t>
            </w:r>
          </w:p>
        </w:tc>
        <w:tc>
          <w:tcPr>
            <w:tcW w:w="1800" w:type="dxa"/>
            <w:noWrap/>
          </w:tcPr>
          <w:p w14:paraId="62E8B1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797E7C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AA8D5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99001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37</w:t>
            </w:r>
          </w:p>
        </w:tc>
        <w:tc>
          <w:tcPr>
            <w:tcW w:w="1909" w:type="dxa"/>
            <w:noWrap/>
          </w:tcPr>
          <w:p w14:paraId="727B2E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Xie et al. (2023)</w:t>
            </w:r>
          </w:p>
        </w:tc>
        <w:tc>
          <w:tcPr>
            <w:tcW w:w="682" w:type="dxa"/>
            <w:noWrap/>
          </w:tcPr>
          <w:p w14:paraId="315894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B2340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5AE13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bran</w:t>
            </w:r>
          </w:p>
        </w:tc>
        <w:tc>
          <w:tcPr>
            <w:tcW w:w="2900" w:type="dxa"/>
            <w:noWrap/>
          </w:tcPr>
          <w:p w14:paraId="195C84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77A104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48C387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58F1E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52A33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37</w:t>
            </w:r>
          </w:p>
        </w:tc>
        <w:tc>
          <w:tcPr>
            <w:tcW w:w="1909" w:type="dxa"/>
            <w:noWrap/>
          </w:tcPr>
          <w:p w14:paraId="6E8460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Xie et al. (2023)</w:t>
            </w:r>
          </w:p>
        </w:tc>
        <w:tc>
          <w:tcPr>
            <w:tcW w:w="682" w:type="dxa"/>
            <w:noWrap/>
          </w:tcPr>
          <w:p w14:paraId="4FD5AE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1C8A63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 of hydrothermal pretreatment</w:t>
            </w:r>
          </w:p>
        </w:tc>
        <w:tc>
          <w:tcPr>
            <w:tcW w:w="1805" w:type="dxa"/>
            <w:noWrap/>
          </w:tcPr>
          <w:p w14:paraId="53A275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bran</w:t>
            </w:r>
          </w:p>
        </w:tc>
        <w:tc>
          <w:tcPr>
            <w:tcW w:w="2900" w:type="dxa"/>
            <w:noWrap/>
          </w:tcPr>
          <w:p w14:paraId="7BE8FE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4009A0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8530D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CCC49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150C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38</w:t>
            </w:r>
          </w:p>
        </w:tc>
        <w:tc>
          <w:tcPr>
            <w:tcW w:w="1909" w:type="dxa"/>
            <w:noWrap/>
          </w:tcPr>
          <w:p w14:paraId="453A66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5C5417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0812C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82943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0CD7D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Lime </w:t>
            </w:r>
          </w:p>
        </w:tc>
        <w:tc>
          <w:tcPr>
            <w:tcW w:w="1800" w:type="dxa"/>
            <w:noWrap/>
          </w:tcPr>
          <w:p w14:paraId="50260B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0.5</w:t>
            </w:r>
          </w:p>
        </w:tc>
        <w:tc>
          <w:tcPr>
            <w:tcW w:w="1959" w:type="dxa"/>
            <w:noWrap/>
          </w:tcPr>
          <w:p w14:paraId="0F40F0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5DD21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5A45A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38</w:t>
            </w:r>
          </w:p>
        </w:tc>
        <w:tc>
          <w:tcPr>
            <w:tcW w:w="1909" w:type="dxa"/>
            <w:noWrap/>
          </w:tcPr>
          <w:p w14:paraId="5F48EF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5F96AB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673C07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E125F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9BACF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Lime </w:t>
            </w:r>
          </w:p>
        </w:tc>
        <w:tc>
          <w:tcPr>
            <w:tcW w:w="1800" w:type="dxa"/>
            <w:noWrap/>
          </w:tcPr>
          <w:p w14:paraId="762CF2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1F8DCF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B7B617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5048E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38</w:t>
            </w:r>
          </w:p>
        </w:tc>
        <w:tc>
          <w:tcPr>
            <w:tcW w:w="1909" w:type="dxa"/>
            <w:noWrap/>
          </w:tcPr>
          <w:p w14:paraId="5EC336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7FBA8E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E16322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EFF84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A19E7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Lime </w:t>
            </w:r>
          </w:p>
        </w:tc>
        <w:tc>
          <w:tcPr>
            <w:tcW w:w="1800" w:type="dxa"/>
            <w:noWrap/>
          </w:tcPr>
          <w:p w14:paraId="61F621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0A3308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30DF3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E9154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38</w:t>
            </w:r>
          </w:p>
        </w:tc>
        <w:tc>
          <w:tcPr>
            <w:tcW w:w="1909" w:type="dxa"/>
            <w:noWrap/>
          </w:tcPr>
          <w:p w14:paraId="0E3C52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722A59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16B1CF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190BE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83B89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Calcium magnesium phosphate</w:t>
            </w:r>
          </w:p>
        </w:tc>
        <w:tc>
          <w:tcPr>
            <w:tcW w:w="1800" w:type="dxa"/>
            <w:noWrap/>
          </w:tcPr>
          <w:p w14:paraId="6C4CFD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EFDC7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19685B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3C987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39</w:t>
            </w:r>
          </w:p>
        </w:tc>
        <w:tc>
          <w:tcPr>
            <w:tcW w:w="1909" w:type="dxa"/>
            <w:noWrap/>
          </w:tcPr>
          <w:p w14:paraId="39C6C9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Tang et al. Zhang et al. [39]</w:t>
            </w:r>
          </w:p>
        </w:tc>
        <w:tc>
          <w:tcPr>
            <w:tcW w:w="682" w:type="dxa"/>
            <w:noWrap/>
          </w:tcPr>
          <w:p w14:paraId="16EFA6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67A19F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3AB53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186B8D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5C780B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0.6</w:t>
            </w:r>
          </w:p>
        </w:tc>
        <w:tc>
          <w:tcPr>
            <w:tcW w:w="1959" w:type="dxa"/>
            <w:noWrap/>
          </w:tcPr>
          <w:p w14:paraId="62D614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A9B55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7AE63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39</w:t>
            </w:r>
          </w:p>
        </w:tc>
        <w:tc>
          <w:tcPr>
            <w:tcW w:w="1909" w:type="dxa"/>
            <w:noWrap/>
          </w:tcPr>
          <w:p w14:paraId="10269D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Tang et al. Zhang et al. (2023)</w:t>
            </w:r>
          </w:p>
        </w:tc>
        <w:tc>
          <w:tcPr>
            <w:tcW w:w="682" w:type="dxa"/>
            <w:noWrap/>
          </w:tcPr>
          <w:p w14:paraId="1543DA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1DF16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720001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2587D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4BF35D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0.9</w:t>
            </w:r>
          </w:p>
        </w:tc>
        <w:tc>
          <w:tcPr>
            <w:tcW w:w="1959" w:type="dxa"/>
            <w:noWrap/>
          </w:tcPr>
          <w:p w14:paraId="26EC86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BC5CD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3EEFA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40</w:t>
            </w:r>
          </w:p>
        </w:tc>
        <w:tc>
          <w:tcPr>
            <w:tcW w:w="1909" w:type="dxa"/>
            <w:noWrap/>
          </w:tcPr>
          <w:p w14:paraId="286E4A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6C5E16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A1E4E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7863A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924DA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Nano iron</w:t>
            </w:r>
          </w:p>
        </w:tc>
        <w:tc>
          <w:tcPr>
            <w:tcW w:w="1800" w:type="dxa"/>
            <w:noWrap/>
          </w:tcPr>
          <w:p w14:paraId="2E0FD8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0.03</w:t>
            </w:r>
          </w:p>
        </w:tc>
        <w:tc>
          <w:tcPr>
            <w:tcW w:w="1959" w:type="dxa"/>
            <w:noWrap/>
          </w:tcPr>
          <w:p w14:paraId="6E3B396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9EBE3D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EDCCB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40</w:t>
            </w:r>
          </w:p>
        </w:tc>
        <w:tc>
          <w:tcPr>
            <w:tcW w:w="1909" w:type="dxa"/>
            <w:noWrap/>
          </w:tcPr>
          <w:p w14:paraId="147413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3FF869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6BD42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EF603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4331C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Potassium peroxodisulfate</w:t>
            </w:r>
          </w:p>
        </w:tc>
        <w:tc>
          <w:tcPr>
            <w:tcW w:w="1800" w:type="dxa"/>
            <w:noWrap/>
          </w:tcPr>
          <w:p w14:paraId="46823B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0.56</w:t>
            </w:r>
          </w:p>
        </w:tc>
        <w:tc>
          <w:tcPr>
            <w:tcW w:w="1959" w:type="dxa"/>
            <w:noWrap/>
          </w:tcPr>
          <w:p w14:paraId="02F546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3701C5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F4D83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40</w:t>
            </w:r>
          </w:p>
        </w:tc>
        <w:tc>
          <w:tcPr>
            <w:tcW w:w="1909" w:type="dxa"/>
            <w:noWrap/>
          </w:tcPr>
          <w:p w14:paraId="1F49B6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278D5B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1CD10E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FC2F5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0B69F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 biochar</w:t>
            </w:r>
          </w:p>
        </w:tc>
        <w:tc>
          <w:tcPr>
            <w:tcW w:w="1800" w:type="dxa"/>
            <w:noWrap/>
          </w:tcPr>
          <w:p w14:paraId="262EC1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F9F37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F2CA8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F191F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40</w:t>
            </w:r>
          </w:p>
        </w:tc>
        <w:tc>
          <w:tcPr>
            <w:tcW w:w="1909" w:type="dxa"/>
            <w:noWrap/>
          </w:tcPr>
          <w:p w14:paraId="0C00F4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3279E8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B5B56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DFA0B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F442D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 biochar</w:t>
            </w:r>
          </w:p>
        </w:tc>
        <w:tc>
          <w:tcPr>
            <w:tcW w:w="1800" w:type="dxa"/>
            <w:noWrap/>
          </w:tcPr>
          <w:p w14:paraId="006BA2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37B85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52669C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08C8E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41</w:t>
            </w:r>
          </w:p>
        </w:tc>
        <w:tc>
          <w:tcPr>
            <w:tcW w:w="1909" w:type="dxa"/>
            <w:noWrap/>
          </w:tcPr>
          <w:p w14:paraId="154E1C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Luo et al. (2013)</w:t>
            </w:r>
          </w:p>
        </w:tc>
        <w:tc>
          <w:tcPr>
            <w:tcW w:w="682" w:type="dxa"/>
            <w:noWrap/>
          </w:tcPr>
          <w:p w14:paraId="0F8399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696E56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C8BA2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84018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w:t>
            </w:r>
          </w:p>
        </w:tc>
        <w:tc>
          <w:tcPr>
            <w:tcW w:w="1800" w:type="dxa"/>
            <w:noWrap/>
          </w:tcPr>
          <w:p w14:paraId="75F350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09805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75EEF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CF9ED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41</w:t>
            </w:r>
          </w:p>
        </w:tc>
        <w:tc>
          <w:tcPr>
            <w:tcW w:w="1909" w:type="dxa"/>
            <w:noWrap/>
          </w:tcPr>
          <w:p w14:paraId="5DAF20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Luo et al. (2013)</w:t>
            </w:r>
          </w:p>
        </w:tc>
        <w:tc>
          <w:tcPr>
            <w:tcW w:w="682" w:type="dxa"/>
            <w:noWrap/>
          </w:tcPr>
          <w:p w14:paraId="4E619C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2FAE9C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11897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3C7B9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 and dicyandiamide</w:t>
            </w:r>
          </w:p>
        </w:tc>
        <w:tc>
          <w:tcPr>
            <w:tcW w:w="1800" w:type="dxa"/>
            <w:noWrap/>
          </w:tcPr>
          <w:p w14:paraId="73E5C7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10.2</w:t>
            </w:r>
          </w:p>
        </w:tc>
        <w:tc>
          <w:tcPr>
            <w:tcW w:w="1959" w:type="dxa"/>
            <w:noWrap/>
          </w:tcPr>
          <w:p w14:paraId="6E3165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5FCA1C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89DDC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41</w:t>
            </w:r>
          </w:p>
        </w:tc>
        <w:tc>
          <w:tcPr>
            <w:tcW w:w="1909" w:type="dxa"/>
            <w:noWrap/>
          </w:tcPr>
          <w:p w14:paraId="72C6E0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Luo et al. (2013)</w:t>
            </w:r>
          </w:p>
        </w:tc>
        <w:tc>
          <w:tcPr>
            <w:tcW w:w="682" w:type="dxa"/>
            <w:noWrap/>
          </w:tcPr>
          <w:p w14:paraId="554CE8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2AFE23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1C4C6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1A4A7A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 and dicyandiamide</w:t>
            </w:r>
          </w:p>
        </w:tc>
        <w:tc>
          <w:tcPr>
            <w:tcW w:w="1800" w:type="dxa"/>
            <w:noWrap/>
          </w:tcPr>
          <w:p w14:paraId="09D5C5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5.2</w:t>
            </w:r>
          </w:p>
        </w:tc>
        <w:tc>
          <w:tcPr>
            <w:tcW w:w="1959" w:type="dxa"/>
            <w:noWrap/>
          </w:tcPr>
          <w:p w14:paraId="7E57C1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D63B5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B1CBE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42</w:t>
            </w:r>
          </w:p>
        </w:tc>
        <w:tc>
          <w:tcPr>
            <w:tcW w:w="1909" w:type="dxa"/>
            <w:noWrap/>
          </w:tcPr>
          <w:p w14:paraId="083153A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(2018)</w:t>
            </w:r>
          </w:p>
        </w:tc>
        <w:tc>
          <w:tcPr>
            <w:tcW w:w="682" w:type="dxa"/>
            <w:noWrap/>
          </w:tcPr>
          <w:p w14:paraId="4A80B1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4DC7E5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FE5B6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0A9DB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1E74398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06463D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FF81FF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88EF6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43</w:t>
            </w:r>
          </w:p>
        </w:tc>
        <w:tc>
          <w:tcPr>
            <w:tcW w:w="1909" w:type="dxa"/>
            <w:noWrap/>
          </w:tcPr>
          <w:p w14:paraId="0FA8E2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Shan et al. (2018)</w:t>
            </w:r>
          </w:p>
        </w:tc>
        <w:tc>
          <w:tcPr>
            <w:tcW w:w="682" w:type="dxa"/>
            <w:noWrap/>
          </w:tcPr>
          <w:p w14:paraId="3A1125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EB854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43499B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FA93D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Hydrothermal carbonation of sewage sludge</w:t>
            </w:r>
          </w:p>
        </w:tc>
        <w:tc>
          <w:tcPr>
            <w:tcW w:w="1800" w:type="dxa"/>
            <w:noWrap/>
          </w:tcPr>
          <w:p w14:paraId="7BFB6F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61B358D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87409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63112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43</w:t>
            </w:r>
          </w:p>
        </w:tc>
        <w:tc>
          <w:tcPr>
            <w:tcW w:w="1909" w:type="dxa"/>
            <w:noWrap/>
          </w:tcPr>
          <w:p w14:paraId="62E64F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Shan et al. (2023)</w:t>
            </w:r>
          </w:p>
        </w:tc>
        <w:tc>
          <w:tcPr>
            <w:tcW w:w="682" w:type="dxa"/>
            <w:noWrap/>
          </w:tcPr>
          <w:p w14:paraId="24C327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77E89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2A5A9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7212E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Hydrothermal carbonation of sewage sludge and rice husks</w:t>
            </w:r>
          </w:p>
        </w:tc>
        <w:tc>
          <w:tcPr>
            <w:tcW w:w="1800" w:type="dxa"/>
            <w:noWrap/>
          </w:tcPr>
          <w:p w14:paraId="6157FCD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1DA892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557DC3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07140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44</w:t>
            </w:r>
          </w:p>
        </w:tc>
        <w:tc>
          <w:tcPr>
            <w:tcW w:w="1909" w:type="dxa"/>
            <w:noWrap/>
          </w:tcPr>
          <w:p w14:paraId="14F26A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Alarefee et al. (2023)</w:t>
            </w:r>
          </w:p>
        </w:tc>
        <w:tc>
          <w:tcPr>
            <w:tcW w:w="682" w:type="dxa"/>
            <w:noWrap/>
          </w:tcPr>
          <w:p w14:paraId="271EA5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106CA7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4C723A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55D504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611E7A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17B9E2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598E1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18952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44</w:t>
            </w:r>
          </w:p>
        </w:tc>
        <w:tc>
          <w:tcPr>
            <w:tcW w:w="1909" w:type="dxa"/>
            <w:noWrap/>
          </w:tcPr>
          <w:p w14:paraId="475CEB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Alarefee et al. (2023)</w:t>
            </w:r>
          </w:p>
        </w:tc>
        <w:tc>
          <w:tcPr>
            <w:tcW w:w="682" w:type="dxa"/>
            <w:noWrap/>
          </w:tcPr>
          <w:p w14:paraId="11313D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794C8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72E12F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700206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0C5674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8.5</w:t>
            </w:r>
          </w:p>
        </w:tc>
        <w:tc>
          <w:tcPr>
            <w:tcW w:w="1959" w:type="dxa"/>
            <w:noWrap/>
          </w:tcPr>
          <w:p w14:paraId="4B98BF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0B9DC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EE130B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44</w:t>
            </w:r>
          </w:p>
        </w:tc>
        <w:tc>
          <w:tcPr>
            <w:tcW w:w="1909" w:type="dxa"/>
            <w:noWrap/>
          </w:tcPr>
          <w:p w14:paraId="214D09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Alarefee et al. (2023)</w:t>
            </w:r>
          </w:p>
        </w:tc>
        <w:tc>
          <w:tcPr>
            <w:tcW w:w="682" w:type="dxa"/>
            <w:noWrap/>
          </w:tcPr>
          <w:p w14:paraId="6B6C2B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12F19C0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A9CA3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0290D26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Biochar </w:t>
            </w:r>
          </w:p>
        </w:tc>
        <w:tc>
          <w:tcPr>
            <w:tcW w:w="1800" w:type="dxa"/>
            <w:noWrap/>
          </w:tcPr>
          <w:p w14:paraId="3ADDF5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11.25</w:t>
            </w:r>
          </w:p>
        </w:tc>
        <w:tc>
          <w:tcPr>
            <w:tcW w:w="1959" w:type="dxa"/>
            <w:noWrap/>
          </w:tcPr>
          <w:p w14:paraId="3F0B69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2936B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94DE4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45</w:t>
            </w:r>
          </w:p>
        </w:tc>
        <w:tc>
          <w:tcPr>
            <w:tcW w:w="1909" w:type="dxa"/>
            <w:noWrap/>
          </w:tcPr>
          <w:p w14:paraId="6E9C40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Yuan et al. (2016)</w:t>
            </w:r>
          </w:p>
        </w:tc>
        <w:tc>
          <w:tcPr>
            <w:tcW w:w="682" w:type="dxa"/>
            <w:noWrap/>
          </w:tcPr>
          <w:p w14:paraId="19664B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2016</w:t>
            </w:r>
          </w:p>
        </w:tc>
        <w:tc>
          <w:tcPr>
            <w:tcW w:w="1416" w:type="dxa"/>
            <w:noWrap/>
          </w:tcPr>
          <w:p w14:paraId="3B5EFF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6BE70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50A5D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093AD8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w:t>
            </w:r>
          </w:p>
        </w:tc>
        <w:tc>
          <w:tcPr>
            <w:tcW w:w="1959" w:type="dxa"/>
            <w:noWrap/>
          </w:tcPr>
          <w:p w14:paraId="6EB9F4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EA8CA6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152DD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45</w:t>
            </w:r>
          </w:p>
        </w:tc>
        <w:tc>
          <w:tcPr>
            <w:tcW w:w="1909" w:type="dxa"/>
            <w:noWrap/>
          </w:tcPr>
          <w:p w14:paraId="7AF3B1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Yuan et al. (2016)</w:t>
            </w:r>
          </w:p>
        </w:tc>
        <w:tc>
          <w:tcPr>
            <w:tcW w:w="682" w:type="dxa"/>
            <w:noWrap/>
          </w:tcPr>
          <w:p w14:paraId="64EC32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2016</w:t>
            </w:r>
          </w:p>
        </w:tc>
        <w:tc>
          <w:tcPr>
            <w:tcW w:w="1416" w:type="dxa"/>
            <w:noWrap/>
          </w:tcPr>
          <w:p w14:paraId="6A1876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13B3D4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59C68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61AB6B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0.3</w:t>
            </w:r>
          </w:p>
        </w:tc>
        <w:tc>
          <w:tcPr>
            <w:tcW w:w="1959" w:type="dxa"/>
            <w:noWrap/>
          </w:tcPr>
          <w:p w14:paraId="2CC612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B3B715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79677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46</w:t>
            </w:r>
          </w:p>
        </w:tc>
        <w:tc>
          <w:tcPr>
            <w:tcW w:w="1909" w:type="dxa"/>
            <w:noWrap/>
          </w:tcPr>
          <w:p w14:paraId="358ECA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3D3CEE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CF508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5FE5F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FE1BF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754077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0.1</w:t>
            </w:r>
          </w:p>
        </w:tc>
        <w:tc>
          <w:tcPr>
            <w:tcW w:w="1959" w:type="dxa"/>
            <w:noWrap/>
          </w:tcPr>
          <w:p w14:paraId="381BCB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403229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43830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46</w:t>
            </w:r>
          </w:p>
        </w:tc>
        <w:tc>
          <w:tcPr>
            <w:tcW w:w="1909" w:type="dxa"/>
            <w:noWrap/>
          </w:tcPr>
          <w:p w14:paraId="72C360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4CDCCB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15A05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1391B7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85243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4C90E9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0.15</w:t>
            </w:r>
          </w:p>
        </w:tc>
        <w:tc>
          <w:tcPr>
            <w:tcW w:w="1959" w:type="dxa"/>
            <w:noWrap/>
          </w:tcPr>
          <w:p w14:paraId="746613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EFE87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FAE52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47</w:t>
            </w:r>
          </w:p>
        </w:tc>
        <w:tc>
          <w:tcPr>
            <w:tcW w:w="1909" w:type="dxa"/>
            <w:noWrap/>
          </w:tcPr>
          <w:p w14:paraId="2EA578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(2022)</w:t>
            </w:r>
          </w:p>
        </w:tc>
        <w:tc>
          <w:tcPr>
            <w:tcW w:w="682" w:type="dxa"/>
            <w:noWrap/>
          </w:tcPr>
          <w:p w14:paraId="558D16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247FE5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213CC2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662972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72476AD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34708DD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3A7E1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F6ECF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47</w:t>
            </w:r>
          </w:p>
        </w:tc>
        <w:tc>
          <w:tcPr>
            <w:tcW w:w="1909" w:type="dxa"/>
            <w:noWrap/>
          </w:tcPr>
          <w:p w14:paraId="21FB2C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(2022)</w:t>
            </w:r>
          </w:p>
        </w:tc>
        <w:tc>
          <w:tcPr>
            <w:tcW w:w="682" w:type="dxa"/>
            <w:noWrap/>
          </w:tcPr>
          <w:p w14:paraId="5760B8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258B72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5F0F55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37A059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Biogas residue</w:t>
            </w:r>
          </w:p>
        </w:tc>
        <w:tc>
          <w:tcPr>
            <w:tcW w:w="1800" w:type="dxa"/>
            <w:noWrap/>
          </w:tcPr>
          <w:p w14:paraId="2B2869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82CB1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03807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01F69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47</w:t>
            </w:r>
          </w:p>
        </w:tc>
        <w:tc>
          <w:tcPr>
            <w:tcW w:w="1909" w:type="dxa"/>
            <w:noWrap/>
          </w:tcPr>
          <w:p w14:paraId="09EA1B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(2022)</w:t>
            </w:r>
          </w:p>
        </w:tc>
        <w:tc>
          <w:tcPr>
            <w:tcW w:w="682" w:type="dxa"/>
            <w:noWrap/>
          </w:tcPr>
          <w:p w14:paraId="1D1CDA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E47E7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659D2B7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0B8D58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biogas residue</w:t>
            </w:r>
          </w:p>
        </w:tc>
        <w:tc>
          <w:tcPr>
            <w:tcW w:w="1800" w:type="dxa"/>
            <w:noWrap/>
          </w:tcPr>
          <w:p w14:paraId="7AF67A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398512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24962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D7B25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48</w:t>
            </w:r>
          </w:p>
        </w:tc>
        <w:tc>
          <w:tcPr>
            <w:tcW w:w="1909" w:type="dxa"/>
            <w:noWrap/>
          </w:tcPr>
          <w:p w14:paraId="3001B6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(2023)</w:t>
            </w:r>
          </w:p>
        </w:tc>
        <w:tc>
          <w:tcPr>
            <w:tcW w:w="682" w:type="dxa"/>
            <w:noWrap/>
          </w:tcPr>
          <w:p w14:paraId="10CD76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79D3C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4E75D1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7C0033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0220E0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0.1</w:t>
            </w:r>
          </w:p>
        </w:tc>
        <w:tc>
          <w:tcPr>
            <w:tcW w:w="1959" w:type="dxa"/>
            <w:noWrap/>
          </w:tcPr>
          <w:p w14:paraId="67170A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1B7AA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3B88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48</w:t>
            </w:r>
          </w:p>
        </w:tc>
        <w:tc>
          <w:tcPr>
            <w:tcW w:w="1909" w:type="dxa"/>
            <w:noWrap/>
          </w:tcPr>
          <w:p w14:paraId="4249FC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(2023)</w:t>
            </w:r>
          </w:p>
        </w:tc>
        <w:tc>
          <w:tcPr>
            <w:tcW w:w="682" w:type="dxa"/>
            <w:noWrap/>
          </w:tcPr>
          <w:p w14:paraId="7FEF8F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EC2FA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092313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0BEDC8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6C5E04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0.01</w:t>
            </w:r>
          </w:p>
        </w:tc>
        <w:tc>
          <w:tcPr>
            <w:tcW w:w="1959" w:type="dxa"/>
            <w:noWrap/>
          </w:tcPr>
          <w:p w14:paraId="77CAB35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C18DB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3AA9D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48</w:t>
            </w:r>
          </w:p>
        </w:tc>
        <w:tc>
          <w:tcPr>
            <w:tcW w:w="1909" w:type="dxa"/>
            <w:noWrap/>
          </w:tcPr>
          <w:p w14:paraId="50E532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(2023)</w:t>
            </w:r>
          </w:p>
        </w:tc>
        <w:tc>
          <w:tcPr>
            <w:tcW w:w="682" w:type="dxa"/>
            <w:noWrap/>
          </w:tcPr>
          <w:p w14:paraId="430F7E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A41E3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3181B5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54100E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microbial inoculants</w:t>
            </w:r>
          </w:p>
        </w:tc>
        <w:tc>
          <w:tcPr>
            <w:tcW w:w="1800" w:type="dxa"/>
            <w:noWrap/>
          </w:tcPr>
          <w:p w14:paraId="3B1921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0.11</w:t>
            </w:r>
          </w:p>
        </w:tc>
        <w:tc>
          <w:tcPr>
            <w:tcW w:w="1959" w:type="dxa"/>
            <w:noWrap/>
          </w:tcPr>
          <w:p w14:paraId="6EE447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0DF427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9E7C3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49</w:t>
            </w:r>
          </w:p>
        </w:tc>
        <w:tc>
          <w:tcPr>
            <w:tcW w:w="1909" w:type="dxa"/>
            <w:noWrap/>
          </w:tcPr>
          <w:p w14:paraId="4587B9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He et al. (2019)</w:t>
            </w:r>
          </w:p>
        </w:tc>
        <w:tc>
          <w:tcPr>
            <w:tcW w:w="682" w:type="dxa"/>
            <w:noWrap/>
          </w:tcPr>
          <w:p w14:paraId="64767A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7B1693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2B75D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4CD16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72B4DC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87920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03D47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033EC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49</w:t>
            </w:r>
          </w:p>
        </w:tc>
        <w:tc>
          <w:tcPr>
            <w:tcW w:w="1909" w:type="dxa"/>
            <w:noWrap/>
          </w:tcPr>
          <w:p w14:paraId="7EC161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He et al. (2019)</w:t>
            </w:r>
          </w:p>
        </w:tc>
        <w:tc>
          <w:tcPr>
            <w:tcW w:w="682" w:type="dxa"/>
            <w:noWrap/>
          </w:tcPr>
          <w:p w14:paraId="420835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5778EE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CC916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72F641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 biochar</w:t>
            </w:r>
          </w:p>
        </w:tc>
        <w:tc>
          <w:tcPr>
            <w:tcW w:w="1800" w:type="dxa"/>
            <w:noWrap/>
          </w:tcPr>
          <w:p w14:paraId="1129D5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2B9FAF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605760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E58FE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49</w:t>
            </w:r>
          </w:p>
        </w:tc>
        <w:tc>
          <w:tcPr>
            <w:tcW w:w="1909" w:type="dxa"/>
            <w:noWrap/>
          </w:tcPr>
          <w:p w14:paraId="6654DB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He et al. (2019)</w:t>
            </w:r>
          </w:p>
        </w:tc>
        <w:tc>
          <w:tcPr>
            <w:tcW w:w="682" w:type="dxa"/>
            <w:noWrap/>
          </w:tcPr>
          <w:p w14:paraId="436694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0A7545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4DDD5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65DDF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Granular bamboo biochar</w:t>
            </w:r>
          </w:p>
        </w:tc>
        <w:tc>
          <w:tcPr>
            <w:tcW w:w="1800" w:type="dxa"/>
            <w:noWrap/>
          </w:tcPr>
          <w:p w14:paraId="4C5F03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65A6F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0B6A5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2D20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50</w:t>
            </w:r>
          </w:p>
        </w:tc>
        <w:tc>
          <w:tcPr>
            <w:tcW w:w="1909" w:type="dxa"/>
            <w:noWrap/>
          </w:tcPr>
          <w:p w14:paraId="129506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(2020)</w:t>
            </w:r>
          </w:p>
        </w:tc>
        <w:tc>
          <w:tcPr>
            <w:tcW w:w="682" w:type="dxa"/>
            <w:noWrap/>
          </w:tcPr>
          <w:p w14:paraId="605B8D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BDD6A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00B45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66A6A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Calcium magnesium phosphate </w:t>
            </w:r>
          </w:p>
        </w:tc>
        <w:tc>
          <w:tcPr>
            <w:tcW w:w="1800" w:type="dxa"/>
            <w:noWrap/>
          </w:tcPr>
          <w:p w14:paraId="7B22A7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4FAF6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1D7A7A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50A5B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50</w:t>
            </w:r>
          </w:p>
        </w:tc>
        <w:tc>
          <w:tcPr>
            <w:tcW w:w="1909" w:type="dxa"/>
            <w:noWrap/>
          </w:tcPr>
          <w:p w14:paraId="1DDCBC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(2020)</w:t>
            </w:r>
          </w:p>
        </w:tc>
        <w:tc>
          <w:tcPr>
            <w:tcW w:w="682" w:type="dxa"/>
            <w:noWrap/>
          </w:tcPr>
          <w:p w14:paraId="78B130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32943F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3ACD2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E2C43E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3D8BAE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33B00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07F6B77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6AA8D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50</w:t>
            </w:r>
          </w:p>
        </w:tc>
        <w:tc>
          <w:tcPr>
            <w:tcW w:w="1909" w:type="dxa"/>
            <w:noWrap/>
          </w:tcPr>
          <w:p w14:paraId="4421C3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(2020)</w:t>
            </w:r>
          </w:p>
        </w:tc>
        <w:tc>
          <w:tcPr>
            <w:tcW w:w="682" w:type="dxa"/>
            <w:noWrap/>
          </w:tcPr>
          <w:p w14:paraId="758DDC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7F194F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B060D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0F29F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Spent mushroom substrate </w:t>
            </w:r>
          </w:p>
        </w:tc>
        <w:tc>
          <w:tcPr>
            <w:tcW w:w="1800" w:type="dxa"/>
            <w:noWrap/>
          </w:tcPr>
          <w:p w14:paraId="5AA157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275086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0C9047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45A33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51</w:t>
            </w:r>
          </w:p>
        </w:tc>
        <w:tc>
          <w:tcPr>
            <w:tcW w:w="1909" w:type="dxa"/>
            <w:noWrap/>
          </w:tcPr>
          <w:p w14:paraId="16C788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06C93E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92F68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2180EF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43FA6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100965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0.24</w:t>
            </w:r>
          </w:p>
        </w:tc>
        <w:tc>
          <w:tcPr>
            <w:tcW w:w="1959" w:type="dxa"/>
            <w:noWrap/>
          </w:tcPr>
          <w:p w14:paraId="6D4996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1FBA63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8B939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51</w:t>
            </w:r>
          </w:p>
        </w:tc>
        <w:tc>
          <w:tcPr>
            <w:tcW w:w="1909" w:type="dxa"/>
            <w:noWrap/>
          </w:tcPr>
          <w:p w14:paraId="54F7E4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00E1A6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5618D0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0E59C2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A4D52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4EF9EE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0.36</w:t>
            </w:r>
          </w:p>
        </w:tc>
        <w:tc>
          <w:tcPr>
            <w:tcW w:w="1959" w:type="dxa"/>
            <w:noWrap/>
          </w:tcPr>
          <w:p w14:paraId="2D9669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848C0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C166B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51</w:t>
            </w:r>
          </w:p>
        </w:tc>
        <w:tc>
          <w:tcPr>
            <w:tcW w:w="1909" w:type="dxa"/>
            <w:noWrap/>
          </w:tcPr>
          <w:p w14:paraId="31334C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362825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3E2AA5A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316A15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AD9A6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53FD55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0.24</w:t>
            </w:r>
          </w:p>
        </w:tc>
        <w:tc>
          <w:tcPr>
            <w:tcW w:w="1959" w:type="dxa"/>
            <w:noWrap/>
          </w:tcPr>
          <w:p w14:paraId="28A854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5C7A8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7D5A2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52</w:t>
            </w:r>
          </w:p>
        </w:tc>
        <w:tc>
          <w:tcPr>
            <w:tcW w:w="1909" w:type="dxa"/>
            <w:noWrap/>
          </w:tcPr>
          <w:p w14:paraId="709F46F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(2022)</w:t>
            </w:r>
          </w:p>
        </w:tc>
        <w:tc>
          <w:tcPr>
            <w:tcW w:w="682" w:type="dxa"/>
            <w:noWrap/>
          </w:tcPr>
          <w:p w14:paraId="466AB1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3BCB8E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111C0F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0AF7EE8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1248BE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29D8D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E42CB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90289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53</w:t>
            </w:r>
          </w:p>
        </w:tc>
        <w:tc>
          <w:tcPr>
            <w:tcW w:w="1909" w:type="dxa"/>
            <w:noWrap/>
          </w:tcPr>
          <w:p w14:paraId="3D85CB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(2022)</w:t>
            </w:r>
          </w:p>
        </w:tc>
        <w:tc>
          <w:tcPr>
            <w:tcW w:w="682" w:type="dxa"/>
            <w:noWrap/>
          </w:tcPr>
          <w:p w14:paraId="20AC8D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02B2D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0699FE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EF017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Dicyandiamide</w:t>
            </w:r>
          </w:p>
        </w:tc>
        <w:tc>
          <w:tcPr>
            <w:tcW w:w="1800" w:type="dxa"/>
            <w:noWrap/>
          </w:tcPr>
          <w:p w14:paraId="1F3BD5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w:t>
            </w:r>
          </w:p>
        </w:tc>
        <w:tc>
          <w:tcPr>
            <w:tcW w:w="1959" w:type="dxa"/>
            <w:noWrap/>
          </w:tcPr>
          <w:p w14:paraId="48225C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865C7E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D1CE7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53</w:t>
            </w:r>
          </w:p>
        </w:tc>
        <w:tc>
          <w:tcPr>
            <w:tcW w:w="1909" w:type="dxa"/>
            <w:noWrap/>
          </w:tcPr>
          <w:p w14:paraId="64B506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(2022)</w:t>
            </w:r>
          </w:p>
        </w:tc>
        <w:tc>
          <w:tcPr>
            <w:tcW w:w="682" w:type="dxa"/>
            <w:noWrap/>
          </w:tcPr>
          <w:p w14:paraId="649DC0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30B7D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237E5B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4C48A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w:t>
            </w:r>
          </w:p>
        </w:tc>
        <w:tc>
          <w:tcPr>
            <w:tcW w:w="1800" w:type="dxa"/>
            <w:noWrap/>
          </w:tcPr>
          <w:p w14:paraId="7F9AA5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6.6</w:t>
            </w:r>
          </w:p>
        </w:tc>
        <w:tc>
          <w:tcPr>
            <w:tcW w:w="1959" w:type="dxa"/>
            <w:noWrap/>
          </w:tcPr>
          <w:p w14:paraId="413B35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355DB3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C66D9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53</w:t>
            </w:r>
          </w:p>
        </w:tc>
        <w:tc>
          <w:tcPr>
            <w:tcW w:w="1909" w:type="dxa"/>
            <w:noWrap/>
          </w:tcPr>
          <w:p w14:paraId="5842E5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(2022)</w:t>
            </w:r>
          </w:p>
        </w:tc>
        <w:tc>
          <w:tcPr>
            <w:tcW w:w="682" w:type="dxa"/>
            <w:noWrap/>
          </w:tcPr>
          <w:p w14:paraId="175875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AE0D4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38CB3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17349F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34E6F3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6.6</w:t>
            </w:r>
          </w:p>
        </w:tc>
        <w:tc>
          <w:tcPr>
            <w:tcW w:w="1959" w:type="dxa"/>
            <w:noWrap/>
          </w:tcPr>
          <w:p w14:paraId="7ADE7B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138D4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A310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54</w:t>
            </w:r>
          </w:p>
        </w:tc>
        <w:tc>
          <w:tcPr>
            <w:tcW w:w="1909" w:type="dxa"/>
            <w:noWrap/>
          </w:tcPr>
          <w:p w14:paraId="4A2533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(2018)</w:t>
            </w:r>
          </w:p>
        </w:tc>
        <w:tc>
          <w:tcPr>
            <w:tcW w:w="682" w:type="dxa"/>
            <w:noWrap/>
          </w:tcPr>
          <w:p w14:paraId="4BD44D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B43CE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9F8D9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25E5717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1800" w:type="dxa"/>
            <w:noWrap/>
          </w:tcPr>
          <w:p w14:paraId="2017B2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254B0A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6BF4DDA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EC1C7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55</w:t>
            </w:r>
          </w:p>
        </w:tc>
        <w:tc>
          <w:tcPr>
            <w:tcW w:w="1909" w:type="dxa"/>
            <w:noWrap/>
          </w:tcPr>
          <w:p w14:paraId="20C416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Ottani et al. (2023)</w:t>
            </w:r>
          </w:p>
        </w:tc>
        <w:tc>
          <w:tcPr>
            <w:tcW w:w="682" w:type="dxa"/>
            <w:noWrap/>
          </w:tcPr>
          <w:p w14:paraId="1468CC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A5B7B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5" w:type="dxa"/>
            <w:noWrap/>
          </w:tcPr>
          <w:p w14:paraId="1D8541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21CC4C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Fine biochar</w:t>
            </w:r>
          </w:p>
        </w:tc>
        <w:tc>
          <w:tcPr>
            <w:tcW w:w="1800" w:type="dxa"/>
            <w:noWrap/>
          </w:tcPr>
          <w:p w14:paraId="3190CC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5DCABF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D6A97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F33D5A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55</w:t>
            </w:r>
          </w:p>
        </w:tc>
        <w:tc>
          <w:tcPr>
            <w:tcW w:w="1909" w:type="dxa"/>
            <w:noWrap/>
          </w:tcPr>
          <w:p w14:paraId="2AD5E4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Ottani et al. (2023)</w:t>
            </w:r>
          </w:p>
        </w:tc>
        <w:tc>
          <w:tcPr>
            <w:tcW w:w="682" w:type="dxa"/>
            <w:noWrap/>
          </w:tcPr>
          <w:p w14:paraId="1CC8A3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28344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5" w:type="dxa"/>
            <w:noWrap/>
          </w:tcPr>
          <w:p w14:paraId="3C56AE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7CC557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Coarse biochar</w:t>
            </w:r>
          </w:p>
        </w:tc>
        <w:tc>
          <w:tcPr>
            <w:tcW w:w="1800" w:type="dxa"/>
            <w:noWrap/>
          </w:tcPr>
          <w:p w14:paraId="34D360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9D65E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5EAE74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E4103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56</w:t>
            </w:r>
          </w:p>
        </w:tc>
        <w:tc>
          <w:tcPr>
            <w:tcW w:w="1909" w:type="dxa"/>
            <w:noWrap/>
          </w:tcPr>
          <w:p w14:paraId="039001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Mao et al. (2019)</w:t>
            </w:r>
          </w:p>
        </w:tc>
        <w:tc>
          <w:tcPr>
            <w:tcW w:w="682" w:type="dxa"/>
            <w:noWrap/>
          </w:tcPr>
          <w:p w14:paraId="4AD675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587549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7091D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4C7CCF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Medical stone</w:t>
            </w:r>
          </w:p>
        </w:tc>
        <w:tc>
          <w:tcPr>
            <w:tcW w:w="1800" w:type="dxa"/>
            <w:noWrap/>
          </w:tcPr>
          <w:p w14:paraId="085D6B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C4649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99A5C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EB68E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56</w:t>
            </w:r>
          </w:p>
        </w:tc>
        <w:tc>
          <w:tcPr>
            <w:tcW w:w="1909" w:type="dxa"/>
            <w:noWrap/>
          </w:tcPr>
          <w:p w14:paraId="240420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Mao et al. (2019)</w:t>
            </w:r>
          </w:p>
        </w:tc>
        <w:tc>
          <w:tcPr>
            <w:tcW w:w="682" w:type="dxa"/>
            <w:noWrap/>
          </w:tcPr>
          <w:p w14:paraId="4E8FE75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11637B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F6009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7B93E4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5F7C02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BED36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C39489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60BF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56</w:t>
            </w:r>
          </w:p>
        </w:tc>
        <w:tc>
          <w:tcPr>
            <w:tcW w:w="1909" w:type="dxa"/>
            <w:noWrap/>
          </w:tcPr>
          <w:p w14:paraId="25A05A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Mao et al. (2019)</w:t>
            </w:r>
          </w:p>
        </w:tc>
        <w:tc>
          <w:tcPr>
            <w:tcW w:w="682" w:type="dxa"/>
            <w:noWrap/>
          </w:tcPr>
          <w:p w14:paraId="469626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7B0598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DCE7A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00DA7B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7090BD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6376CA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EA630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EBC8B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56</w:t>
            </w:r>
          </w:p>
        </w:tc>
        <w:tc>
          <w:tcPr>
            <w:tcW w:w="1909" w:type="dxa"/>
            <w:noWrap/>
          </w:tcPr>
          <w:p w14:paraId="4E5D29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Mao et al. (2019)</w:t>
            </w:r>
          </w:p>
        </w:tc>
        <w:tc>
          <w:tcPr>
            <w:tcW w:w="682" w:type="dxa"/>
            <w:noWrap/>
          </w:tcPr>
          <w:p w14:paraId="6F5E95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407B37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95AF5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26DF3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 vinegar</w:t>
            </w:r>
          </w:p>
        </w:tc>
        <w:tc>
          <w:tcPr>
            <w:tcW w:w="1800" w:type="dxa"/>
            <w:noWrap/>
          </w:tcPr>
          <w:p w14:paraId="37F5B3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17CA9E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703B44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9304B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57</w:t>
            </w:r>
          </w:p>
        </w:tc>
        <w:tc>
          <w:tcPr>
            <w:tcW w:w="1909" w:type="dxa"/>
            <w:noWrap/>
          </w:tcPr>
          <w:p w14:paraId="104468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Xiong et al. (2023)</w:t>
            </w:r>
          </w:p>
        </w:tc>
        <w:tc>
          <w:tcPr>
            <w:tcW w:w="682" w:type="dxa"/>
            <w:noWrap/>
          </w:tcPr>
          <w:p w14:paraId="1ED8F5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31CC2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36E6F6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E2B05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1A9A4F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4.77</w:t>
            </w:r>
          </w:p>
        </w:tc>
        <w:tc>
          <w:tcPr>
            <w:tcW w:w="1959" w:type="dxa"/>
            <w:noWrap/>
          </w:tcPr>
          <w:p w14:paraId="7AB972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CA5CE3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43E99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57</w:t>
            </w:r>
          </w:p>
        </w:tc>
        <w:tc>
          <w:tcPr>
            <w:tcW w:w="1909" w:type="dxa"/>
            <w:noWrap/>
          </w:tcPr>
          <w:p w14:paraId="258563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Xiong et al. (2023)</w:t>
            </w:r>
          </w:p>
        </w:tc>
        <w:tc>
          <w:tcPr>
            <w:tcW w:w="682" w:type="dxa"/>
            <w:noWrap/>
          </w:tcPr>
          <w:p w14:paraId="65A603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522F2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20E27D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9F92C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79A474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15.84</w:t>
            </w:r>
          </w:p>
        </w:tc>
        <w:tc>
          <w:tcPr>
            <w:tcW w:w="1959" w:type="dxa"/>
            <w:noWrap/>
          </w:tcPr>
          <w:p w14:paraId="606718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1D744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6D892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58</w:t>
            </w:r>
          </w:p>
        </w:tc>
        <w:tc>
          <w:tcPr>
            <w:tcW w:w="1909" w:type="dxa"/>
            <w:noWrap/>
          </w:tcPr>
          <w:p w14:paraId="06C2DB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Nie et al. (2020)</w:t>
            </w:r>
          </w:p>
        </w:tc>
        <w:tc>
          <w:tcPr>
            <w:tcW w:w="682" w:type="dxa"/>
            <w:noWrap/>
          </w:tcPr>
          <w:p w14:paraId="0AE149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57A87C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857C7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Slaughter sludge</w:t>
            </w:r>
          </w:p>
        </w:tc>
        <w:tc>
          <w:tcPr>
            <w:tcW w:w="2900" w:type="dxa"/>
            <w:noWrap/>
          </w:tcPr>
          <w:p w14:paraId="6679BA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Lactic acid</w:t>
            </w:r>
          </w:p>
        </w:tc>
        <w:tc>
          <w:tcPr>
            <w:tcW w:w="1800" w:type="dxa"/>
            <w:noWrap/>
          </w:tcPr>
          <w:p w14:paraId="3CF46C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w:t>
            </w:r>
          </w:p>
        </w:tc>
        <w:tc>
          <w:tcPr>
            <w:tcW w:w="1959" w:type="dxa"/>
            <w:noWrap/>
          </w:tcPr>
          <w:p w14:paraId="6692FF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121200B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297DF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58</w:t>
            </w:r>
          </w:p>
        </w:tc>
        <w:tc>
          <w:tcPr>
            <w:tcW w:w="1909" w:type="dxa"/>
            <w:noWrap/>
          </w:tcPr>
          <w:p w14:paraId="2A34B8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Nie et al. (2020)</w:t>
            </w:r>
          </w:p>
        </w:tc>
        <w:tc>
          <w:tcPr>
            <w:tcW w:w="682" w:type="dxa"/>
            <w:noWrap/>
          </w:tcPr>
          <w:p w14:paraId="752E98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709CCF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74B095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Slaughter sludge</w:t>
            </w:r>
          </w:p>
        </w:tc>
        <w:tc>
          <w:tcPr>
            <w:tcW w:w="2900" w:type="dxa"/>
            <w:noWrap/>
          </w:tcPr>
          <w:p w14:paraId="3645873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Lactic acid</w:t>
            </w:r>
          </w:p>
        </w:tc>
        <w:tc>
          <w:tcPr>
            <w:tcW w:w="1800" w:type="dxa"/>
            <w:noWrap/>
          </w:tcPr>
          <w:p w14:paraId="7C68B2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w:t>
            </w:r>
          </w:p>
        </w:tc>
        <w:tc>
          <w:tcPr>
            <w:tcW w:w="1959" w:type="dxa"/>
            <w:noWrap/>
          </w:tcPr>
          <w:p w14:paraId="639BA9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344D063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E0B48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58</w:t>
            </w:r>
          </w:p>
        </w:tc>
        <w:tc>
          <w:tcPr>
            <w:tcW w:w="1909" w:type="dxa"/>
            <w:noWrap/>
          </w:tcPr>
          <w:p w14:paraId="2C7578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Nie et al. (2020)</w:t>
            </w:r>
          </w:p>
        </w:tc>
        <w:tc>
          <w:tcPr>
            <w:tcW w:w="682" w:type="dxa"/>
            <w:noWrap/>
          </w:tcPr>
          <w:p w14:paraId="13188D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0E0A5F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13CF62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Slaughter sludge</w:t>
            </w:r>
          </w:p>
        </w:tc>
        <w:tc>
          <w:tcPr>
            <w:tcW w:w="2900" w:type="dxa"/>
            <w:noWrap/>
          </w:tcPr>
          <w:p w14:paraId="5A160FB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Lactic acid</w:t>
            </w:r>
          </w:p>
        </w:tc>
        <w:tc>
          <w:tcPr>
            <w:tcW w:w="1800" w:type="dxa"/>
            <w:noWrap/>
          </w:tcPr>
          <w:p w14:paraId="12C135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573B4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5DAC3F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CCAD9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59</w:t>
            </w:r>
          </w:p>
        </w:tc>
        <w:tc>
          <w:tcPr>
            <w:tcW w:w="1909" w:type="dxa"/>
            <w:noWrap/>
          </w:tcPr>
          <w:p w14:paraId="5B40EAC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Luo et al. (2014)</w:t>
            </w:r>
          </w:p>
        </w:tc>
        <w:tc>
          <w:tcPr>
            <w:tcW w:w="682" w:type="dxa"/>
            <w:noWrap/>
          </w:tcPr>
          <w:p w14:paraId="06EB1A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725D11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1C89B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B7157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4C97B5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56DE5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27E7263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BE687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59</w:t>
            </w:r>
          </w:p>
        </w:tc>
        <w:tc>
          <w:tcPr>
            <w:tcW w:w="1909" w:type="dxa"/>
            <w:noWrap/>
          </w:tcPr>
          <w:p w14:paraId="617026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Luo et al. (2014)</w:t>
            </w:r>
          </w:p>
        </w:tc>
        <w:tc>
          <w:tcPr>
            <w:tcW w:w="682" w:type="dxa"/>
            <w:noWrap/>
          </w:tcPr>
          <w:p w14:paraId="3E98EC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73347C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CB0F6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C0088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69AB27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1B0C1B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18CD8E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98427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59</w:t>
            </w:r>
          </w:p>
        </w:tc>
        <w:tc>
          <w:tcPr>
            <w:tcW w:w="1909" w:type="dxa"/>
            <w:noWrap/>
          </w:tcPr>
          <w:p w14:paraId="0E338E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Luo et al. (2014)</w:t>
            </w:r>
          </w:p>
        </w:tc>
        <w:tc>
          <w:tcPr>
            <w:tcW w:w="682" w:type="dxa"/>
            <w:noWrap/>
          </w:tcPr>
          <w:p w14:paraId="60223F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477AB9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D8E4C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DDF67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733F4A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28F06E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62564B5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E6E7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60</w:t>
            </w:r>
          </w:p>
        </w:tc>
        <w:tc>
          <w:tcPr>
            <w:tcW w:w="1909" w:type="dxa"/>
            <w:noWrap/>
          </w:tcPr>
          <w:p w14:paraId="0A7C40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(2020)</w:t>
            </w:r>
          </w:p>
        </w:tc>
        <w:tc>
          <w:tcPr>
            <w:tcW w:w="682" w:type="dxa"/>
            <w:noWrap/>
          </w:tcPr>
          <w:p w14:paraId="4DE7A6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06FE97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35A96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2FF46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0F8D4B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340A7F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F2F269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AC6AF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60</w:t>
            </w:r>
          </w:p>
        </w:tc>
        <w:tc>
          <w:tcPr>
            <w:tcW w:w="1909" w:type="dxa"/>
            <w:noWrap/>
          </w:tcPr>
          <w:p w14:paraId="73784E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(2020)</w:t>
            </w:r>
          </w:p>
        </w:tc>
        <w:tc>
          <w:tcPr>
            <w:tcW w:w="682" w:type="dxa"/>
            <w:noWrap/>
          </w:tcPr>
          <w:p w14:paraId="390811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A482E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C3A2A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E42B6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2CE94D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287B2B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71E54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5090F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60</w:t>
            </w:r>
          </w:p>
        </w:tc>
        <w:tc>
          <w:tcPr>
            <w:tcW w:w="1909" w:type="dxa"/>
            <w:noWrap/>
          </w:tcPr>
          <w:p w14:paraId="658212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(2020)</w:t>
            </w:r>
          </w:p>
        </w:tc>
        <w:tc>
          <w:tcPr>
            <w:tcW w:w="682" w:type="dxa"/>
            <w:noWrap/>
          </w:tcPr>
          <w:p w14:paraId="660BC2E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7A7BCC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8C539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13700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62E2B3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89763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7D12C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A15CE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61</w:t>
            </w:r>
          </w:p>
        </w:tc>
        <w:tc>
          <w:tcPr>
            <w:tcW w:w="1909" w:type="dxa"/>
            <w:noWrap/>
          </w:tcPr>
          <w:p w14:paraId="461F8A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(2020)</w:t>
            </w:r>
          </w:p>
        </w:tc>
        <w:tc>
          <w:tcPr>
            <w:tcW w:w="682" w:type="dxa"/>
            <w:noWrap/>
          </w:tcPr>
          <w:p w14:paraId="146164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0AC46D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E6748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4DDD38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Sulfamethoxazole</w:t>
            </w:r>
          </w:p>
        </w:tc>
        <w:tc>
          <w:tcPr>
            <w:tcW w:w="1800" w:type="dxa"/>
            <w:noWrap/>
          </w:tcPr>
          <w:p w14:paraId="267069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77D5A3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573A6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86AAC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61</w:t>
            </w:r>
          </w:p>
        </w:tc>
        <w:tc>
          <w:tcPr>
            <w:tcW w:w="1909" w:type="dxa"/>
            <w:noWrap/>
          </w:tcPr>
          <w:p w14:paraId="42B0FC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(2020)</w:t>
            </w:r>
          </w:p>
        </w:tc>
        <w:tc>
          <w:tcPr>
            <w:tcW w:w="682" w:type="dxa"/>
            <w:noWrap/>
          </w:tcPr>
          <w:p w14:paraId="55FB8D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2D9503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5CD35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37403D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Norfloxacin</w:t>
            </w:r>
          </w:p>
        </w:tc>
        <w:tc>
          <w:tcPr>
            <w:tcW w:w="1800" w:type="dxa"/>
            <w:noWrap/>
          </w:tcPr>
          <w:p w14:paraId="49C9DE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757B3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DA546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C60EB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61</w:t>
            </w:r>
          </w:p>
        </w:tc>
        <w:tc>
          <w:tcPr>
            <w:tcW w:w="1909" w:type="dxa"/>
            <w:noWrap/>
          </w:tcPr>
          <w:p w14:paraId="7485CA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(2020)</w:t>
            </w:r>
          </w:p>
        </w:tc>
        <w:tc>
          <w:tcPr>
            <w:tcW w:w="682" w:type="dxa"/>
            <w:noWrap/>
          </w:tcPr>
          <w:p w14:paraId="182843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0B4070C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6C210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7C27B4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Sulfamethoxazole and norfloxacin</w:t>
            </w:r>
          </w:p>
        </w:tc>
        <w:tc>
          <w:tcPr>
            <w:tcW w:w="1800" w:type="dxa"/>
            <w:noWrap/>
          </w:tcPr>
          <w:p w14:paraId="1C4099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4A80AB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4ABA8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667E4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62</w:t>
            </w:r>
          </w:p>
        </w:tc>
        <w:tc>
          <w:tcPr>
            <w:tcW w:w="1909" w:type="dxa"/>
            <w:noWrap/>
          </w:tcPr>
          <w:p w14:paraId="68135F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(2015)</w:t>
            </w:r>
          </w:p>
        </w:tc>
        <w:tc>
          <w:tcPr>
            <w:tcW w:w="682" w:type="dxa"/>
            <w:noWrap/>
          </w:tcPr>
          <w:p w14:paraId="157909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2015</w:t>
            </w:r>
          </w:p>
        </w:tc>
        <w:tc>
          <w:tcPr>
            <w:tcW w:w="1416" w:type="dxa"/>
            <w:noWrap/>
          </w:tcPr>
          <w:p w14:paraId="5F92129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55F1A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117DA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w:t>
            </w:r>
          </w:p>
        </w:tc>
        <w:tc>
          <w:tcPr>
            <w:tcW w:w="1800" w:type="dxa"/>
            <w:noWrap/>
          </w:tcPr>
          <w:p w14:paraId="23E18D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4CF058B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8A964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B5608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62</w:t>
            </w:r>
          </w:p>
        </w:tc>
        <w:tc>
          <w:tcPr>
            <w:tcW w:w="1909" w:type="dxa"/>
            <w:noWrap/>
          </w:tcPr>
          <w:p w14:paraId="01E02B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(2015)</w:t>
            </w:r>
          </w:p>
        </w:tc>
        <w:tc>
          <w:tcPr>
            <w:tcW w:w="682" w:type="dxa"/>
            <w:noWrap/>
          </w:tcPr>
          <w:p w14:paraId="6B75D4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2015</w:t>
            </w:r>
          </w:p>
        </w:tc>
        <w:tc>
          <w:tcPr>
            <w:tcW w:w="1416" w:type="dxa"/>
            <w:noWrap/>
          </w:tcPr>
          <w:p w14:paraId="18D68E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DE71C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FFD57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02082B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426DAA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755E0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F3FD8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63</w:t>
            </w:r>
          </w:p>
        </w:tc>
        <w:tc>
          <w:tcPr>
            <w:tcW w:w="1909" w:type="dxa"/>
            <w:noWrap/>
          </w:tcPr>
          <w:p w14:paraId="702F79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Yuan et al. (2018)</w:t>
            </w:r>
          </w:p>
        </w:tc>
        <w:tc>
          <w:tcPr>
            <w:tcW w:w="682" w:type="dxa"/>
            <w:noWrap/>
          </w:tcPr>
          <w:p w14:paraId="742384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24285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396ED6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30DC2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w:t>
            </w:r>
          </w:p>
        </w:tc>
        <w:tc>
          <w:tcPr>
            <w:tcW w:w="1800" w:type="dxa"/>
            <w:noWrap/>
          </w:tcPr>
          <w:p w14:paraId="64DFC8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7DD494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0540DF3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7FB72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63</w:t>
            </w:r>
          </w:p>
        </w:tc>
        <w:tc>
          <w:tcPr>
            <w:tcW w:w="1909" w:type="dxa"/>
            <w:noWrap/>
          </w:tcPr>
          <w:p w14:paraId="392217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Yuan et al. (2018)</w:t>
            </w:r>
          </w:p>
        </w:tc>
        <w:tc>
          <w:tcPr>
            <w:tcW w:w="682" w:type="dxa"/>
            <w:noWrap/>
          </w:tcPr>
          <w:p w14:paraId="11A0BB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79123F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1626E5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6C3F9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5E584E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A9A7E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21B7401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16717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63</w:t>
            </w:r>
          </w:p>
        </w:tc>
        <w:tc>
          <w:tcPr>
            <w:tcW w:w="1909" w:type="dxa"/>
            <w:noWrap/>
          </w:tcPr>
          <w:p w14:paraId="31C99F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Yuan et al. (2018)</w:t>
            </w:r>
          </w:p>
        </w:tc>
        <w:tc>
          <w:tcPr>
            <w:tcW w:w="682" w:type="dxa"/>
            <w:noWrap/>
          </w:tcPr>
          <w:p w14:paraId="0D2EF2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61BB07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6477A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151751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 and dicyandiamide</w:t>
            </w:r>
          </w:p>
        </w:tc>
        <w:tc>
          <w:tcPr>
            <w:tcW w:w="1800" w:type="dxa"/>
            <w:noWrap/>
          </w:tcPr>
          <w:p w14:paraId="09AD42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12.5</w:t>
            </w:r>
          </w:p>
        </w:tc>
        <w:tc>
          <w:tcPr>
            <w:tcW w:w="1959" w:type="dxa"/>
            <w:noWrap/>
          </w:tcPr>
          <w:p w14:paraId="25D66C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0F47625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5886A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63</w:t>
            </w:r>
          </w:p>
        </w:tc>
        <w:tc>
          <w:tcPr>
            <w:tcW w:w="1909" w:type="dxa"/>
            <w:noWrap/>
          </w:tcPr>
          <w:p w14:paraId="56E304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Yuan et al. (2018)</w:t>
            </w:r>
          </w:p>
        </w:tc>
        <w:tc>
          <w:tcPr>
            <w:tcW w:w="682" w:type="dxa"/>
            <w:noWrap/>
          </w:tcPr>
          <w:p w14:paraId="19D805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AEB80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65AA3C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1A2B6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 and dicyandiamide</w:t>
            </w:r>
          </w:p>
        </w:tc>
        <w:tc>
          <w:tcPr>
            <w:tcW w:w="1800" w:type="dxa"/>
            <w:noWrap/>
          </w:tcPr>
          <w:p w14:paraId="54E4CC9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12.5</w:t>
            </w:r>
          </w:p>
        </w:tc>
        <w:tc>
          <w:tcPr>
            <w:tcW w:w="1959" w:type="dxa"/>
            <w:noWrap/>
          </w:tcPr>
          <w:p w14:paraId="17B416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580DC0D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3AE98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64</w:t>
            </w:r>
          </w:p>
        </w:tc>
        <w:tc>
          <w:tcPr>
            <w:tcW w:w="1909" w:type="dxa"/>
            <w:noWrap/>
          </w:tcPr>
          <w:p w14:paraId="29FE98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0B36C5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F3CFC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F6B57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50193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w:t>
            </w:r>
          </w:p>
        </w:tc>
        <w:tc>
          <w:tcPr>
            <w:tcW w:w="1800" w:type="dxa"/>
            <w:noWrap/>
          </w:tcPr>
          <w:p w14:paraId="6E02BA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454B765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45D21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70D82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64</w:t>
            </w:r>
          </w:p>
        </w:tc>
        <w:tc>
          <w:tcPr>
            <w:tcW w:w="1909" w:type="dxa"/>
            <w:noWrap/>
          </w:tcPr>
          <w:p w14:paraId="562689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403EE4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7FA23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FE117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F9843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433353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2547E4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C88536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C502C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64</w:t>
            </w:r>
          </w:p>
        </w:tc>
        <w:tc>
          <w:tcPr>
            <w:tcW w:w="1909" w:type="dxa"/>
            <w:noWrap/>
          </w:tcPr>
          <w:p w14:paraId="521E76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4969F1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1A68F5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793A2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5729E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46EAD4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57B0B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F2B6D4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EE3FA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65</w:t>
            </w:r>
          </w:p>
        </w:tc>
        <w:tc>
          <w:tcPr>
            <w:tcW w:w="1909" w:type="dxa"/>
            <w:noWrap/>
          </w:tcPr>
          <w:p w14:paraId="265E90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Fang et al. (2021)</w:t>
            </w:r>
          </w:p>
        </w:tc>
        <w:tc>
          <w:tcPr>
            <w:tcW w:w="682" w:type="dxa"/>
            <w:noWrap/>
          </w:tcPr>
          <w:p w14:paraId="223475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20D942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623DBA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2D46F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5FBF13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198F61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6517672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9ADEF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66</w:t>
            </w:r>
          </w:p>
        </w:tc>
        <w:tc>
          <w:tcPr>
            <w:tcW w:w="1909" w:type="dxa"/>
            <w:noWrap/>
          </w:tcPr>
          <w:p w14:paraId="1AE0C3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(2017)</w:t>
            </w:r>
          </w:p>
        </w:tc>
        <w:tc>
          <w:tcPr>
            <w:tcW w:w="682" w:type="dxa"/>
            <w:noWrap/>
          </w:tcPr>
          <w:p w14:paraId="1304C6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2BE19C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244576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Woody peat</w:t>
            </w:r>
          </w:p>
        </w:tc>
        <w:tc>
          <w:tcPr>
            <w:tcW w:w="2900" w:type="dxa"/>
            <w:noWrap/>
          </w:tcPr>
          <w:p w14:paraId="7BD0A2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64E238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E0D0F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1C011B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8FA6C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67</w:t>
            </w:r>
          </w:p>
        </w:tc>
        <w:tc>
          <w:tcPr>
            <w:tcW w:w="1909" w:type="dxa"/>
            <w:noWrap/>
          </w:tcPr>
          <w:p w14:paraId="762338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Sun et al. (2022)</w:t>
            </w:r>
          </w:p>
        </w:tc>
        <w:tc>
          <w:tcPr>
            <w:tcW w:w="682" w:type="dxa"/>
            <w:noWrap/>
          </w:tcPr>
          <w:p w14:paraId="6798A2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3D6468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3444BA8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Spenpentent mushroom substrate</w:t>
            </w:r>
          </w:p>
        </w:tc>
        <w:tc>
          <w:tcPr>
            <w:tcW w:w="2900" w:type="dxa"/>
            <w:noWrap/>
          </w:tcPr>
          <w:p w14:paraId="659E80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6EA782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59" w:type="dxa"/>
            <w:noWrap/>
          </w:tcPr>
          <w:p w14:paraId="46AC70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36C249C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A895D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68</w:t>
            </w:r>
          </w:p>
        </w:tc>
        <w:tc>
          <w:tcPr>
            <w:tcW w:w="1909" w:type="dxa"/>
            <w:noWrap/>
          </w:tcPr>
          <w:p w14:paraId="3AE7B4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(2022)</w:t>
            </w:r>
          </w:p>
        </w:tc>
        <w:tc>
          <w:tcPr>
            <w:tcW w:w="682" w:type="dxa"/>
            <w:noWrap/>
          </w:tcPr>
          <w:p w14:paraId="41880B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6F2300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2051A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C24E2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L-cysteine</w:t>
            </w:r>
          </w:p>
        </w:tc>
        <w:tc>
          <w:tcPr>
            <w:tcW w:w="1800" w:type="dxa"/>
            <w:noWrap/>
          </w:tcPr>
          <w:p w14:paraId="67E9A1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15.15</w:t>
            </w:r>
          </w:p>
        </w:tc>
        <w:tc>
          <w:tcPr>
            <w:tcW w:w="1959" w:type="dxa"/>
            <w:noWrap/>
          </w:tcPr>
          <w:p w14:paraId="3D6F908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7AC7D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02D02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68</w:t>
            </w:r>
          </w:p>
        </w:tc>
        <w:tc>
          <w:tcPr>
            <w:tcW w:w="1909" w:type="dxa"/>
            <w:noWrap/>
          </w:tcPr>
          <w:p w14:paraId="4B74D6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(2022)</w:t>
            </w:r>
          </w:p>
        </w:tc>
        <w:tc>
          <w:tcPr>
            <w:tcW w:w="682" w:type="dxa"/>
            <w:noWrap/>
          </w:tcPr>
          <w:p w14:paraId="4F5560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227062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AE5FB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A30B0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L-methionine</w:t>
            </w:r>
          </w:p>
        </w:tc>
        <w:tc>
          <w:tcPr>
            <w:tcW w:w="1800" w:type="dxa"/>
            <w:noWrap/>
          </w:tcPr>
          <w:p w14:paraId="1B9370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15.65</w:t>
            </w:r>
          </w:p>
        </w:tc>
        <w:tc>
          <w:tcPr>
            <w:tcW w:w="1959" w:type="dxa"/>
            <w:noWrap/>
          </w:tcPr>
          <w:p w14:paraId="6F5EDA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2E2957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BF6BF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68</w:t>
            </w:r>
          </w:p>
        </w:tc>
        <w:tc>
          <w:tcPr>
            <w:tcW w:w="1909" w:type="dxa"/>
            <w:noWrap/>
          </w:tcPr>
          <w:p w14:paraId="3E9EA7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(2022)</w:t>
            </w:r>
          </w:p>
        </w:tc>
        <w:tc>
          <w:tcPr>
            <w:tcW w:w="682" w:type="dxa"/>
            <w:noWrap/>
          </w:tcPr>
          <w:p w14:paraId="331CF7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3A1BF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6003D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5E4C5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Sodium sulphite</w:t>
            </w:r>
          </w:p>
        </w:tc>
        <w:tc>
          <w:tcPr>
            <w:tcW w:w="1800" w:type="dxa"/>
            <w:noWrap/>
          </w:tcPr>
          <w:p w14:paraId="576D3F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15.76</w:t>
            </w:r>
          </w:p>
        </w:tc>
        <w:tc>
          <w:tcPr>
            <w:tcW w:w="1959" w:type="dxa"/>
            <w:noWrap/>
          </w:tcPr>
          <w:p w14:paraId="4AFD41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D0690E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DA0CC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68</w:t>
            </w:r>
          </w:p>
        </w:tc>
        <w:tc>
          <w:tcPr>
            <w:tcW w:w="1909" w:type="dxa"/>
            <w:noWrap/>
          </w:tcPr>
          <w:p w14:paraId="24F7F8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Gao et al. (2022)</w:t>
            </w:r>
          </w:p>
        </w:tc>
        <w:tc>
          <w:tcPr>
            <w:tcW w:w="682" w:type="dxa"/>
            <w:noWrap/>
          </w:tcPr>
          <w:p w14:paraId="7F4FD5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44BB11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97A2C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722A3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Sodium sulphate</w:t>
            </w:r>
          </w:p>
        </w:tc>
        <w:tc>
          <w:tcPr>
            <w:tcW w:w="1800" w:type="dxa"/>
            <w:noWrap/>
          </w:tcPr>
          <w:p w14:paraId="21489B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15.76</w:t>
            </w:r>
          </w:p>
        </w:tc>
        <w:tc>
          <w:tcPr>
            <w:tcW w:w="1959" w:type="dxa"/>
            <w:noWrap/>
          </w:tcPr>
          <w:p w14:paraId="27441E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66D48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A2F3D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69</w:t>
            </w:r>
          </w:p>
        </w:tc>
        <w:tc>
          <w:tcPr>
            <w:tcW w:w="1909" w:type="dxa"/>
            <w:noWrap/>
          </w:tcPr>
          <w:p w14:paraId="752374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Martin Ruiz et al. (2020)</w:t>
            </w:r>
          </w:p>
        </w:tc>
        <w:tc>
          <w:tcPr>
            <w:tcW w:w="682" w:type="dxa"/>
            <w:noWrap/>
          </w:tcPr>
          <w:p w14:paraId="5CA278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56B330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Green waste</w:t>
            </w:r>
          </w:p>
        </w:tc>
        <w:tc>
          <w:tcPr>
            <w:tcW w:w="1805" w:type="dxa"/>
            <w:noWrap/>
          </w:tcPr>
          <w:p w14:paraId="0BCD94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Coffee pulp</w:t>
            </w:r>
          </w:p>
        </w:tc>
        <w:tc>
          <w:tcPr>
            <w:tcW w:w="2900" w:type="dxa"/>
            <w:noWrap/>
          </w:tcPr>
          <w:p w14:paraId="45549D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Coffee pulp</w:t>
            </w:r>
          </w:p>
        </w:tc>
        <w:tc>
          <w:tcPr>
            <w:tcW w:w="1800" w:type="dxa"/>
            <w:noWrap/>
          </w:tcPr>
          <w:p w14:paraId="5AB5F7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275F0A0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545624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695D0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69</w:t>
            </w:r>
          </w:p>
        </w:tc>
        <w:tc>
          <w:tcPr>
            <w:tcW w:w="1909" w:type="dxa"/>
            <w:noWrap/>
          </w:tcPr>
          <w:p w14:paraId="00A2B49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Martin Ruiz et al. (2020)</w:t>
            </w:r>
          </w:p>
        </w:tc>
        <w:tc>
          <w:tcPr>
            <w:tcW w:w="682" w:type="dxa"/>
            <w:noWrap/>
          </w:tcPr>
          <w:p w14:paraId="14A061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4BFD76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Green waste</w:t>
            </w:r>
          </w:p>
        </w:tc>
        <w:tc>
          <w:tcPr>
            <w:tcW w:w="1805" w:type="dxa"/>
            <w:noWrap/>
          </w:tcPr>
          <w:p w14:paraId="059D5A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Coffee pulp</w:t>
            </w:r>
          </w:p>
        </w:tc>
        <w:tc>
          <w:tcPr>
            <w:tcW w:w="2900" w:type="dxa"/>
            <w:noWrap/>
          </w:tcPr>
          <w:p w14:paraId="7396A3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Coffee pulp</w:t>
            </w:r>
          </w:p>
        </w:tc>
        <w:tc>
          <w:tcPr>
            <w:tcW w:w="1800" w:type="dxa"/>
            <w:noWrap/>
          </w:tcPr>
          <w:p w14:paraId="50E441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4C3502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4728DB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FEFED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70</w:t>
            </w:r>
          </w:p>
        </w:tc>
        <w:tc>
          <w:tcPr>
            <w:tcW w:w="1909" w:type="dxa"/>
            <w:noWrap/>
          </w:tcPr>
          <w:p w14:paraId="6790F2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(2021)</w:t>
            </w:r>
          </w:p>
        </w:tc>
        <w:tc>
          <w:tcPr>
            <w:tcW w:w="682" w:type="dxa"/>
            <w:noWrap/>
          </w:tcPr>
          <w:p w14:paraId="32B50B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8975C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1DB9CC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CD994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Black soldier fly larvae conversion</w:t>
            </w:r>
          </w:p>
        </w:tc>
        <w:tc>
          <w:tcPr>
            <w:tcW w:w="1800" w:type="dxa"/>
            <w:noWrap/>
          </w:tcPr>
          <w:p w14:paraId="4BD4F5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5F2BD7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4E638A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A2C22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70</w:t>
            </w:r>
          </w:p>
        </w:tc>
        <w:tc>
          <w:tcPr>
            <w:tcW w:w="1909" w:type="dxa"/>
            <w:noWrap/>
          </w:tcPr>
          <w:p w14:paraId="145AF0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(2021)</w:t>
            </w:r>
          </w:p>
        </w:tc>
        <w:tc>
          <w:tcPr>
            <w:tcW w:w="682" w:type="dxa"/>
            <w:noWrap/>
          </w:tcPr>
          <w:p w14:paraId="7DC080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390396F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0A29659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50BAB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Black soldier fly larvae conversion</w:t>
            </w:r>
          </w:p>
        </w:tc>
        <w:tc>
          <w:tcPr>
            <w:tcW w:w="1800" w:type="dxa"/>
            <w:noWrap/>
          </w:tcPr>
          <w:p w14:paraId="5CA669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6E37C4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651532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74F0D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70</w:t>
            </w:r>
          </w:p>
        </w:tc>
        <w:tc>
          <w:tcPr>
            <w:tcW w:w="1909" w:type="dxa"/>
            <w:noWrap/>
          </w:tcPr>
          <w:p w14:paraId="1BD5E8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(2021)</w:t>
            </w:r>
          </w:p>
        </w:tc>
        <w:tc>
          <w:tcPr>
            <w:tcW w:w="682" w:type="dxa"/>
            <w:noWrap/>
          </w:tcPr>
          <w:p w14:paraId="404335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07EEFD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Dairy manure</w:t>
            </w:r>
          </w:p>
        </w:tc>
        <w:tc>
          <w:tcPr>
            <w:tcW w:w="1805" w:type="dxa"/>
            <w:noWrap/>
          </w:tcPr>
          <w:p w14:paraId="78D48D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4A624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Black soldier fly larvae conversion</w:t>
            </w:r>
          </w:p>
        </w:tc>
        <w:tc>
          <w:tcPr>
            <w:tcW w:w="1800" w:type="dxa"/>
            <w:noWrap/>
          </w:tcPr>
          <w:p w14:paraId="751144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D246A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658DFEE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E93CC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71</w:t>
            </w:r>
          </w:p>
        </w:tc>
        <w:tc>
          <w:tcPr>
            <w:tcW w:w="1909" w:type="dxa"/>
            <w:noWrap/>
          </w:tcPr>
          <w:p w14:paraId="345B94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77A9BA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089C5E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2C6A2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B67D8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7006C6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6.8</w:t>
            </w:r>
          </w:p>
        </w:tc>
        <w:tc>
          <w:tcPr>
            <w:tcW w:w="1959" w:type="dxa"/>
            <w:noWrap/>
          </w:tcPr>
          <w:p w14:paraId="6C2281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7CB8A2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566B9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71</w:t>
            </w:r>
          </w:p>
        </w:tc>
        <w:tc>
          <w:tcPr>
            <w:tcW w:w="1909" w:type="dxa"/>
            <w:noWrap/>
          </w:tcPr>
          <w:p w14:paraId="50860B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38BF4E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5D4D0A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8C16D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2FCE77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 biochar</w:t>
            </w:r>
          </w:p>
        </w:tc>
        <w:tc>
          <w:tcPr>
            <w:tcW w:w="1800" w:type="dxa"/>
            <w:noWrap/>
          </w:tcPr>
          <w:p w14:paraId="32811B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60D66D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BAE88F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0C048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71</w:t>
            </w:r>
          </w:p>
        </w:tc>
        <w:tc>
          <w:tcPr>
            <w:tcW w:w="1909" w:type="dxa"/>
            <w:noWrap/>
          </w:tcPr>
          <w:p w14:paraId="5FA630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59DB6F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6F5A93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F35C5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2FCE38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 biochar and microbial inoculants</w:t>
            </w:r>
          </w:p>
        </w:tc>
        <w:tc>
          <w:tcPr>
            <w:tcW w:w="1800" w:type="dxa"/>
            <w:noWrap/>
          </w:tcPr>
          <w:p w14:paraId="3A9600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57CD05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062EA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EA54E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71</w:t>
            </w:r>
          </w:p>
        </w:tc>
        <w:tc>
          <w:tcPr>
            <w:tcW w:w="1909" w:type="dxa"/>
            <w:noWrap/>
          </w:tcPr>
          <w:p w14:paraId="6034BE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37DD6A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3AF86E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B45EDB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708E1C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 biochar</w:t>
            </w:r>
          </w:p>
        </w:tc>
        <w:tc>
          <w:tcPr>
            <w:tcW w:w="1800" w:type="dxa"/>
            <w:noWrap/>
          </w:tcPr>
          <w:p w14:paraId="61443A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4A066A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6013E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462F3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71</w:t>
            </w:r>
          </w:p>
        </w:tc>
        <w:tc>
          <w:tcPr>
            <w:tcW w:w="1909" w:type="dxa"/>
            <w:noWrap/>
          </w:tcPr>
          <w:p w14:paraId="7E65BF9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6D8F108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7D258F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CB231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6F2C1F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 biochar and microbial inoculants</w:t>
            </w:r>
          </w:p>
        </w:tc>
        <w:tc>
          <w:tcPr>
            <w:tcW w:w="1800" w:type="dxa"/>
            <w:noWrap/>
          </w:tcPr>
          <w:p w14:paraId="3BFB23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16EA9D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B33E2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F2C93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72</w:t>
            </w:r>
          </w:p>
        </w:tc>
        <w:tc>
          <w:tcPr>
            <w:tcW w:w="1909" w:type="dxa"/>
            <w:noWrap/>
          </w:tcPr>
          <w:p w14:paraId="1FF120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Jiao et al. (2023)</w:t>
            </w:r>
          </w:p>
        </w:tc>
        <w:tc>
          <w:tcPr>
            <w:tcW w:w="682" w:type="dxa"/>
            <w:noWrap/>
          </w:tcPr>
          <w:p w14:paraId="1B7615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357D5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29459A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Branch</w:t>
            </w:r>
          </w:p>
        </w:tc>
        <w:tc>
          <w:tcPr>
            <w:tcW w:w="2900" w:type="dxa"/>
            <w:noWrap/>
          </w:tcPr>
          <w:p w14:paraId="687679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Branch</w:t>
            </w:r>
          </w:p>
        </w:tc>
        <w:tc>
          <w:tcPr>
            <w:tcW w:w="1800" w:type="dxa"/>
            <w:noWrap/>
          </w:tcPr>
          <w:p w14:paraId="16162A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18BB2F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00800A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221D6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72</w:t>
            </w:r>
          </w:p>
        </w:tc>
        <w:tc>
          <w:tcPr>
            <w:tcW w:w="1909" w:type="dxa"/>
            <w:noWrap/>
          </w:tcPr>
          <w:p w14:paraId="05808B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Jiao et al. (2023)</w:t>
            </w:r>
          </w:p>
        </w:tc>
        <w:tc>
          <w:tcPr>
            <w:tcW w:w="682" w:type="dxa"/>
            <w:noWrap/>
          </w:tcPr>
          <w:p w14:paraId="377458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51576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97A04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Branch</w:t>
            </w:r>
          </w:p>
        </w:tc>
        <w:tc>
          <w:tcPr>
            <w:tcW w:w="2900" w:type="dxa"/>
            <w:noWrap/>
          </w:tcPr>
          <w:p w14:paraId="79C8C3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Branch</w:t>
            </w:r>
          </w:p>
        </w:tc>
        <w:tc>
          <w:tcPr>
            <w:tcW w:w="1800" w:type="dxa"/>
            <w:noWrap/>
          </w:tcPr>
          <w:p w14:paraId="3EAE77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3823A5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FB849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14B2C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72</w:t>
            </w:r>
          </w:p>
        </w:tc>
        <w:tc>
          <w:tcPr>
            <w:tcW w:w="1909" w:type="dxa"/>
            <w:noWrap/>
          </w:tcPr>
          <w:p w14:paraId="199389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Jiao et al. (2023)</w:t>
            </w:r>
          </w:p>
        </w:tc>
        <w:tc>
          <w:tcPr>
            <w:tcW w:w="682" w:type="dxa"/>
            <w:noWrap/>
          </w:tcPr>
          <w:p w14:paraId="0EE834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1B45A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42DFE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Branch</w:t>
            </w:r>
          </w:p>
        </w:tc>
        <w:tc>
          <w:tcPr>
            <w:tcW w:w="2900" w:type="dxa"/>
            <w:noWrap/>
          </w:tcPr>
          <w:p w14:paraId="2C51B3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Branch</w:t>
            </w:r>
          </w:p>
        </w:tc>
        <w:tc>
          <w:tcPr>
            <w:tcW w:w="1800" w:type="dxa"/>
            <w:noWrap/>
          </w:tcPr>
          <w:p w14:paraId="2D3B55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511D28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A99262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67B0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73</w:t>
            </w:r>
          </w:p>
        </w:tc>
        <w:tc>
          <w:tcPr>
            <w:tcW w:w="1909" w:type="dxa"/>
            <w:noWrap/>
          </w:tcPr>
          <w:p w14:paraId="560C78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(2020)</w:t>
            </w:r>
          </w:p>
        </w:tc>
        <w:tc>
          <w:tcPr>
            <w:tcW w:w="682" w:type="dxa"/>
            <w:noWrap/>
          </w:tcPr>
          <w:p w14:paraId="0D5463E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2432E9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Dairy manure</w:t>
            </w:r>
          </w:p>
        </w:tc>
        <w:tc>
          <w:tcPr>
            <w:tcW w:w="1805" w:type="dxa"/>
            <w:noWrap/>
          </w:tcPr>
          <w:p w14:paraId="399F1E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F3102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35DD28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0.24</w:t>
            </w:r>
          </w:p>
        </w:tc>
        <w:tc>
          <w:tcPr>
            <w:tcW w:w="1959" w:type="dxa"/>
            <w:noWrap/>
          </w:tcPr>
          <w:p w14:paraId="60E414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16984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405C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73</w:t>
            </w:r>
          </w:p>
        </w:tc>
        <w:tc>
          <w:tcPr>
            <w:tcW w:w="1909" w:type="dxa"/>
            <w:noWrap/>
          </w:tcPr>
          <w:p w14:paraId="0C812B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(2020)</w:t>
            </w:r>
          </w:p>
        </w:tc>
        <w:tc>
          <w:tcPr>
            <w:tcW w:w="682" w:type="dxa"/>
            <w:noWrap/>
          </w:tcPr>
          <w:p w14:paraId="28BBA0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A1B5B8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Dairy manure</w:t>
            </w:r>
          </w:p>
        </w:tc>
        <w:tc>
          <w:tcPr>
            <w:tcW w:w="1805" w:type="dxa"/>
            <w:noWrap/>
          </w:tcPr>
          <w:p w14:paraId="072A55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2395E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275924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0.48</w:t>
            </w:r>
          </w:p>
        </w:tc>
        <w:tc>
          <w:tcPr>
            <w:tcW w:w="1959" w:type="dxa"/>
            <w:noWrap/>
          </w:tcPr>
          <w:p w14:paraId="50761F9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7EAE2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BF2B3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74</w:t>
            </w:r>
          </w:p>
        </w:tc>
        <w:tc>
          <w:tcPr>
            <w:tcW w:w="1909" w:type="dxa"/>
            <w:noWrap/>
          </w:tcPr>
          <w:p w14:paraId="581E9D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4F4277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B7282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1BC474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1B34C1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34BE7F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154A81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C2EBB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00813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74</w:t>
            </w:r>
          </w:p>
        </w:tc>
        <w:tc>
          <w:tcPr>
            <w:tcW w:w="1909" w:type="dxa"/>
            <w:noWrap/>
          </w:tcPr>
          <w:p w14:paraId="24EF4E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3F592D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38D5D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7A50AD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22039E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2A027E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59" w:type="dxa"/>
            <w:noWrap/>
          </w:tcPr>
          <w:p w14:paraId="66C174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8BF27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55B6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74</w:t>
            </w:r>
          </w:p>
        </w:tc>
        <w:tc>
          <w:tcPr>
            <w:tcW w:w="1909" w:type="dxa"/>
            <w:noWrap/>
          </w:tcPr>
          <w:p w14:paraId="1CDAFE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475A9F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BF558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38BF50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husk</w:t>
            </w:r>
          </w:p>
        </w:tc>
        <w:tc>
          <w:tcPr>
            <w:tcW w:w="2900" w:type="dxa"/>
            <w:noWrap/>
          </w:tcPr>
          <w:p w14:paraId="6B0EA5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1F3FB5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59" w:type="dxa"/>
            <w:noWrap/>
          </w:tcPr>
          <w:p w14:paraId="6E3317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0EB10D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F2737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75</w:t>
            </w:r>
          </w:p>
        </w:tc>
        <w:tc>
          <w:tcPr>
            <w:tcW w:w="1909" w:type="dxa"/>
            <w:noWrap/>
          </w:tcPr>
          <w:p w14:paraId="576DF0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Adhikari et al. (2013)</w:t>
            </w:r>
          </w:p>
        </w:tc>
        <w:tc>
          <w:tcPr>
            <w:tcW w:w="682" w:type="dxa"/>
            <w:noWrap/>
          </w:tcPr>
          <w:p w14:paraId="0313F3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4175298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D17E4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Yard trimmings</w:t>
            </w:r>
          </w:p>
        </w:tc>
        <w:tc>
          <w:tcPr>
            <w:tcW w:w="2900" w:type="dxa"/>
            <w:noWrap/>
          </w:tcPr>
          <w:p w14:paraId="7A303C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Yard trimmings</w:t>
            </w:r>
          </w:p>
        </w:tc>
        <w:tc>
          <w:tcPr>
            <w:tcW w:w="1800" w:type="dxa"/>
            <w:noWrap/>
          </w:tcPr>
          <w:p w14:paraId="4954BE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6C5EA0C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 bin</w:t>
            </w:r>
          </w:p>
        </w:tc>
      </w:tr>
      <w:tr w14:paraId="0CB768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F3B75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75</w:t>
            </w:r>
          </w:p>
        </w:tc>
        <w:tc>
          <w:tcPr>
            <w:tcW w:w="1909" w:type="dxa"/>
            <w:noWrap/>
          </w:tcPr>
          <w:p w14:paraId="1CBE69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Adhikari et al. (2013)</w:t>
            </w:r>
          </w:p>
        </w:tc>
        <w:tc>
          <w:tcPr>
            <w:tcW w:w="682" w:type="dxa"/>
            <w:noWrap/>
          </w:tcPr>
          <w:p w14:paraId="3E9330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33A11A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AEBDB1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Yard trimmings</w:t>
            </w:r>
          </w:p>
        </w:tc>
        <w:tc>
          <w:tcPr>
            <w:tcW w:w="2900" w:type="dxa"/>
            <w:noWrap/>
          </w:tcPr>
          <w:p w14:paraId="65A857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Yard trimmings</w:t>
            </w:r>
          </w:p>
        </w:tc>
        <w:tc>
          <w:tcPr>
            <w:tcW w:w="1800" w:type="dxa"/>
            <w:noWrap/>
          </w:tcPr>
          <w:p w14:paraId="50ABB7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575FCB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098A9B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628CA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75</w:t>
            </w:r>
          </w:p>
        </w:tc>
        <w:tc>
          <w:tcPr>
            <w:tcW w:w="1909" w:type="dxa"/>
            <w:noWrap/>
          </w:tcPr>
          <w:p w14:paraId="5071B6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Adhikari et al. (2013)</w:t>
            </w:r>
          </w:p>
        </w:tc>
        <w:tc>
          <w:tcPr>
            <w:tcW w:w="682" w:type="dxa"/>
            <w:noWrap/>
          </w:tcPr>
          <w:p w14:paraId="72A32E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502FF7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B088A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Yard trimmings</w:t>
            </w:r>
          </w:p>
        </w:tc>
        <w:tc>
          <w:tcPr>
            <w:tcW w:w="2900" w:type="dxa"/>
            <w:noWrap/>
          </w:tcPr>
          <w:p w14:paraId="08EB82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Yard trimmings</w:t>
            </w:r>
          </w:p>
        </w:tc>
        <w:tc>
          <w:tcPr>
            <w:tcW w:w="1800" w:type="dxa"/>
            <w:noWrap/>
          </w:tcPr>
          <w:p w14:paraId="63E42C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E47B8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4ACC877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95D2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76</w:t>
            </w:r>
          </w:p>
        </w:tc>
        <w:tc>
          <w:tcPr>
            <w:tcW w:w="1909" w:type="dxa"/>
            <w:noWrap/>
          </w:tcPr>
          <w:p w14:paraId="0473EF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(2020)</w:t>
            </w:r>
          </w:p>
        </w:tc>
        <w:tc>
          <w:tcPr>
            <w:tcW w:w="682" w:type="dxa"/>
            <w:noWrap/>
          </w:tcPr>
          <w:p w14:paraId="5B3B46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586D96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50BB55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Tobacco wastes</w:t>
            </w:r>
          </w:p>
        </w:tc>
        <w:tc>
          <w:tcPr>
            <w:tcW w:w="2900" w:type="dxa"/>
            <w:noWrap/>
          </w:tcPr>
          <w:p w14:paraId="2AB140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1E08620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w:t>
            </w:r>
          </w:p>
        </w:tc>
        <w:tc>
          <w:tcPr>
            <w:tcW w:w="1959" w:type="dxa"/>
            <w:noWrap/>
          </w:tcPr>
          <w:p w14:paraId="01EE9A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8897F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D4AC3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76</w:t>
            </w:r>
          </w:p>
        </w:tc>
        <w:tc>
          <w:tcPr>
            <w:tcW w:w="1909" w:type="dxa"/>
            <w:noWrap/>
          </w:tcPr>
          <w:p w14:paraId="4F6B8BC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(2020)</w:t>
            </w:r>
          </w:p>
        </w:tc>
        <w:tc>
          <w:tcPr>
            <w:tcW w:w="682" w:type="dxa"/>
            <w:noWrap/>
          </w:tcPr>
          <w:p w14:paraId="5D2CE2F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4B054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38F0E4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Tobacco wastes</w:t>
            </w:r>
          </w:p>
        </w:tc>
        <w:tc>
          <w:tcPr>
            <w:tcW w:w="2900" w:type="dxa"/>
            <w:noWrap/>
          </w:tcPr>
          <w:p w14:paraId="662902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59E234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0.6</w:t>
            </w:r>
          </w:p>
        </w:tc>
        <w:tc>
          <w:tcPr>
            <w:tcW w:w="1959" w:type="dxa"/>
            <w:noWrap/>
          </w:tcPr>
          <w:p w14:paraId="313C06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CBFAA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B05A6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76</w:t>
            </w:r>
          </w:p>
        </w:tc>
        <w:tc>
          <w:tcPr>
            <w:tcW w:w="1909" w:type="dxa"/>
            <w:noWrap/>
          </w:tcPr>
          <w:p w14:paraId="7E948C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(2020)</w:t>
            </w:r>
          </w:p>
        </w:tc>
        <w:tc>
          <w:tcPr>
            <w:tcW w:w="682" w:type="dxa"/>
            <w:noWrap/>
          </w:tcPr>
          <w:p w14:paraId="5DC5D1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39BA438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B9F88A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Tobacco wastes</w:t>
            </w:r>
          </w:p>
        </w:tc>
        <w:tc>
          <w:tcPr>
            <w:tcW w:w="2900" w:type="dxa"/>
            <w:noWrap/>
          </w:tcPr>
          <w:p w14:paraId="186663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Calcium superphosphate</w:t>
            </w:r>
          </w:p>
        </w:tc>
        <w:tc>
          <w:tcPr>
            <w:tcW w:w="1800" w:type="dxa"/>
            <w:noWrap/>
          </w:tcPr>
          <w:p w14:paraId="3C3196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31D7D5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C6358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732881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76</w:t>
            </w:r>
          </w:p>
        </w:tc>
        <w:tc>
          <w:tcPr>
            <w:tcW w:w="1909" w:type="dxa"/>
            <w:noWrap/>
          </w:tcPr>
          <w:p w14:paraId="27A9D2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(2020)</w:t>
            </w:r>
          </w:p>
        </w:tc>
        <w:tc>
          <w:tcPr>
            <w:tcW w:w="682" w:type="dxa"/>
            <w:noWrap/>
          </w:tcPr>
          <w:p w14:paraId="3A069F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8B18E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188AB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Tobacco wastes</w:t>
            </w:r>
          </w:p>
        </w:tc>
        <w:tc>
          <w:tcPr>
            <w:tcW w:w="2900" w:type="dxa"/>
            <w:noWrap/>
          </w:tcPr>
          <w:p w14:paraId="28A4EA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703645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E8590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80CA6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C8408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77</w:t>
            </w:r>
          </w:p>
        </w:tc>
        <w:tc>
          <w:tcPr>
            <w:tcW w:w="1909" w:type="dxa"/>
            <w:noWrap/>
          </w:tcPr>
          <w:p w14:paraId="70955B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(2013)</w:t>
            </w:r>
          </w:p>
        </w:tc>
        <w:tc>
          <w:tcPr>
            <w:tcW w:w="682" w:type="dxa"/>
            <w:noWrap/>
          </w:tcPr>
          <w:p w14:paraId="18D4F5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2013</w:t>
            </w:r>
          </w:p>
        </w:tc>
        <w:tc>
          <w:tcPr>
            <w:tcW w:w="1416" w:type="dxa"/>
            <w:noWrap/>
          </w:tcPr>
          <w:p w14:paraId="5F5080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03EA9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02F7A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3EC4A6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1232B0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453853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F9C38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78</w:t>
            </w:r>
          </w:p>
        </w:tc>
        <w:tc>
          <w:tcPr>
            <w:tcW w:w="1909" w:type="dxa"/>
            <w:noWrap/>
          </w:tcPr>
          <w:p w14:paraId="37FEC8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Santos et al. (2016)</w:t>
            </w:r>
          </w:p>
        </w:tc>
        <w:tc>
          <w:tcPr>
            <w:tcW w:w="682" w:type="dxa"/>
            <w:noWrap/>
          </w:tcPr>
          <w:p w14:paraId="42321C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2016</w:t>
            </w:r>
          </w:p>
        </w:tc>
        <w:tc>
          <w:tcPr>
            <w:tcW w:w="1416" w:type="dxa"/>
            <w:noWrap/>
          </w:tcPr>
          <w:p w14:paraId="0F12B5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90F23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Cotton gin waste</w:t>
            </w:r>
          </w:p>
        </w:tc>
        <w:tc>
          <w:tcPr>
            <w:tcW w:w="2900" w:type="dxa"/>
            <w:noWrap/>
          </w:tcPr>
          <w:p w14:paraId="735CC7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Cotton gin waste</w:t>
            </w:r>
          </w:p>
        </w:tc>
        <w:tc>
          <w:tcPr>
            <w:tcW w:w="1800" w:type="dxa"/>
            <w:noWrap/>
          </w:tcPr>
          <w:p w14:paraId="2BDD4D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2EC729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56E6D7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D3B8D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79</w:t>
            </w:r>
          </w:p>
        </w:tc>
        <w:tc>
          <w:tcPr>
            <w:tcW w:w="1909" w:type="dxa"/>
            <w:noWrap/>
          </w:tcPr>
          <w:p w14:paraId="025A53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Duran et al. (2014)</w:t>
            </w:r>
          </w:p>
        </w:tc>
        <w:tc>
          <w:tcPr>
            <w:tcW w:w="682" w:type="dxa"/>
            <w:noWrap/>
          </w:tcPr>
          <w:p w14:paraId="4CBBB1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291545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26896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46DE8F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0CE6C5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E996A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39337B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2B236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79</w:t>
            </w:r>
          </w:p>
        </w:tc>
        <w:tc>
          <w:tcPr>
            <w:tcW w:w="1909" w:type="dxa"/>
            <w:noWrap/>
          </w:tcPr>
          <w:p w14:paraId="19F67C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Duran et al. (2014)</w:t>
            </w:r>
          </w:p>
        </w:tc>
        <w:tc>
          <w:tcPr>
            <w:tcW w:w="682" w:type="dxa"/>
            <w:noWrap/>
          </w:tcPr>
          <w:p w14:paraId="7D55F0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2DD4F6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5" w:type="dxa"/>
            <w:noWrap/>
          </w:tcPr>
          <w:p w14:paraId="11F2F0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67F877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4ABA7E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6EB07C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3607DE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124BE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80</w:t>
            </w:r>
          </w:p>
        </w:tc>
        <w:tc>
          <w:tcPr>
            <w:tcW w:w="1909" w:type="dxa"/>
            <w:noWrap/>
          </w:tcPr>
          <w:p w14:paraId="541557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(2020)</w:t>
            </w:r>
          </w:p>
        </w:tc>
        <w:tc>
          <w:tcPr>
            <w:tcW w:w="682" w:type="dxa"/>
            <w:noWrap/>
          </w:tcPr>
          <w:p w14:paraId="0F059C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25E6E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99395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Caragana microphylla straw</w:t>
            </w:r>
          </w:p>
        </w:tc>
        <w:tc>
          <w:tcPr>
            <w:tcW w:w="2900" w:type="dxa"/>
            <w:noWrap/>
          </w:tcPr>
          <w:p w14:paraId="6CA8F7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Gasification filter cake</w:t>
            </w:r>
          </w:p>
        </w:tc>
        <w:tc>
          <w:tcPr>
            <w:tcW w:w="1800" w:type="dxa"/>
            <w:noWrap/>
          </w:tcPr>
          <w:p w14:paraId="486B10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6.25</w:t>
            </w:r>
          </w:p>
        </w:tc>
        <w:tc>
          <w:tcPr>
            <w:tcW w:w="1959" w:type="dxa"/>
            <w:noWrap/>
          </w:tcPr>
          <w:p w14:paraId="68C326B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401674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EE3A4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80</w:t>
            </w:r>
          </w:p>
        </w:tc>
        <w:tc>
          <w:tcPr>
            <w:tcW w:w="1909" w:type="dxa"/>
            <w:noWrap/>
          </w:tcPr>
          <w:p w14:paraId="7BC3E3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(2020)</w:t>
            </w:r>
          </w:p>
        </w:tc>
        <w:tc>
          <w:tcPr>
            <w:tcW w:w="682" w:type="dxa"/>
            <w:noWrap/>
          </w:tcPr>
          <w:p w14:paraId="0DBDD5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B209D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0F4972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Caragana microphylla straw</w:t>
            </w:r>
          </w:p>
        </w:tc>
        <w:tc>
          <w:tcPr>
            <w:tcW w:w="2900" w:type="dxa"/>
            <w:noWrap/>
          </w:tcPr>
          <w:p w14:paraId="201371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Gasification filter cake</w:t>
            </w:r>
          </w:p>
        </w:tc>
        <w:tc>
          <w:tcPr>
            <w:tcW w:w="1800" w:type="dxa"/>
            <w:noWrap/>
          </w:tcPr>
          <w:p w14:paraId="409DD6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12.5</w:t>
            </w:r>
          </w:p>
        </w:tc>
        <w:tc>
          <w:tcPr>
            <w:tcW w:w="1959" w:type="dxa"/>
            <w:noWrap/>
          </w:tcPr>
          <w:p w14:paraId="099A82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65510C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A09F8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80</w:t>
            </w:r>
          </w:p>
        </w:tc>
        <w:tc>
          <w:tcPr>
            <w:tcW w:w="1909" w:type="dxa"/>
            <w:noWrap/>
          </w:tcPr>
          <w:p w14:paraId="0DC3AF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(2020)</w:t>
            </w:r>
          </w:p>
        </w:tc>
        <w:tc>
          <w:tcPr>
            <w:tcW w:w="682" w:type="dxa"/>
            <w:noWrap/>
          </w:tcPr>
          <w:p w14:paraId="4D3458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4D493D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C70AD6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Caragana microphylla straw</w:t>
            </w:r>
          </w:p>
        </w:tc>
        <w:tc>
          <w:tcPr>
            <w:tcW w:w="2900" w:type="dxa"/>
            <w:noWrap/>
          </w:tcPr>
          <w:p w14:paraId="122FE1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Gasification filter cake</w:t>
            </w:r>
          </w:p>
        </w:tc>
        <w:tc>
          <w:tcPr>
            <w:tcW w:w="1800" w:type="dxa"/>
            <w:noWrap/>
          </w:tcPr>
          <w:p w14:paraId="045DC3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290249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672EF7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486C8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80</w:t>
            </w:r>
          </w:p>
        </w:tc>
        <w:tc>
          <w:tcPr>
            <w:tcW w:w="1909" w:type="dxa"/>
            <w:noWrap/>
          </w:tcPr>
          <w:p w14:paraId="71E8FE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Wang et al. (2020)</w:t>
            </w:r>
          </w:p>
        </w:tc>
        <w:tc>
          <w:tcPr>
            <w:tcW w:w="682" w:type="dxa"/>
            <w:noWrap/>
          </w:tcPr>
          <w:p w14:paraId="333F2E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DB818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4AED71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Caragana microphylla straw</w:t>
            </w:r>
          </w:p>
        </w:tc>
        <w:tc>
          <w:tcPr>
            <w:tcW w:w="2900" w:type="dxa"/>
            <w:noWrap/>
          </w:tcPr>
          <w:p w14:paraId="659C49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Gasification filter cake</w:t>
            </w:r>
          </w:p>
        </w:tc>
        <w:tc>
          <w:tcPr>
            <w:tcW w:w="1800" w:type="dxa"/>
            <w:noWrap/>
          </w:tcPr>
          <w:p w14:paraId="79B8A99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50</w:t>
            </w:r>
          </w:p>
        </w:tc>
        <w:tc>
          <w:tcPr>
            <w:tcW w:w="1959" w:type="dxa"/>
            <w:noWrap/>
          </w:tcPr>
          <w:p w14:paraId="55AFF8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3AE7D3A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A229E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81</w:t>
            </w:r>
          </w:p>
        </w:tc>
        <w:tc>
          <w:tcPr>
            <w:tcW w:w="1909" w:type="dxa"/>
            <w:noWrap/>
          </w:tcPr>
          <w:p w14:paraId="24C358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Shen et al. (2020)</w:t>
            </w:r>
          </w:p>
        </w:tc>
        <w:tc>
          <w:tcPr>
            <w:tcW w:w="682" w:type="dxa"/>
            <w:noWrap/>
          </w:tcPr>
          <w:p w14:paraId="5CB89B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5B850E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594FBF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3281B6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680760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59" w:type="dxa"/>
            <w:noWrap/>
          </w:tcPr>
          <w:p w14:paraId="2808D5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6A4D8E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6AFD8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82</w:t>
            </w:r>
          </w:p>
        </w:tc>
        <w:tc>
          <w:tcPr>
            <w:tcW w:w="1909" w:type="dxa"/>
            <w:noWrap/>
          </w:tcPr>
          <w:p w14:paraId="33DDE4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Fillingham et al. (2017)</w:t>
            </w:r>
          </w:p>
        </w:tc>
        <w:tc>
          <w:tcPr>
            <w:tcW w:w="682" w:type="dxa"/>
            <w:noWrap/>
          </w:tcPr>
          <w:p w14:paraId="034FD3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5636D2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1FEA88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Farm bedding</w:t>
            </w:r>
          </w:p>
        </w:tc>
        <w:tc>
          <w:tcPr>
            <w:tcW w:w="2900" w:type="dxa"/>
            <w:noWrap/>
          </w:tcPr>
          <w:p w14:paraId="37FF09A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Farm bedding</w:t>
            </w:r>
          </w:p>
        </w:tc>
        <w:tc>
          <w:tcPr>
            <w:tcW w:w="1800" w:type="dxa"/>
            <w:noWrap/>
          </w:tcPr>
          <w:p w14:paraId="5946DC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5F8740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13DAD77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AAE91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83</w:t>
            </w:r>
          </w:p>
        </w:tc>
        <w:tc>
          <w:tcPr>
            <w:tcW w:w="1909" w:type="dxa"/>
            <w:noWrap/>
          </w:tcPr>
          <w:p w14:paraId="486318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(2017)</w:t>
            </w:r>
          </w:p>
        </w:tc>
        <w:tc>
          <w:tcPr>
            <w:tcW w:w="682" w:type="dxa"/>
            <w:noWrap/>
          </w:tcPr>
          <w:p w14:paraId="17DC0A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59B252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932AC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61F41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FFDF9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5ABD41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7C3F4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EB4E7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83</w:t>
            </w:r>
          </w:p>
        </w:tc>
        <w:tc>
          <w:tcPr>
            <w:tcW w:w="1909" w:type="dxa"/>
            <w:noWrap/>
          </w:tcPr>
          <w:p w14:paraId="728774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(2017)</w:t>
            </w:r>
          </w:p>
        </w:tc>
        <w:tc>
          <w:tcPr>
            <w:tcW w:w="682" w:type="dxa"/>
            <w:noWrap/>
          </w:tcPr>
          <w:p w14:paraId="4EE180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328471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C1F61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4D8E8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462E9C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59" w:type="dxa"/>
            <w:noWrap/>
          </w:tcPr>
          <w:p w14:paraId="34FC1B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ACA84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196F6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83</w:t>
            </w:r>
          </w:p>
        </w:tc>
        <w:tc>
          <w:tcPr>
            <w:tcW w:w="1909" w:type="dxa"/>
            <w:noWrap/>
          </w:tcPr>
          <w:p w14:paraId="2D9B25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(2017)</w:t>
            </w:r>
          </w:p>
        </w:tc>
        <w:tc>
          <w:tcPr>
            <w:tcW w:w="682" w:type="dxa"/>
            <w:noWrap/>
          </w:tcPr>
          <w:p w14:paraId="2FB498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721A15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31EC02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239459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021CAC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2E2A0A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0F0967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C51E9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83</w:t>
            </w:r>
          </w:p>
        </w:tc>
        <w:tc>
          <w:tcPr>
            <w:tcW w:w="1909" w:type="dxa"/>
            <w:noWrap/>
          </w:tcPr>
          <w:p w14:paraId="7EF89E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(2017)</w:t>
            </w:r>
          </w:p>
        </w:tc>
        <w:tc>
          <w:tcPr>
            <w:tcW w:w="682" w:type="dxa"/>
            <w:noWrap/>
          </w:tcPr>
          <w:p w14:paraId="6DD57C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0DBF5F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7218AF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4E440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5C1DDE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w:t>
            </w:r>
          </w:p>
        </w:tc>
        <w:tc>
          <w:tcPr>
            <w:tcW w:w="1959" w:type="dxa"/>
            <w:noWrap/>
          </w:tcPr>
          <w:p w14:paraId="2817DF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E053B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268C0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83</w:t>
            </w:r>
          </w:p>
        </w:tc>
        <w:tc>
          <w:tcPr>
            <w:tcW w:w="1909" w:type="dxa"/>
            <w:noWrap/>
          </w:tcPr>
          <w:p w14:paraId="1C7B94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(2017)</w:t>
            </w:r>
          </w:p>
        </w:tc>
        <w:tc>
          <w:tcPr>
            <w:tcW w:w="682" w:type="dxa"/>
            <w:noWrap/>
          </w:tcPr>
          <w:p w14:paraId="6A39BE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2B6A18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99A27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11131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42FD3A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w:t>
            </w:r>
          </w:p>
        </w:tc>
        <w:tc>
          <w:tcPr>
            <w:tcW w:w="1959" w:type="dxa"/>
            <w:noWrap/>
          </w:tcPr>
          <w:p w14:paraId="0D27A6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AD6594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F7362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83</w:t>
            </w:r>
          </w:p>
        </w:tc>
        <w:tc>
          <w:tcPr>
            <w:tcW w:w="1909" w:type="dxa"/>
            <w:noWrap/>
          </w:tcPr>
          <w:p w14:paraId="5C4AF8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(2017)</w:t>
            </w:r>
          </w:p>
        </w:tc>
        <w:tc>
          <w:tcPr>
            <w:tcW w:w="682" w:type="dxa"/>
            <w:noWrap/>
          </w:tcPr>
          <w:p w14:paraId="2E87BF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2017</w:t>
            </w:r>
          </w:p>
        </w:tc>
        <w:tc>
          <w:tcPr>
            <w:tcW w:w="1416" w:type="dxa"/>
            <w:noWrap/>
          </w:tcPr>
          <w:p w14:paraId="24BA27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0049C2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2A34A6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77EA25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18</w:t>
            </w:r>
          </w:p>
        </w:tc>
        <w:tc>
          <w:tcPr>
            <w:tcW w:w="1959" w:type="dxa"/>
            <w:noWrap/>
          </w:tcPr>
          <w:p w14:paraId="0DBAC3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B7980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A76E8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84</w:t>
            </w:r>
          </w:p>
        </w:tc>
        <w:tc>
          <w:tcPr>
            <w:tcW w:w="1909" w:type="dxa"/>
            <w:noWrap/>
          </w:tcPr>
          <w:p w14:paraId="50DF3C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Wu et al. (2023)</w:t>
            </w:r>
          </w:p>
        </w:tc>
        <w:tc>
          <w:tcPr>
            <w:tcW w:w="682" w:type="dxa"/>
            <w:noWrap/>
          </w:tcPr>
          <w:p w14:paraId="7174CD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5BA2DF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9F275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698623A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Bentonite</w:t>
            </w:r>
          </w:p>
        </w:tc>
        <w:tc>
          <w:tcPr>
            <w:tcW w:w="1800" w:type="dxa"/>
            <w:noWrap/>
          </w:tcPr>
          <w:p w14:paraId="004A30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BEA7C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1E1C18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1EF1B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85</w:t>
            </w:r>
          </w:p>
        </w:tc>
        <w:tc>
          <w:tcPr>
            <w:tcW w:w="1909" w:type="dxa"/>
            <w:noWrap/>
          </w:tcPr>
          <w:p w14:paraId="61D5EE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Manu et al. (2022)</w:t>
            </w:r>
          </w:p>
        </w:tc>
        <w:tc>
          <w:tcPr>
            <w:tcW w:w="682" w:type="dxa"/>
            <w:noWrap/>
          </w:tcPr>
          <w:p w14:paraId="0B7A88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D6826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2DDFA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0A1D34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3DB11C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4674C9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A09D1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617D3B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85</w:t>
            </w:r>
          </w:p>
        </w:tc>
        <w:tc>
          <w:tcPr>
            <w:tcW w:w="1909" w:type="dxa"/>
            <w:noWrap/>
          </w:tcPr>
          <w:p w14:paraId="33F6A9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Manu et al. (2022)</w:t>
            </w:r>
          </w:p>
        </w:tc>
        <w:tc>
          <w:tcPr>
            <w:tcW w:w="682" w:type="dxa"/>
            <w:noWrap/>
          </w:tcPr>
          <w:p w14:paraId="3AF81C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265229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580BF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659AD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0F8F1D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7BD08C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904E4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7" w:type="dxa"/>
            <w:noWrap/>
          </w:tcPr>
          <w:p w14:paraId="1F4365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85</w:t>
            </w:r>
          </w:p>
        </w:tc>
        <w:tc>
          <w:tcPr>
            <w:tcW w:w="1909" w:type="dxa"/>
            <w:noWrap/>
          </w:tcPr>
          <w:p w14:paraId="1A0FA8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Manu et al. (2022)</w:t>
            </w:r>
          </w:p>
        </w:tc>
        <w:tc>
          <w:tcPr>
            <w:tcW w:w="682" w:type="dxa"/>
            <w:noWrap/>
          </w:tcPr>
          <w:p w14:paraId="7EC963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2E29CC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7D747B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6DAD82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019E25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CF16C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36D6E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141B5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86</w:t>
            </w:r>
          </w:p>
        </w:tc>
        <w:tc>
          <w:tcPr>
            <w:tcW w:w="1909" w:type="dxa"/>
            <w:noWrap/>
          </w:tcPr>
          <w:p w14:paraId="2C150E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5EB43EB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038CAF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22E55B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5906F9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63DFBF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59" w:type="dxa"/>
            <w:noWrap/>
          </w:tcPr>
          <w:p w14:paraId="36343C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94E36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EB517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86</w:t>
            </w:r>
          </w:p>
        </w:tc>
        <w:tc>
          <w:tcPr>
            <w:tcW w:w="1909" w:type="dxa"/>
            <w:noWrap/>
          </w:tcPr>
          <w:p w14:paraId="041B9A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4AFD8D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1D652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726070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1B868D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Ferrous sulfate</w:t>
            </w:r>
          </w:p>
        </w:tc>
        <w:tc>
          <w:tcPr>
            <w:tcW w:w="1800" w:type="dxa"/>
            <w:noWrap/>
          </w:tcPr>
          <w:p w14:paraId="2A782B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59" w:type="dxa"/>
            <w:noWrap/>
          </w:tcPr>
          <w:p w14:paraId="5DA41F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2F9D61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7E907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86</w:t>
            </w:r>
          </w:p>
        </w:tc>
        <w:tc>
          <w:tcPr>
            <w:tcW w:w="1909" w:type="dxa"/>
            <w:noWrap/>
          </w:tcPr>
          <w:p w14:paraId="2155862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14C36F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62B419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7B7046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54925B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ferrous sulfate</w:t>
            </w:r>
          </w:p>
        </w:tc>
        <w:tc>
          <w:tcPr>
            <w:tcW w:w="1800" w:type="dxa"/>
            <w:noWrap/>
          </w:tcPr>
          <w:p w14:paraId="614DD2E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2CA8FB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05946B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FFBCA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87</w:t>
            </w:r>
          </w:p>
        </w:tc>
        <w:tc>
          <w:tcPr>
            <w:tcW w:w="1909" w:type="dxa"/>
            <w:noWrap/>
          </w:tcPr>
          <w:p w14:paraId="48C098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Patil et al. (2023)</w:t>
            </w:r>
          </w:p>
        </w:tc>
        <w:tc>
          <w:tcPr>
            <w:tcW w:w="682" w:type="dxa"/>
            <w:noWrap/>
          </w:tcPr>
          <w:p w14:paraId="295155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01118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72CADB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Tree clippings</w:t>
            </w:r>
          </w:p>
        </w:tc>
        <w:tc>
          <w:tcPr>
            <w:tcW w:w="2900" w:type="dxa"/>
            <w:noWrap/>
          </w:tcPr>
          <w:p w14:paraId="2E5F74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Sludge</w:t>
            </w:r>
          </w:p>
        </w:tc>
        <w:tc>
          <w:tcPr>
            <w:tcW w:w="1800" w:type="dxa"/>
            <w:noWrap/>
          </w:tcPr>
          <w:p w14:paraId="7EB6D5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4B1A3B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C20AAA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764A9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88</w:t>
            </w:r>
          </w:p>
        </w:tc>
        <w:tc>
          <w:tcPr>
            <w:tcW w:w="1909" w:type="dxa"/>
            <w:noWrap/>
          </w:tcPr>
          <w:p w14:paraId="3CBB16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Mao et al. (2018)</w:t>
            </w:r>
          </w:p>
        </w:tc>
        <w:tc>
          <w:tcPr>
            <w:tcW w:w="682" w:type="dxa"/>
            <w:noWrap/>
          </w:tcPr>
          <w:p w14:paraId="3ED0C2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02B557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E13C9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30E08C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245F89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2E213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D135C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C658D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88</w:t>
            </w:r>
          </w:p>
        </w:tc>
        <w:tc>
          <w:tcPr>
            <w:tcW w:w="1909" w:type="dxa"/>
            <w:noWrap/>
          </w:tcPr>
          <w:p w14:paraId="3F4269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Mao et al. (2018)</w:t>
            </w:r>
          </w:p>
        </w:tc>
        <w:tc>
          <w:tcPr>
            <w:tcW w:w="682" w:type="dxa"/>
            <w:noWrap/>
          </w:tcPr>
          <w:p w14:paraId="03DB16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387AB3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1B54E9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0CD0B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 and microbial inoculants</w:t>
            </w:r>
          </w:p>
        </w:tc>
        <w:tc>
          <w:tcPr>
            <w:tcW w:w="1800" w:type="dxa"/>
            <w:noWrap/>
          </w:tcPr>
          <w:p w14:paraId="373A8A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5.3</w:t>
            </w:r>
          </w:p>
        </w:tc>
        <w:tc>
          <w:tcPr>
            <w:tcW w:w="1959" w:type="dxa"/>
            <w:noWrap/>
          </w:tcPr>
          <w:p w14:paraId="21F8B5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79690A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CBC2C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88</w:t>
            </w:r>
          </w:p>
        </w:tc>
        <w:tc>
          <w:tcPr>
            <w:tcW w:w="1909" w:type="dxa"/>
            <w:noWrap/>
          </w:tcPr>
          <w:p w14:paraId="29A357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Mao et al. (2018)</w:t>
            </w:r>
          </w:p>
        </w:tc>
        <w:tc>
          <w:tcPr>
            <w:tcW w:w="682" w:type="dxa"/>
            <w:noWrap/>
          </w:tcPr>
          <w:p w14:paraId="1F0B18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397E31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07BBB5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74979C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 and microbial inoculants</w:t>
            </w:r>
          </w:p>
        </w:tc>
        <w:tc>
          <w:tcPr>
            <w:tcW w:w="1800" w:type="dxa"/>
            <w:noWrap/>
          </w:tcPr>
          <w:p w14:paraId="61BEE2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5.3</w:t>
            </w:r>
          </w:p>
        </w:tc>
        <w:tc>
          <w:tcPr>
            <w:tcW w:w="1959" w:type="dxa"/>
            <w:noWrap/>
          </w:tcPr>
          <w:p w14:paraId="7F9B85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F98CBF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E075C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89</w:t>
            </w:r>
          </w:p>
        </w:tc>
        <w:tc>
          <w:tcPr>
            <w:tcW w:w="1909" w:type="dxa"/>
            <w:noWrap/>
          </w:tcPr>
          <w:p w14:paraId="465493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031E81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F85B3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615910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61DCC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3DCEB6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097336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CFDCD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0261A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89</w:t>
            </w:r>
          </w:p>
        </w:tc>
        <w:tc>
          <w:tcPr>
            <w:tcW w:w="1909" w:type="dxa"/>
            <w:noWrap/>
          </w:tcPr>
          <w:p w14:paraId="43C50E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766072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70720E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47A9FD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2AA891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32C69B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59" w:type="dxa"/>
            <w:noWrap/>
          </w:tcPr>
          <w:p w14:paraId="18BE38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71C12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E98D6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89</w:t>
            </w:r>
          </w:p>
        </w:tc>
        <w:tc>
          <w:tcPr>
            <w:tcW w:w="1909" w:type="dxa"/>
            <w:noWrap/>
          </w:tcPr>
          <w:p w14:paraId="70D64C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3F7C5C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42EDAF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191374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7FD355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56CD1D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4266A1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3E078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44725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89</w:t>
            </w:r>
          </w:p>
        </w:tc>
        <w:tc>
          <w:tcPr>
            <w:tcW w:w="1909" w:type="dxa"/>
            <w:noWrap/>
          </w:tcPr>
          <w:p w14:paraId="55F11F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7C560F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796A009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316478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BEAAA3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21EA79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w:t>
            </w:r>
          </w:p>
        </w:tc>
        <w:tc>
          <w:tcPr>
            <w:tcW w:w="1959" w:type="dxa"/>
            <w:noWrap/>
          </w:tcPr>
          <w:p w14:paraId="2F75A8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C9C4B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21991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89</w:t>
            </w:r>
          </w:p>
        </w:tc>
        <w:tc>
          <w:tcPr>
            <w:tcW w:w="1909" w:type="dxa"/>
            <w:noWrap/>
          </w:tcPr>
          <w:p w14:paraId="2A856D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(2020)</w:t>
            </w:r>
          </w:p>
        </w:tc>
        <w:tc>
          <w:tcPr>
            <w:tcW w:w="682" w:type="dxa"/>
            <w:noWrap/>
          </w:tcPr>
          <w:p w14:paraId="38697F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388B3C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5EAAD8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EA621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0E1298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B8FE8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6665D1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D5CC7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90</w:t>
            </w:r>
          </w:p>
        </w:tc>
        <w:tc>
          <w:tcPr>
            <w:tcW w:w="1909" w:type="dxa"/>
            <w:noWrap/>
          </w:tcPr>
          <w:p w14:paraId="073C4B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Sun et al. (2014)</w:t>
            </w:r>
          </w:p>
        </w:tc>
        <w:tc>
          <w:tcPr>
            <w:tcW w:w="682" w:type="dxa"/>
            <w:noWrap/>
          </w:tcPr>
          <w:p w14:paraId="3E11398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13ACE7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C4B38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7B3EFE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1800" w:type="dxa"/>
            <w:noWrap/>
          </w:tcPr>
          <w:p w14:paraId="6F7BBBC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5F2FCE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D96073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CDD1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90</w:t>
            </w:r>
          </w:p>
        </w:tc>
        <w:tc>
          <w:tcPr>
            <w:tcW w:w="1909" w:type="dxa"/>
            <w:noWrap/>
          </w:tcPr>
          <w:p w14:paraId="4CB78D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Sun et al. (2014)</w:t>
            </w:r>
          </w:p>
        </w:tc>
        <w:tc>
          <w:tcPr>
            <w:tcW w:w="682" w:type="dxa"/>
            <w:noWrap/>
          </w:tcPr>
          <w:p w14:paraId="04E7D7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59DBCD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27CF1E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Spenpentent mushroom substrate</w:t>
            </w:r>
          </w:p>
        </w:tc>
        <w:tc>
          <w:tcPr>
            <w:tcW w:w="2900" w:type="dxa"/>
            <w:noWrap/>
          </w:tcPr>
          <w:p w14:paraId="11BC261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mushroom substrate</w:t>
            </w:r>
          </w:p>
        </w:tc>
        <w:tc>
          <w:tcPr>
            <w:tcW w:w="1800" w:type="dxa"/>
            <w:noWrap/>
          </w:tcPr>
          <w:p w14:paraId="4CDD32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5938FF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E33C23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7D2F6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91</w:t>
            </w:r>
          </w:p>
        </w:tc>
        <w:tc>
          <w:tcPr>
            <w:tcW w:w="1909" w:type="dxa"/>
            <w:noWrap/>
          </w:tcPr>
          <w:p w14:paraId="0E83A9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(2018)</w:t>
            </w:r>
          </w:p>
        </w:tc>
        <w:tc>
          <w:tcPr>
            <w:tcW w:w="682" w:type="dxa"/>
            <w:noWrap/>
          </w:tcPr>
          <w:p w14:paraId="59BADEC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0F6E21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Biosolids</w:t>
            </w:r>
          </w:p>
        </w:tc>
        <w:tc>
          <w:tcPr>
            <w:tcW w:w="1805" w:type="dxa"/>
            <w:noWrap/>
          </w:tcPr>
          <w:p w14:paraId="1D6112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E64226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Medical stone</w:t>
            </w:r>
          </w:p>
        </w:tc>
        <w:tc>
          <w:tcPr>
            <w:tcW w:w="1800" w:type="dxa"/>
            <w:noWrap/>
          </w:tcPr>
          <w:p w14:paraId="511EA6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47CF03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FBBA2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7CEBC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91</w:t>
            </w:r>
          </w:p>
        </w:tc>
        <w:tc>
          <w:tcPr>
            <w:tcW w:w="1909" w:type="dxa"/>
            <w:noWrap/>
          </w:tcPr>
          <w:p w14:paraId="1F3346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(2018)</w:t>
            </w:r>
          </w:p>
        </w:tc>
        <w:tc>
          <w:tcPr>
            <w:tcW w:w="682" w:type="dxa"/>
            <w:noWrap/>
          </w:tcPr>
          <w:p w14:paraId="3A2A7C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7AD4EC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Biosolids</w:t>
            </w:r>
          </w:p>
        </w:tc>
        <w:tc>
          <w:tcPr>
            <w:tcW w:w="1805" w:type="dxa"/>
            <w:noWrap/>
          </w:tcPr>
          <w:p w14:paraId="02FEB6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65569A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Medical stone</w:t>
            </w:r>
          </w:p>
        </w:tc>
        <w:tc>
          <w:tcPr>
            <w:tcW w:w="1800" w:type="dxa"/>
            <w:noWrap/>
          </w:tcPr>
          <w:p w14:paraId="387F4F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w:t>
            </w:r>
          </w:p>
        </w:tc>
        <w:tc>
          <w:tcPr>
            <w:tcW w:w="1959" w:type="dxa"/>
            <w:noWrap/>
          </w:tcPr>
          <w:p w14:paraId="168354C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AF38F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3F59A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91</w:t>
            </w:r>
          </w:p>
        </w:tc>
        <w:tc>
          <w:tcPr>
            <w:tcW w:w="1909" w:type="dxa"/>
            <w:noWrap/>
          </w:tcPr>
          <w:p w14:paraId="4CAA6F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(2018)</w:t>
            </w:r>
          </w:p>
        </w:tc>
        <w:tc>
          <w:tcPr>
            <w:tcW w:w="682" w:type="dxa"/>
            <w:noWrap/>
          </w:tcPr>
          <w:p w14:paraId="2B89AC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5CD0B3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Biosolids</w:t>
            </w:r>
          </w:p>
        </w:tc>
        <w:tc>
          <w:tcPr>
            <w:tcW w:w="1805" w:type="dxa"/>
            <w:noWrap/>
          </w:tcPr>
          <w:p w14:paraId="5CE72D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79BB81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Medical stone</w:t>
            </w:r>
          </w:p>
        </w:tc>
        <w:tc>
          <w:tcPr>
            <w:tcW w:w="1800" w:type="dxa"/>
            <w:noWrap/>
          </w:tcPr>
          <w:p w14:paraId="61C776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1B83A4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53F28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EB458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91</w:t>
            </w:r>
          </w:p>
        </w:tc>
        <w:tc>
          <w:tcPr>
            <w:tcW w:w="1909" w:type="dxa"/>
            <w:noWrap/>
          </w:tcPr>
          <w:p w14:paraId="6E533D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Awasthi et al. (2018)</w:t>
            </w:r>
          </w:p>
        </w:tc>
        <w:tc>
          <w:tcPr>
            <w:tcW w:w="682" w:type="dxa"/>
            <w:noWrap/>
          </w:tcPr>
          <w:p w14:paraId="30008D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63DED0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Biosolids</w:t>
            </w:r>
          </w:p>
        </w:tc>
        <w:tc>
          <w:tcPr>
            <w:tcW w:w="1805" w:type="dxa"/>
            <w:noWrap/>
          </w:tcPr>
          <w:p w14:paraId="1E13E8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19C97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Medical stone</w:t>
            </w:r>
          </w:p>
        </w:tc>
        <w:tc>
          <w:tcPr>
            <w:tcW w:w="1800" w:type="dxa"/>
            <w:noWrap/>
          </w:tcPr>
          <w:p w14:paraId="1CA0E3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FFAD4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44E8C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46AB3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92</w:t>
            </w:r>
          </w:p>
        </w:tc>
        <w:tc>
          <w:tcPr>
            <w:tcW w:w="1909" w:type="dxa"/>
            <w:noWrap/>
          </w:tcPr>
          <w:p w14:paraId="71AC52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Sun et al. (2022)</w:t>
            </w:r>
          </w:p>
        </w:tc>
        <w:tc>
          <w:tcPr>
            <w:tcW w:w="682" w:type="dxa"/>
            <w:noWrap/>
          </w:tcPr>
          <w:p w14:paraId="2CDEF4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7D21A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Spiramycin fermentation residue</w:t>
            </w:r>
          </w:p>
        </w:tc>
        <w:tc>
          <w:tcPr>
            <w:tcW w:w="1805" w:type="dxa"/>
            <w:noWrap/>
          </w:tcPr>
          <w:p w14:paraId="426E1E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7E5427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Activated peroxodisulfate</w:t>
            </w:r>
          </w:p>
        </w:tc>
        <w:tc>
          <w:tcPr>
            <w:tcW w:w="1800" w:type="dxa"/>
            <w:noWrap/>
          </w:tcPr>
          <w:p w14:paraId="738C30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30E6F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1B4CC5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F844D7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92</w:t>
            </w:r>
          </w:p>
        </w:tc>
        <w:tc>
          <w:tcPr>
            <w:tcW w:w="1909" w:type="dxa"/>
            <w:noWrap/>
          </w:tcPr>
          <w:p w14:paraId="3173EC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Sun et al. (2022)</w:t>
            </w:r>
          </w:p>
        </w:tc>
        <w:tc>
          <w:tcPr>
            <w:tcW w:w="682" w:type="dxa"/>
            <w:noWrap/>
          </w:tcPr>
          <w:p w14:paraId="026D82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6E2FA6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Spiramycin fermentation residue</w:t>
            </w:r>
          </w:p>
        </w:tc>
        <w:tc>
          <w:tcPr>
            <w:tcW w:w="1805" w:type="dxa"/>
            <w:noWrap/>
          </w:tcPr>
          <w:p w14:paraId="496903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6C2B8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Activated peroxodisulfate</w:t>
            </w:r>
          </w:p>
          <w:p w14:paraId="12B23991">
            <w:pPr>
              <w:spacing w:after="0" w:line="240" w:lineRule="auto"/>
              <w:ind w:firstLine="720"/>
              <w:rPr>
                <w:rFonts w:ascii="Times New Roman" w:hAnsi="Times New Roman" w:cs="Times New Roman"/>
                <w:color w:val="000000" w:themeColor="text1"/>
                <w:sz w:val="20"/>
                <w:szCs w:val="20"/>
                <w14:textFill>
                  <w14:solidFill>
                    <w14:schemeClr w14:val="tx1"/>
                  </w14:solidFill>
                </w14:textFill>
              </w:rPr>
            </w:pPr>
          </w:p>
        </w:tc>
        <w:tc>
          <w:tcPr>
            <w:tcW w:w="1800" w:type="dxa"/>
            <w:noWrap/>
          </w:tcPr>
          <w:p w14:paraId="675A27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59" w:type="dxa"/>
            <w:noWrap/>
          </w:tcPr>
          <w:p w14:paraId="4FD0129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3A409D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893D4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93</w:t>
            </w:r>
          </w:p>
        </w:tc>
        <w:tc>
          <w:tcPr>
            <w:tcW w:w="1909" w:type="dxa"/>
            <w:noWrap/>
          </w:tcPr>
          <w:p w14:paraId="711BCB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Cheng et al. (2023)</w:t>
            </w:r>
          </w:p>
        </w:tc>
        <w:tc>
          <w:tcPr>
            <w:tcW w:w="682" w:type="dxa"/>
            <w:noWrap/>
          </w:tcPr>
          <w:p w14:paraId="43B69D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CD654B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722E47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56B0BA3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61828D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w:t>
            </w:r>
          </w:p>
        </w:tc>
        <w:tc>
          <w:tcPr>
            <w:tcW w:w="1959" w:type="dxa"/>
            <w:noWrap/>
          </w:tcPr>
          <w:p w14:paraId="6FDDAAC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6C2B6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166F8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93</w:t>
            </w:r>
          </w:p>
        </w:tc>
        <w:tc>
          <w:tcPr>
            <w:tcW w:w="1909" w:type="dxa"/>
            <w:noWrap/>
          </w:tcPr>
          <w:p w14:paraId="4DEED7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Cheng et al. (2023)</w:t>
            </w:r>
          </w:p>
        </w:tc>
        <w:tc>
          <w:tcPr>
            <w:tcW w:w="682" w:type="dxa"/>
            <w:noWrap/>
          </w:tcPr>
          <w:p w14:paraId="4A79BB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CEB0C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91F99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5E7C99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006F06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50FAC4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F87D7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3A40C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93</w:t>
            </w:r>
          </w:p>
        </w:tc>
        <w:tc>
          <w:tcPr>
            <w:tcW w:w="1909" w:type="dxa"/>
            <w:noWrap/>
          </w:tcPr>
          <w:p w14:paraId="175F81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Cheng et al. (2023)</w:t>
            </w:r>
          </w:p>
        </w:tc>
        <w:tc>
          <w:tcPr>
            <w:tcW w:w="682" w:type="dxa"/>
            <w:noWrap/>
          </w:tcPr>
          <w:p w14:paraId="4E01C7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9DBFD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70DEE8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12E5CCA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01CF64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15A328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53B61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1A62A6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94</w:t>
            </w:r>
          </w:p>
        </w:tc>
        <w:tc>
          <w:tcPr>
            <w:tcW w:w="1909" w:type="dxa"/>
            <w:noWrap/>
          </w:tcPr>
          <w:p w14:paraId="551C27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(2023)</w:t>
            </w:r>
          </w:p>
        </w:tc>
        <w:tc>
          <w:tcPr>
            <w:tcW w:w="682" w:type="dxa"/>
            <w:noWrap/>
          </w:tcPr>
          <w:p w14:paraId="1AAA2A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2861B9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7CB818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Garden waste </w:t>
            </w:r>
          </w:p>
        </w:tc>
        <w:tc>
          <w:tcPr>
            <w:tcW w:w="2900" w:type="dxa"/>
            <w:noWrap/>
          </w:tcPr>
          <w:p w14:paraId="6BEE8F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kitchen waste leachate</w:t>
            </w:r>
          </w:p>
        </w:tc>
        <w:tc>
          <w:tcPr>
            <w:tcW w:w="1800" w:type="dxa"/>
            <w:noWrap/>
          </w:tcPr>
          <w:p w14:paraId="12A0DC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18A9C0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D484ED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F2AC2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94</w:t>
            </w:r>
          </w:p>
        </w:tc>
        <w:tc>
          <w:tcPr>
            <w:tcW w:w="1909" w:type="dxa"/>
            <w:noWrap/>
          </w:tcPr>
          <w:p w14:paraId="34B778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(2023)</w:t>
            </w:r>
          </w:p>
        </w:tc>
        <w:tc>
          <w:tcPr>
            <w:tcW w:w="682" w:type="dxa"/>
            <w:noWrap/>
          </w:tcPr>
          <w:p w14:paraId="5DADD2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3A599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715BB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Garden waste </w:t>
            </w:r>
          </w:p>
        </w:tc>
        <w:tc>
          <w:tcPr>
            <w:tcW w:w="2900" w:type="dxa"/>
            <w:noWrap/>
          </w:tcPr>
          <w:p w14:paraId="22F590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kitchen waste composting leachate</w:t>
            </w:r>
          </w:p>
        </w:tc>
        <w:tc>
          <w:tcPr>
            <w:tcW w:w="1800" w:type="dxa"/>
            <w:noWrap/>
          </w:tcPr>
          <w:p w14:paraId="1F81F5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92AE3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6ABE44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A1B90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95</w:t>
            </w:r>
          </w:p>
        </w:tc>
        <w:tc>
          <w:tcPr>
            <w:tcW w:w="1909" w:type="dxa"/>
            <w:noWrap/>
          </w:tcPr>
          <w:p w14:paraId="724EBC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Nguyen et al. (2023)</w:t>
            </w:r>
          </w:p>
        </w:tc>
        <w:tc>
          <w:tcPr>
            <w:tcW w:w="682" w:type="dxa"/>
            <w:noWrap/>
          </w:tcPr>
          <w:p w14:paraId="2A80BD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77DAD5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E26339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678EB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4B2577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48D9B1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1278DF6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893DC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95</w:t>
            </w:r>
          </w:p>
        </w:tc>
        <w:tc>
          <w:tcPr>
            <w:tcW w:w="1909" w:type="dxa"/>
            <w:noWrap/>
          </w:tcPr>
          <w:p w14:paraId="0C3C92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Nguyen et al. (2023)</w:t>
            </w:r>
          </w:p>
        </w:tc>
        <w:tc>
          <w:tcPr>
            <w:tcW w:w="682" w:type="dxa"/>
            <w:noWrap/>
          </w:tcPr>
          <w:p w14:paraId="7459B3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1C314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3F10C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641E040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Distilled water-washed biochar</w:t>
            </w:r>
          </w:p>
        </w:tc>
        <w:tc>
          <w:tcPr>
            <w:tcW w:w="1800" w:type="dxa"/>
            <w:noWrap/>
          </w:tcPr>
          <w:p w14:paraId="5BA39F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2F6F64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62D14F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6D2C9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95</w:t>
            </w:r>
          </w:p>
        </w:tc>
        <w:tc>
          <w:tcPr>
            <w:tcW w:w="1909" w:type="dxa"/>
            <w:noWrap/>
          </w:tcPr>
          <w:p w14:paraId="7D77A2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Nguyen et al. (2023)</w:t>
            </w:r>
          </w:p>
        </w:tc>
        <w:tc>
          <w:tcPr>
            <w:tcW w:w="682" w:type="dxa"/>
            <w:noWrap/>
          </w:tcPr>
          <w:p w14:paraId="27BA7F4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FD631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58215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059027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2653C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792289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4CB812D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F2421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95</w:t>
            </w:r>
          </w:p>
        </w:tc>
        <w:tc>
          <w:tcPr>
            <w:tcW w:w="1909" w:type="dxa"/>
            <w:noWrap/>
          </w:tcPr>
          <w:p w14:paraId="0D289D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Nguyen et al. (2023)</w:t>
            </w:r>
          </w:p>
        </w:tc>
        <w:tc>
          <w:tcPr>
            <w:tcW w:w="682" w:type="dxa"/>
            <w:noWrap/>
          </w:tcPr>
          <w:p w14:paraId="3FD9A2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096D3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92E66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5A6F97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64E913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59" w:type="dxa"/>
            <w:noWrap/>
          </w:tcPr>
          <w:p w14:paraId="619212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01CDA5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EB4CC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96</w:t>
            </w:r>
          </w:p>
        </w:tc>
        <w:tc>
          <w:tcPr>
            <w:tcW w:w="1909" w:type="dxa"/>
            <w:noWrap/>
          </w:tcPr>
          <w:p w14:paraId="5F287B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Thomas et al. (2020)</w:t>
            </w:r>
          </w:p>
        </w:tc>
        <w:tc>
          <w:tcPr>
            <w:tcW w:w="682" w:type="dxa"/>
            <w:noWrap/>
          </w:tcPr>
          <w:p w14:paraId="16D2A75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C9841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D52EF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 chips</w:t>
            </w:r>
          </w:p>
        </w:tc>
        <w:tc>
          <w:tcPr>
            <w:tcW w:w="2900" w:type="dxa"/>
            <w:noWrap/>
          </w:tcPr>
          <w:p w14:paraId="404332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5D5735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52415C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0024588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7D446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97</w:t>
            </w:r>
          </w:p>
        </w:tc>
        <w:tc>
          <w:tcPr>
            <w:tcW w:w="1909" w:type="dxa"/>
            <w:noWrap/>
          </w:tcPr>
          <w:p w14:paraId="09B5F3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Bai  et al. (2020)</w:t>
            </w:r>
          </w:p>
        </w:tc>
        <w:tc>
          <w:tcPr>
            <w:tcW w:w="682" w:type="dxa"/>
            <w:noWrap/>
          </w:tcPr>
          <w:p w14:paraId="5A103F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5AF0C0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35AE90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Crop stubble</w:t>
            </w:r>
          </w:p>
        </w:tc>
        <w:tc>
          <w:tcPr>
            <w:tcW w:w="2900" w:type="dxa"/>
            <w:noWrap/>
          </w:tcPr>
          <w:p w14:paraId="144B1A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Lignite</w:t>
            </w:r>
          </w:p>
        </w:tc>
        <w:tc>
          <w:tcPr>
            <w:tcW w:w="1800" w:type="dxa"/>
            <w:noWrap/>
          </w:tcPr>
          <w:p w14:paraId="4F6AAB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0AB8AC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795C0CA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2D410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98</w:t>
            </w:r>
          </w:p>
        </w:tc>
        <w:tc>
          <w:tcPr>
            <w:tcW w:w="1909" w:type="dxa"/>
            <w:noWrap/>
          </w:tcPr>
          <w:p w14:paraId="5E12A8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(2023)</w:t>
            </w:r>
          </w:p>
        </w:tc>
        <w:tc>
          <w:tcPr>
            <w:tcW w:w="682" w:type="dxa"/>
            <w:noWrap/>
          </w:tcPr>
          <w:p w14:paraId="06A953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640800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A5752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Wolfberry branch fillings</w:t>
            </w:r>
          </w:p>
        </w:tc>
        <w:tc>
          <w:tcPr>
            <w:tcW w:w="2900" w:type="dxa"/>
            <w:noWrap/>
          </w:tcPr>
          <w:p w14:paraId="62CE0A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Magnetite</w:t>
            </w:r>
          </w:p>
        </w:tc>
        <w:tc>
          <w:tcPr>
            <w:tcW w:w="1800" w:type="dxa"/>
            <w:noWrap/>
          </w:tcPr>
          <w:p w14:paraId="7D3BA8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1599C0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889C2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A6E5D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98</w:t>
            </w:r>
          </w:p>
        </w:tc>
        <w:tc>
          <w:tcPr>
            <w:tcW w:w="1909" w:type="dxa"/>
            <w:noWrap/>
          </w:tcPr>
          <w:p w14:paraId="1A95B3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(2023)</w:t>
            </w:r>
          </w:p>
        </w:tc>
        <w:tc>
          <w:tcPr>
            <w:tcW w:w="682" w:type="dxa"/>
            <w:noWrap/>
          </w:tcPr>
          <w:p w14:paraId="0E2A58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CC3A4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0A5399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Wolfberry branch fillings</w:t>
            </w:r>
          </w:p>
        </w:tc>
        <w:tc>
          <w:tcPr>
            <w:tcW w:w="2900" w:type="dxa"/>
            <w:noWrap/>
          </w:tcPr>
          <w:p w14:paraId="3989F43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Magnetite</w:t>
            </w:r>
          </w:p>
        </w:tc>
        <w:tc>
          <w:tcPr>
            <w:tcW w:w="1800" w:type="dxa"/>
            <w:noWrap/>
          </w:tcPr>
          <w:p w14:paraId="651AEA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28A9F6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FAD76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A9C68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98</w:t>
            </w:r>
          </w:p>
        </w:tc>
        <w:tc>
          <w:tcPr>
            <w:tcW w:w="1909" w:type="dxa"/>
            <w:noWrap/>
          </w:tcPr>
          <w:p w14:paraId="57AF2C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(2023)</w:t>
            </w:r>
          </w:p>
        </w:tc>
        <w:tc>
          <w:tcPr>
            <w:tcW w:w="682" w:type="dxa"/>
            <w:noWrap/>
          </w:tcPr>
          <w:p w14:paraId="4832B8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F13D1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769CF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Wolfberry branch fillings</w:t>
            </w:r>
          </w:p>
        </w:tc>
        <w:tc>
          <w:tcPr>
            <w:tcW w:w="2900" w:type="dxa"/>
            <w:noWrap/>
          </w:tcPr>
          <w:p w14:paraId="0C377C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Magnetite</w:t>
            </w:r>
          </w:p>
        </w:tc>
        <w:tc>
          <w:tcPr>
            <w:tcW w:w="1800" w:type="dxa"/>
            <w:noWrap/>
          </w:tcPr>
          <w:p w14:paraId="68E2FF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7.5</w:t>
            </w:r>
          </w:p>
        </w:tc>
        <w:tc>
          <w:tcPr>
            <w:tcW w:w="1959" w:type="dxa"/>
            <w:noWrap/>
          </w:tcPr>
          <w:p w14:paraId="0CD9EA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A0DE8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1FF42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99</w:t>
            </w:r>
          </w:p>
        </w:tc>
        <w:tc>
          <w:tcPr>
            <w:tcW w:w="1909" w:type="dxa"/>
            <w:noWrap/>
          </w:tcPr>
          <w:p w14:paraId="31C15E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(2023)</w:t>
            </w:r>
          </w:p>
        </w:tc>
        <w:tc>
          <w:tcPr>
            <w:tcW w:w="682" w:type="dxa"/>
            <w:noWrap/>
          </w:tcPr>
          <w:p w14:paraId="03BD01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27DEC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90D07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Mulberry branches</w:t>
            </w:r>
          </w:p>
        </w:tc>
        <w:tc>
          <w:tcPr>
            <w:tcW w:w="2900" w:type="dxa"/>
            <w:noWrap/>
          </w:tcPr>
          <w:p w14:paraId="277E00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1F73F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7B32F9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6A45E4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3C2E7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99</w:t>
            </w:r>
          </w:p>
        </w:tc>
        <w:tc>
          <w:tcPr>
            <w:tcW w:w="1909" w:type="dxa"/>
            <w:noWrap/>
          </w:tcPr>
          <w:p w14:paraId="2BBBAA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[(2023)</w:t>
            </w:r>
          </w:p>
        </w:tc>
        <w:tc>
          <w:tcPr>
            <w:tcW w:w="682" w:type="dxa"/>
            <w:noWrap/>
          </w:tcPr>
          <w:p w14:paraId="0C03BA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17BE9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086C580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Mulberry branches</w:t>
            </w:r>
          </w:p>
        </w:tc>
        <w:tc>
          <w:tcPr>
            <w:tcW w:w="2900" w:type="dxa"/>
            <w:noWrap/>
          </w:tcPr>
          <w:p w14:paraId="18471F0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Calcium carbonate</w:t>
            </w:r>
          </w:p>
        </w:tc>
        <w:tc>
          <w:tcPr>
            <w:tcW w:w="1800" w:type="dxa"/>
            <w:noWrap/>
          </w:tcPr>
          <w:p w14:paraId="39CAB6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0D725D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29174B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038BB7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100</w:t>
            </w:r>
          </w:p>
        </w:tc>
        <w:tc>
          <w:tcPr>
            <w:tcW w:w="1909" w:type="dxa"/>
            <w:noWrap/>
          </w:tcPr>
          <w:p w14:paraId="3226DF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He et al. (2021)</w:t>
            </w:r>
          </w:p>
        </w:tc>
        <w:tc>
          <w:tcPr>
            <w:tcW w:w="682" w:type="dxa"/>
            <w:noWrap/>
          </w:tcPr>
          <w:p w14:paraId="23CE38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E03C8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743E3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A4AA0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0A5A735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524F8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93C2A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DF3931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101</w:t>
            </w:r>
          </w:p>
        </w:tc>
        <w:tc>
          <w:tcPr>
            <w:tcW w:w="1909" w:type="dxa"/>
            <w:noWrap/>
          </w:tcPr>
          <w:p w14:paraId="35BA5E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Fang et al. (2022)</w:t>
            </w:r>
          </w:p>
        </w:tc>
        <w:tc>
          <w:tcPr>
            <w:tcW w:w="682" w:type="dxa"/>
            <w:noWrap/>
          </w:tcPr>
          <w:p w14:paraId="06C000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495B8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Dairy manure</w:t>
            </w:r>
          </w:p>
        </w:tc>
        <w:tc>
          <w:tcPr>
            <w:tcW w:w="1805" w:type="dxa"/>
            <w:noWrap/>
          </w:tcPr>
          <w:p w14:paraId="1443FF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Bedding</w:t>
            </w:r>
          </w:p>
        </w:tc>
        <w:tc>
          <w:tcPr>
            <w:tcW w:w="2900" w:type="dxa"/>
            <w:noWrap/>
          </w:tcPr>
          <w:p w14:paraId="699BBF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57171143">
            <w:pPr>
              <w:spacing w:after="0" w:line="360" w:lineRule="auto"/>
              <w:rPr>
                <w:rFonts w:ascii="Times New Roman" w:hAnsi="Times New Roman" w:cs="Times New Roman"/>
                <w:color w:val="000000" w:themeColor="text1"/>
                <w:sz w:val="20"/>
                <w:szCs w:val="20"/>
                <w14:textFill>
                  <w14:solidFill>
                    <w14:schemeClr w14:val="tx1"/>
                  </w14:solidFill>
                </w14:textFill>
              </w:rPr>
            </w:pPr>
          </w:p>
        </w:tc>
        <w:tc>
          <w:tcPr>
            <w:tcW w:w="1959" w:type="dxa"/>
            <w:noWrap/>
          </w:tcPr>
          <w:p w14:paraId="467777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Tank</w:t>
            </w:r>
          </w:p>
        </w:tc>
      </w:tr>
      <w:tr w14:paraId="3D7401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6D046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102</w:t>
            </w:r>
          </w:p>
        </w:tc>
        <w:tc>
          <w:tcPr>
            <w:tcW w:w="1909" w:type="dxa"/>
            <w:noWrap/>
          </w:tcPr>
          <w:p w14:paraId="63B26F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(2020)</w:t>
            </w:r>
          </w:p>
        </w:tc>
        <w:tc>
          <w:tcPr>
            <w:tcW w:w="682" w:type="dxa"/>
            <w:noWrap/>
          </w:tcPr>
          <w:p w14:paraId="239787B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587755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B63E9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B3D84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Bean dregs</w:t>
            </w:r>
          </w:p>
        </w:tc>
        <w:tc>
          <w:tcPr>
            <w:tcW w:w="1800" w:type="dxa"/>
            <w:noWrap/>
          </w:tcPr>
          <w:p w14:paraId="1CE198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0EA59D7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47D1BF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51304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102</w:t>
            </w:r>
          </w:p>
        </w:tc>
        <w:tc>
          <w:tcPr>
            <w:tcW w:w="1909" w:type="dxa"/>
            <w:noWrap/>
          </w:tcPr>
          <w:p w14:paraId="0CA95A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(2020)</w:t>
            </w:r>
          </w:p>
        </w:tc>
        <w:tc>
          <w:tcPr>
            <w:tcW w:w="682" w:type="dxa"/>
            <w:noWrap/>
          </w:tcPr>
          <w:p w14:paraId="1FEC38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23F7332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AF254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92519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2159AD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5B0C4C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DF970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9E808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102</w:t>
            </w:r>
          </w:p>
        </w:tc>
        <w:tc>
          <w:tcPr>
            <w:tcW w:w="1909" w:type="dxa"/>
            <w:noWrap/>
          </w:tcPr>
          <w:p w14:paraId="37A4E5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(2020)</w:t>
            </w:r>
          </w:p>
        </w:tc>
        <w:tc>
          <w:tcPr>
            <w:tcW w:w="682" w:type="dxa"/>
            <w:noWrap/>
          </w:tcPr>
          <w:p w14:paraId="28C6C0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284DD7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D7ED97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EE027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Bean dregs and biochar</w:t>
            </w:r>
          </w:p>
        </w:tc>
        <w:tc>
          <w:tcPr>
            <w:tcW w:w="1800" w:type="dxa"/>
            <w:noWrap/>
          </w:tcPr>
          <w:p w14:paraId="15ADD4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58545E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0DF4B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C23ABE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103</w:t>
            </w:r>
          </w:p>
        </w:tc>
        <w:tc>
          <w:tcPr>
            <w:tcW w:w="1909" w:type="dxa"/>
            <w:noWrap/>
          </w:tcPr>
          <w:p w14:paraId="13F898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Hussain et al. (2023)</w:t>
            </w:r>
          </w:p>
        </w:tc>
        <w:tc>
          <w:tcPr>
            <w:tcW w:w="682" w:type="dxa"/>
            <w:noWrap/>
          </w:tcPr>
          <w:p w14:paraId="0108FD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A8DF0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E4A5D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437671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Acetic acid</w:t>
            </w:r>
          </w:p>
        </w:tc>
        <w:tc>
          <w:tcPr>
            <w:tcW w:w="1800" w:type="dxa"/>
            <w:noWrap/>
          </w:tcPr>
          <w:p w14:paraId="07C329C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3B8D3B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E64E43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A8709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103</w:t>
            </w:r>
          </w:p>
        </w:tc>
        <w:tc>
          <w:tcPr>
            <w:tcW w:w="1909" w:type="dxa"/>
            <w:noWrap/>
          </w:tcPr>
          <w:p w14:paraId="7212D4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Hussain et al. (2023)</w:t>
            </w:r>
          </w:p>
        </w:tc>
        <w:tc>
          <w:tcPr>
            <w:tcW w:w="682" w:type="dxa"/>
            <w:noWrap/>
          </w:tcPr>
          <w:p w14:paraId="43C727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868FD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73227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59B0AD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Acetic acid</w:t>
            </w:r>
          </w:p>
        </w:tc>
        <w:tc>
          <w:tcPr>
            <w:tcW w:w="1800" w:type="dxa"/>
            <w:noWrap/>
          </w:tcPr>
          <w:p w14:paraId="3FD235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w:t>
            </w:r>
          </w:p>
        </w:tc>
        <w:tc>
          <w:tcPr>
            <w:tcW w:w="1959" w:type="dxa"/>
            <w:noWrap/>
          </w:tcPr>
          <w:p w14:paraId="2A37EE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F8744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14237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103</w:t>
            </w:r>
          </w:p>
        </w:tc>
        <w:tc>
          <w:tcPr>
            <w:tcW w:w="1909" w:type="dxa"/>
            <w:noWrap/>
          </w:tcPr>
          <w:p w14:paraId="4CA743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Hussain et al. (2023)</w:t>
            </w:r>
          </w:p>
        </w:tc>
        <w:tc>
          <w:tcPr>
            <w:tcW w:w="682" w:type="dxa"/>
            <w:noWrap/>
          </w:tcPr>
          <w:p w14:paraId="7C3F23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9CF732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ED66E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C204D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Acetic acid</w:t>
            </w:r>
          </w:p>
        </w:tc>
        <w:tc>
          <w:tcPr>
            <w:tcW w:w="1800" w:type="dxa"/>
            <w:noWrap/>
          </w:tcPr>
          <w:p w14:paraId="6E42F5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w:t>
            </w:r>
          </w:p>
        </w:tc>
        <w:tc>
          <w:tcPr>
            <w:tcW w:w="1959" w:type="dxa"/>
            <w:noWrap/>
          </w:tcPr>
          <w:p w14:paraId="4E81B1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64A738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279FF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104</w:t>
            </w:r>
          </w:p>
        </w:tc>
        <w:tc>
          <w:tcPr>
            <w:tcW w:w="1909" w:type="dxa"/>
            <w:noWrap/>
          </w:tcPr>
          <w:p w14:paraId="07F8CF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5F1214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6F18E05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BDAEA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7BB16D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27EE84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21E70E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28DE20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86277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104</w:t>
            </w:r>
          </w:p>
        </w:tc>
        <w:tc>
          <w:tcPr>
            <w:tcW w:w="1909" w:type="dxa"/>
            <w:noWrap/>
          </w:tcPr>
          <w:p w14:paraId="383482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566A1D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64B340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66CED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40A46C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1E714F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C3F00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93659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53F6E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104</w:t>
            </w:r>
          </w:p>
        </w:tc>
        <w:tc>
          <w:tcPr>
            <w:tcW w:w="1909" w:type="dxa"/>
            <w:noWrap/>
          </w:tcPr>
          <w:p w14:paraId="431EA8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(2022)</w:t>
            </w:r>
          </w:p>
        </w:tc>
        <w:tc>
          <w:tcPr>
            <w:tcW w:w="682" w:type="dxa"/>
            <w:noWrap/>
          </w:tcPr>
          <w:p w14:paraId="1C5B4B2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596143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12641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6007E2A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Zeolite</w:t>
            </w:r>
          </w:p>
        </w:tc>
        <w:tc>
          <w:tcPr>
            <w:tcW w:w="1800" w:type="dxa"/>
            <w:noWrap/>
          </w:tcPr>
          <w:p w14:paraId="2452B1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07F2EF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0039A9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61648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105</w:t>
            </w:r>
          </w:p>
        </w:tc>
        <w:tc>
          <w:tcPr>
            <w:tcW w:w="1909" w:type="dxa"/>
            <w:noWrap/>
          </w:tcPr>
          <w:p w14:paraId="0A77D4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Zhou et al. (2023)</w:t>
            </w:r>
          </w:p>
        </w:tc>
        <w:tc>
          <w:tcPr>
            <w:tcW w:w="682" w:type="dxa"/>
            <w:noWrap/>
          </w:tcPr>
          <w:p w14:paraId="44CE55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C20EF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Layer manure</w:t>
            </w:r>
          </w:p>
        </w:tc>
        <w:tc>
          <w:tcPr>
            <w:tcW w:w="1805" w:type="dxa"/>
            <w:noWrap/>
          </w:tcPr>
          <w:p w14:paraId="1C142A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D7782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Nitric acid-treated biochar</w:t>
            </w:r>
          </w:p>
        </w:tc>
        <w:tc>
          <w:tcPr>
            <w:tcW w:w="1800" w:type="dxa"/>
            <w:noWrap/>
          </w:tcPr>
          <w:p w14:paraId="3A711F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84693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07DBC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B3C2F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105</w:t>
            </w:r>
          </w:p>
        </w:tc>
        <w:tc>
          <w:tcPr>
            <w:tcW w:w="1909" w:type="dxa"/>
            <w:noWrap/>
          </w:tcPr>
          <w:p w14:paraId="257028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Zhou et al. (2023)</w:t>
            </w:r>
          </w:p>
        </w:tc>
        <w:tc>
          <w:tcPr>
            <w:tcW w:w="682" w:type="dxa"/>
            <w:noWrap/>
          </w:tcPr>
          <w:p w14:paraId="2ACABB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CB19BE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Layer manure</w:t>
            </w:r>
          </w:p>
        </w:tc>
        <w:tc>
          <w:tcPr>
            <w:tcW w:w="1805" w:type="dxa"/>
            <w:noWrap/>
          </w:tcPr>
          <w:p w14:paraId="43235F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078203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Hydrogen peroxide-treated biochar</w:t>
            </w:r>
          </w:p>
        </w:tc>
        <w:tc>
          <w:tcPr>
            <w:tcW w:w="1800" w:type="dxa"/>
            <w:noWrap/>
          </w:tcPr>
          <w:p w14:paraId="10B654A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1F7BC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3C9F5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5EA98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105</w:t>
            </w:r>
          </w:p>
        </w:tc>
        <w:tc>
          <w:tcPr>
            <w:tcW w:w="1909" w:type="dxa"/>
            <w:noWrap/>
          </w:tcPr>
          <w:p w14:paraId="1326138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Zhou et al. (2023)</w:t>
            </w:r>
          </w:p>
        </w:tc>
        <w:tc>
          <w:tcPr>
            <w:tcW w:w="682" w:type="dxa"/>
            <w:noWrap/>
          </w:tcPr>
          <w:p w14:paraId="73E1A4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2BD72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Layer manure</w:t>
            </w:r>
          </w:p>
        </w:tc>
        <w:tc>
          <w:tcPr>
            <w:tcW w:w="1805" w:type="dxa"/>
            <w:noWrap/>
          </w:tcPr>
          <w:p w14:paraId="731AB8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4DDB36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Hydrogen peroxide and Nitric acid treated biochar</w:t>
            </w:r>
          </w:p>
        </w:tc>
        <w:tc>
          <w:tcPr>
            <w:tcW w:w="1800" w:type="dxa"/>
            <w:noWrap/>
          </w:tcPr>
          <w:p w14:paraId="0016CC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796A37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87DF8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78DA5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106</w:t>
            </w:r>
          </w:p>
        </w:tc>
        <w:tc>
          <w:tcPr>
            <w:tcW w:w="1909" w:type="dxa"/>
            <w:noWrap/>
          </w:tcPr>
          <w:p w14:paraId="64C724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Zheng et al. (2020)</w:t>
            </w:r>
          </w:p>
        </w:tc>
        <w:tc>
          <w:tcPr>
            <w:tcW w:w="682" w:type="dxa"/>
            <w:noWrap/>
          </w:tcPr>
          <w:p w14:paraId="6272FB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40AE48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Animal manure</w:t>
            </w:r>
          </w:p>
        </w:tc>
        <w:tc>
          <w:tcPr>
            <w:tcW w:w="1805" w:type="dxa"/>
            <w:noWrap/>
          </w:tcPr>
          <w:p w14:paraId="6F5008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Spent mushroom substrate</w:t>
            </w:r>
          </w:p>
        </w:tc>
        <w:tc>
          <w:tcPr>
            <w:tcW w:w="2900" w:type="dxa"/>
            <w:noWrap/>
          </w:tcPr>
          <w:p w14:paraId="75F5AA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Temperature</w:t>
            </w:r>
          </w:p>
        </w:tc>
        <w:tc>
          <w:tcPr>
            <w:tcW w:w="1800" w:type="dxa"/>
            <w:noWrap/>
          </w:tcPr>
          <w:p w14:paraId="164209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22BE15B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7D8BDF3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0C179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107</w:t>
            </w:r>
          </w:p>
        </w:tc>
        <w:tc>
          <w:tcPr>
            <w:tcW w:w="1909" w:type="dxa"/>
            <w:noWrap/>
          </w:tcPr>
          <w:p w14:paraId="3AA5A7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(2015)</w:t>
            </w:r>
          </w:p>
        </w:tc>
        <w:tc>
          <w:tcPr>
            <w:tcW w:w="682" w:type="dxa"/>
            <w:noWrap/>
          </w:tcPr>
          <w:p w14:paraId="7DE30E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2015</w:t>
            </w:r>
          </w:p>
        </w:tc>
        <w:tc>
          <w:tcPr>
            <w:tcW w:w="1416" w:type="dxa"/>
            <w:noWrap/>
          </w:tcPr>
          <w:p w14:paraId="4747E9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Dairy manure</w:t>
            </w:r>
          </w:p>
        </w:tc>
        <w:tc>
          <w:tcPr>
            <w:tcW w:w="1805" w:type="dxa"/>
            <w:noWrap/>
          </w:tcPr>
          <w:p w14:paraId="2BCFBA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Straw</w:t>
            </w:r>
          </w:p>
        </w:tc>
        <w:tc>
          <w:tcPr>
            <w:tcW w:w="2900" w:type="dxa"/>
            <w:noWrap/>
          </w:tcPr>
          <w:p w14:paraId="61C4F8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Straw</w:t>
            </w:r>
          </w:p>
        </w:tc>
        <w:tc>
          <w:tcPr>
            <w:tcW w:w="1800" w:type="dxa"/>
            <w:noWrap/>
          </w:tcPr>
          <w:p w14:paraId="180BE8D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684C1F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253925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7B9A5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108</w:t>
            </w:r>
          </w:p>
        </w:tc>
        <w:tc>
          <w:tcPr>
            <w:tcW w:w="1909" w:type="dxa"/>
            <w:noWrap/>
          </w:tcPr>
          <w:p w14:paraId="26E41F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Xiong et al. (2023)</w:t>
            </w:r>
          </w:p>
        </w:tc>
        <w:tc>
          <w:tcPr>
            <w:tcW w:w="682" w:type="dxa"/>
            <w:noWrap/>
          </w:tcPr>
          <w:p w14:paraId="3FBDD8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6AAAFE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43B964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53E94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0C4DA8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452AEF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A75CEE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2497A7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108</w:t>
            </w:r>
          </w:p>
        </w:tc>
        <w:tc>
          <w:tcPr>
            <w:tcW w:w="1909" w:type="dxa"/>
            <w:noWrap/>
          </w:tcPr>
          <w:p w14:paraId="071871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Xiong et al. (2023)</w:t>
            </w:r>
          </w:p>
        </w:tc>
        <w:tc>
          <w:tcPr>
            <w:tcW w:w="682" w:type="dxa"/>
            <w:noWrap/>
          </w:tcPr>
          <w:p w14:paraId="5E18DA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B4C60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340C26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49A58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Functional membrane cover</w:t>
            </w:r>
          </w:p>
        </w:tc>
        <w:tc>
          <w:tcPr>
            <w:tcW w:w="1800" w:type="dxa"/>
            <w:noWrap/>
          </w:tcPr>
          <w:p w14:paraId="1B3B0F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4FBD6A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77CF2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64695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109</w:t>
            </w:r>
          </w:p>
        </w:tc>
        <w:tc>
          <w:tcPr>
            <w:tcW w:w="1909" w:type="dxa"/>
            <w:noWrap/>
          </w:tcPr>
          <w:p w14:paraId="5CC903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(2022)</w:t>
            </w:r>
          </w:p>
        </w:tc>
        <w:tc>
          <w:tcPr>
            <w:tcW w:w="682" w:type="dxa"/>
            <w:noWrap/>
          </w:tcPr>
          <w:p w14:paraId="78F3ED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308B38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78DFA8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32C18A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Turning operation</w:t>
            </w:r>
          </w:p>
        </w:tc>
        <w:tc>
          <w:tcPr>
            <w:tcW w:w="1800" w:type="dxa"/>
            <w:noWrap/>
          </w:tcPr>
          <w:p w14:paraId="24C630E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5F5316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3A93A4A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14B1C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109</w:t>
            </w:r>
          </w:p>
        </w:tc>
        <w:tc>
          <w:tcPr>
            <w:tcW w:w="1909" w:type="dxa"/>
            <w:noWrap/>
          </w:tcPr>
          <w:p w14:paraId="3744B9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(2022)</w:t>
            </w:r>
          </w:p>
        </w:tc>
        <w:tc>
          <w:tcPr>
            <w:tcW w:w="682" w:type="dxa"/>
            <w:noWrap/>
          </w:tcPr>
          <w:p w14:paraId="2A0228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38C96B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1B572D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45DAF3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Turning operation</w:t>
            </w:r>
          </w:p>
        </w:tc>
        <w:tc>
          <w:tcPr>
            <w:tcW w:w="1800" w:type="dxa"/>
            <w:noWrap/>
          </w:tcPr>
          <w:p w14:paraId="042E86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09F6CB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Windrow</w:t>
            </w:r>
          </w:p>
        </w:tc>
      </w:tr>
      <w:tr w14:paraId="4F859D2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12A22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110</w:t>
            </w:r>
          </w:p>
        </w:tc>
        <w:tc>
          <w:tcPr>
            <w:tcW w:w="1909" w:type="dxa"/>
            <w:noWrap/>
          </w:tcPr>
          <w:p w14:paraId="191BA4E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Blazy et al. (2014)</w:t>
            </w:r>
          </w:p>
        </w:tc>
        <w:tc>
          <w:tcPr>
            <w:tcW w:w="682" w:type="dxa"/>
            <w:noWrap/>
          </w:tcPr>
          <w:p w14:paraId="3C55C8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37CB83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slaughterhouse sludge</w:t>
            </w:r>
          </w:p>
        </w:tc>
        <w:tc>
          <w:tcPr>
            <w:tcW w:w="1805" w:type="dxa"/>
            <w:noWrap/>
          </w:tcPr>
          <w:p w14:paraId="32D7B6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157D6E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60927F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4.03</w:t>
            </w:r>
          </w:p>
        </w:tc>
        <w:tc>
          <w:tcPr>
            <w:tcW w:w="1959" w:type="dxa"/>
            <w:noWrap/>
          </w:tcPr>
          <w:p w14:paraId="388EFAC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B48469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D666C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110</w:t>
            </w:r>
          </w:p>
        </w:tc>
        <w:tc>
          <w:tcPr>
            <w:tcW w:w="1909" w:type="dxa"/>
            <w:noWrap/>
          </w:tcPr>
          <w:p w14:paraId="690BA6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Blazy et al. (2014)</w:t>
            </w:r>
          </w:p>
        </w:tc>
        <w:tc>
          <w:tcPr>
            <w:tcW w:w="682" w:type="dxa"/>
            <w:noWrap/>
          </w:tcPr>
          <w:p w14:paraId="75D6BB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7442FA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slaughterhouse sludge</w:t>
            </w:r>
          </w:p>
        </w:tc>
        <w:tc>
          <w:tcPr>
            <w:tcW w:w="1805" w:type="dxa"/>
            <w:noWrap/>
          </w:tcPr>
          <w:p w14:paraId="30F8E7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3C8F90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661E24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6.22</w:t>
            </w:r>
          </w:p>
        </w:tc>
        <w:tc>
          <w:tcPr>
            <w:tcW w:w="1959" w:type="dxa"/>
            <w:noWrap/>
          </w:tcPr>
          <w:p w14:paraId="009E8E3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B50657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4BA69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110</w:t>
            </w:r>
          </w:p>
        </w:tc>
        <w:tc>
          <w:tcPr>
            <w:tcW w:w="1909" w:type="dxa"/>
            <w:noWrap/>
          </w:tcPr>
          <w:p w14:paraId="34588E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Blazy et al. (2014)</w:t>
            </w:r>
          </w:p>
        </w:tc>
        <w:tc>
          <w:tcPr>
            <w:tcW w:w="682" w:type="dxa"/>
            <w:noWrap/>
          </w:tcPr>
          <w:p w14:paraId="17C109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7150DC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slaughterhouse sludge</w:t>
            </w:r>
          </w:p>
        </w:tc>
        <w:tc>
          <w:tcPr>
            <w:tcW w:w="1805" w:type="dxa"/>
            <w:noWrap/>
          </w:tcPr>
          <w:p w14:paraId="02AC3B1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1D7249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7670A3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9.8</w:t>
            </w:r>
          </w:p>
        </w:tc>
        <w:tc>
          <w:tcPr>
            <w:tcW w:w="1959" w:type="dxa"/>
            <w:noWrap/>
          </w:tcPr>
          <w:p w14:paraId="37F476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EF535D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E1246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110</w:t>
            </w:r>
          </w:p>
        </w:tc>
        <w:tc>
          <w:tcPr>
            <w:tcW w:w="1909" w:type="dxa"/>
            <w:noWrap/>
          </w:tcPr>
          <w:p w14:paraId="748F78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Blazy et al. (2014)</w:t>
            </w:r>
          </w:p>
        </w:tc>
        <w:tc>
          <w:tcPr>
            <w:tcW w:w="682" w:type="dxa"/>
            <w:noWrap/>
          </w:tcPr>
          <w:p w14:paraId="29F7A5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432DDB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slaughterhouse sludge</w:t>
            </w:r>
          </w:p>
        </w:tc>
        <w:tc>
          <w:tcPr>
            <w:tcW w:w="1805" w:type="dxa"/>
            <w:noWrap/>
          </w:tcPr>
          <w:p w14:paraId="04D40F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Woodchips</w:t>
            </w:r>
          </w:p>
        </w:tc>
        <w:tc>
          <w:tcPr>
            <w:tcW w:w="2900" w:type="dxa"/>
            <w:noWrap/>
          </w:tcPr>
          <w:p w14:paraId="0EE438A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20D6421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13.44</w:t>
            </w:r>
          </w:p>
        </w:tc>
        <w:tc>
          <w:tcPr>
            <w:tcW w:w="1959" w:type="dxa"/>
            <w:noWrap/>
          </w:tcPr>
          <w:p w14:paraId="65476C2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D8FA6C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040CF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111</w:t>
            </w:r>
          </w:p>
        </w:tc>
        <w:tc>
          <w:tcPr>
            <w:tcW w:w="1909" w:type="dxa"/>
            <w:noWrap/>
          </w:tcPr>
          <w:p w14:paraId="019FF2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4A69D7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89BF9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44A43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268A5B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Free air space</w:t>
            </w:r>
          </w:p>
        </w:tc>
        <w:tc>
          <w:tcPr>
            <w:tcW w:w="1800" w:type="dxa"/>
            <w:noWrap/>
          </w:tcPr>
          <w:p w14:paraId="5A968A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55</w:t>
            </w:r>
          </w:p>
        </w:tc>
        <w:tc>
          <w:tcPr>
            <w:tcW w:w="1959" w:type="dxa"/>
            <w:noWrap/>
          </w:tcPr>
          <w:p w14:paraId="7D8198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D24736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DE494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111</w:t>
            </w:r>
          </w:p>
        </w:tc>
        <w:tc>
          <w:tcPr>
            <w:tcW w:w="1909" w:type="dxa"/>
            <w:noWrap/>
          </w:tcPr>
          <w:p w14:paraId="2B3182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22F923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21E94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B20AB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4F38EC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Free air space</w:t>
            </w:r>
          </w:p>
        </w:tc>
        <w:tc>
          <w:tcPr>
            <w:tcW w:w="1800" w:type="dxa"/>
            <w:noWrap/>
          </w:tcPr>
          <w:p w14:paraId="1FC5C8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45</w:t>
            </w:r>
          </w:p>
        </w:tc>
        <w:tc>
          <w:tcPr>
            <w:tcW w:w="1959" w:type="dxa"/>
            <w:noWrap/>
          </w:tcPr>
          <w:p w14:paraId="71F11A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AE8B3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0AE41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112</w:t>
            </w:r>
          </w:p>
        </w:tc>
        <w:tc>
          <w:tcPr>
            <w:tcW w:w="1909" w:type="dxa"/>
            <w:noWrap/>
          </w:tcPr>
          <w:p w14:paraId="67C07F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Chen et al. (2023)</w:t>
            </w:r>
          </w:p>
        </w:tc>
        <w:tc>
          <w:tcPr>
            <w:tcW w:w="682" w:type="dxa"/>
            <w:noWrap/>
          </w:tcPr>
          <w:p w14:paraId="368B205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75A4E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AD664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Straw</w:t>
            </w:r>
          </w:p>
        </w:tc>
        <w:tc>
          <w:tcPr>
            <w:tcW w:w="2900" w:type="dxa"/>
            <w:noWrap/>
          </w:tcPr>
          <w:p w14:paraId="3EDD92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microbial inoculants</w:t>
            </w:r>
          </w:p>
        </w:tc>
        <w:tc>
          <w:tcPr>
            <w:tcW w:w="1800" w:type="dxa"/>
            <w:noWrap/>
          </w:tcPr>
          <w:p w14:paraId="3A4545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5817D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4AC94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DAD68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113</w:t>
            </w:r>
          </w:p>
        </w:tc>
        <w:tc>
          <w:tcPr>
            <w:tcW w:w="1909" w:type="dxa"/>
            <w:noWrap/>
          </w:tcPr>
          <w:p w14:paraId="712D5C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Zhao et al. (2018)</w:t>
            </w:r>
          </w:p>
        </w:tc>
        <w:tc>
          <w:tcPr>
            <w:tcW w:w="682" w:type="dxa"/>
            <w:noWrap/>
          </w:tcPr>
          <w:p w14:paraId="657A9A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286145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78F20A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1361FF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Antibiotic manufacturing waste</w:t>
            </w:r>
          </w:p>
        </w:tc>
        <w:tc>
          <w:tcPr>
            <w:tcW w:w="1800" w:type="dxa"/>
            <w:noWrap/>
          </w:tcPr>
          <w:p w14:paraId="3BF7CB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26BFB3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2957E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6A81A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113</w:t>
            </w:r>
          </w:p>
        </w:tc>
        <w:tc>
          <w:tcPr>
            <w:tcW w:w="1909" w:type="dxa"/>
            <w:noWrap/>
          </w:tcPr>
          <w:p w14:paraId="72E4D3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Zhao et al. (2018)</w:t>
            </w:r>
          </w:p>
        </w:tc>
        <w:tc>
          <w:tcPr>
            <w:tcW w:w="682" w:type="dxa"/>
            <w:noWrap/>
          </w:tcPr>
          <w:p w14:paraId="1AB13A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020ADF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8DD22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338DD8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Antibiotic manufacturing waste</w:t>
            </w:r>
          </w:p>
        </w:tc>
        <w:tc>
          <w:tcPr>
            <w:tcW w:w="1800" w:type="dxa"/>
            <w:noWrap/>
          </w:tcPr>
          <w:p w14:paraId="467270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7E67E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33E108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C42C2E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113</w:t>
            </w:r>
          </w:p>
        </w:tc>
        <w:tc>
          <w:tcPr>
            <w:tcW w:w="1909" w:type="dxa"/>
            <w:noWrap/>
          </w:tcPr>
          <w:p w14:paraId="577F0D5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Zhao et al. (2018)</w:t>
            </w:r>
          </w:p>
        </w:tc>
        <w:tc>
          <w:tcPr>
            <w:tcW w:w="682" w:type="dxa"/>
            <w:noWrap/>
          </w:tcPr>
          <w:p w14:paraId="27DAAB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5BBDA1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0AD875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62C2D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Antibiotic manufacturing waste</w:t>
            </w:r>
          </w:p>
        </w:tc>
        <w:tc>
          <w:tcPr>
            <w:tcW w:w="1800" w:type="dxa"/>
            <w:noWrap/>
          </w:tcPr>
          <w:p w14:paraId="19A460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E6EFA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2BA6E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75CEEC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113</w:t>
            </w:r>
          </w:p>
        </w:tc>
        <w:tc>
          <w:tcPr>
            <w:tcW w:w="1909" w:type="dxa"/>
            <w:noWrap/>
          </w:tcPr>
          <w:p w14:paraId="4C3D45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Zhao et al. (2018)</w:t>
            </w:r>
          </w:p>
        </w:tc>
        <w:tc>
          <w:tcPr>
            <w:tcW w:w="682" w:type="dxa"/>
            <w:noWrap/>
          </w:tcPr>
          <w:p w14:paraId="17F4A1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D6207E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5B433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9111C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Antibiotic manufacturing waste</w:t>
            </w:r>
          </w:p>
        </w:tc>
        <w:tc>
          <w:tcPr>
            <w:tcW w:w="1800" w:type="dxa"/>
            <w:noWrap/>
          </w:tcPr>
          <w:p w14:paraId="76D844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w:t>
            </w:r>
          </w:p>
        </w:tc>
        <w:tc>
          <w:tcPr>
            <w:tcW w:w="1959" w:type="dxa"/>
            <w:noWrap/>
          </w:tcPr>
          <w:p w14:paraId="7062B3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01F0D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8C07C7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114</w:t>
            </w:r>
          </w:p>
        </w:tc>
        <w:tc>
          <w:tcPr>
            <w:tcW w:w="1909" w:type="dxa"/>
            <w:noWrap/>
          </w:tcPr>
          <w:p w14:paraId="1C105B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(2018)</w:t>
            </w:r>
          </w:p>
        </w:tc>
        <w:tc>
          <w:tcPr>
            <w:tcW w:w="682" w:type="dxa"/>
            <w:noWrap/>
          </w:tcPr>
          <w:p w14:paraId="5CEE3E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DD4C0D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1B0B2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497AB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0" w:type="dxa"/>
            <w:noWrap/>
          </w:tcPr>
          <w:p w14:paraId="30B058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16FDA0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1005C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74CE9C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114</w:t>
            </w:r>
          </w:p>
        </w:tc>
        <w:tc>
          <w:tcPr>
            <w:tcW w:w="1909" w:type="dxa"/>
            <w:noWrap/>
          </w:tcPr>
          <w:p w14:paraId="701C09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(2018)</w:t>
            </w:r>
          </w:p>
        </w:tc>
        <w:tc>
          <w:tcPr>
            <w:tcW w:w="682" w:type="dxa"/>
            <w:noWrap/>
          </w:tcPr>
          <w:p w14:paraId="198601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2CCF4A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3417D03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423562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0" w:type="dxa"/>
            <w:noWrap/>
          </w:tcPr>
          <w:p w14:paraId="3F5EDA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w:t>
            </w:r>
          </w:p>
        </w:tc>
        <w:tc>
          <w:tcPr>
            <w:tcW w:w="1959" w:type="dxa"/>
            <w:noWrap/>
          </w:tcPr>
          <w:p w14:paraId="658DA6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EC774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BF636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114</w:t>
            </w:r>
          </w:p>
        </w:tc>
        <w:tc>
          <w:tcPr>
            <w:tcW w:w="1909" w:type="dxa"/>
            <w:noWrap/>
          </w:tcPr>
          <w:p w14:paraId="498158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(2018)</w:t>
            </w:r>
          </w:p>
        </w:tc>
        <w:tc>
          <w:tcPr>
            <w:tcW w:w="682" w:type="dxa"/>
            <w:noWrap/>
          </w:tcPr>
          <w:p w14:paraId="571883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4A354C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5BECF7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2C186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0" w:type="dxa"/>
            <w:noWrap/>
          </w:tcPr>
          <w:p w14:paraId="0D877E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42.5</w:t>
            </w:r>
          </w:p>
        </w:tc>
        <w:tc>
          <w:tcPr>
            <w:tcW w:w="1959" w:type="dxa"/>
            <w:noWrap/>
          </w:tcPr>
          <w:p w14:paraId="79ED1E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0D58CE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1DD52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114</w:t>
            </w:r>
          </w:p>
        </w:tc>
        <w:tc>
          <w:tcPr>
            <w:tcW w:w="1909" w:type="dxa"/>
            <w:noWrap/>
          </w:tcPr>
          <w:p w14:paraId="54C98EE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(2018)</w:t>
            </w:r>
          </w:p>
        </w:tc>
        <w:tc>
          <w:tcPr>
            <w:tcW w:w="682" w:type="dxa"/>
            <w:noWrap/>
          </w:tcPr>
          <w:p w14:paraId="106B95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38514B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3FD166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32372D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0" w:type="dxa"/>
            <w:noWrap/>
          </w:tcPr>
          <w:p w14:paraId="2C1E7C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55</w:t>
            </w:r>
          </w:p>
        </w:tc>
        <w:tc>
          <w:tcPr>
            <w:tcW w:w="1959" w:type="dxa"/>
            <w:noWrap/>
          </w:tcPr>
          <w:p w14:paraId="71DD04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88AE3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DAAD2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114</w:t>
            </w:r>
          </w:p>
        </w:tc>
        <w:tc>
          <w:tcPr>
            <w:tcW w:w="1909" w:type="dxa"/>
            <w:noWrap/>
          </w:tcPr>
          <w:p w14:paraId="10CFA7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(2018)</w:t>
            </w:r>
          </w:p>
        </w:tc>
        <w:tc>
          <w:tcPr>
            <w:tcW w:w="682" w:type="dxa"/>
            <w:noWrap/>
          </w:tcPr>
          <w:p w14:paraId="56E7F0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16FDBA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2DDBB8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5E9A7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0" w:type="dxa"/>
            <w:noWrap/>
          </w:tcPr>
          <w:p w14:paraId="2B322A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70</w:t>
            </w:r>
          </w:p>
        </w:tc>
        <w:tc>
          <w:tcPr>
            <w:tcW w:w="1959" w:type="dxa"/>
            <w:noWrap/>
          </w:tcPr>
          <w:p w14:paraId="3CA83E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F52DE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7A6D8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114</w:t>
            </w:r>
          </w:p>
        </w:tc>
        <w:tc>
          <w:tcPr>
            <w:tcW w:w="1909" w:type="dxa"/>
            <w:noWrap/>
          </w:tcPr>
          <w:p w14:paraId="41BD8A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(2018)</w:t>
            </w:r>
          </w:p>
        </w:tc>
        <w:tc>
          <w:tcPr>
            <w:tcW w:w="682" w:type="dxa"/>
            <w:noWrap/>
          </w:tcPr>
          <w:p w14:paraId="2C66531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2018</w:t>
            </w:r>
          </w:p>
        </w:tc>
        <w:tc>
          <w:tcPr>
            <w:tcW w:w="1416" w:type="dxa"/>
            <w:noWrap/>
          </w:tcPr>
          <w:p w14:paraId="7FE776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328AFF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19F895B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Municipal solid waste</w:t>
            </w:r>
          </w:p>
        </w:tc>
        <w:tc>
          <w:tcPr>
            <w:tcW w:w="1800" w:type="dxa"/>
            <w:noWrap/>
          </w:tcPr>
          <w:p w14:paraId="3202605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85</w:t>
            </w:r>
          </w:p>
        </w:tc>
        <w:tc>
          <w:tcPr>
            <w:tcW w:w="1959" w:type="dxa"/>
            <w:noWrap/>
          </w:tcPr>
          <w:p w14:paraId="007E06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A8FC6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65781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115</w:t>
            </w:r>
          </w:p>
        </w:tc>
        <w:tc>
          <w:tcPr>
            <w:tcW w:w="1909" w:type="dxa"/>
            <w:noWrap/>
          </w:tcPr>
          <w:p w14:paraId="0D09052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(2019)</w:t>
            </w:r>
          </w:p>
        </w:tc>
        <w:tc>
          <w:tcPr>
            <w:tcW w:w="682" w:type="dxa"/>
            <w:noWrap/>
          </w:tcPr>
          <w:p w14:paraId="63D9DC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402445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EE28B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6CD45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1B9340A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2C9F7F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91389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0B041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115</w:t>
            </w:r>
          </w:p>
        </w:tc>
        <w:tc>
          <w:tcPr>
            <w:tcW w:w="1909" w:type="dxa"/>
            <w:noWrap/>
          </w:tcPr>
          <w:p w14:paraId="1B9838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Yang et al. (2019)</w:t>
            </w:r>
          </w:p>
        </w:tc>
        <w:tc>
          <w:tcPr>
            <w:tcW w:w="682" w:type="dxa"/>
            <w:noWrap/>
          </w:tcPr>
          <w:p w14:paraId="3D73895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07D71FE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96BAF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3DB42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Mature compost with nylon mesh bag</w:t>
            </w:r>
          </w:p>
        </w:tc>
        <w:tc>
          <w:tcPr>
            <w:tcW w:w="1800" w:type="dxa"/>
            <w:noWrap/>
          </w:tcPr>
          <w:p w14:paraId="668835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93C4D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90E94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47AEB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116</w:t>
            </w:r>
          </w:p>
        </w:tc>
        <w:tc>
          <w:tcPr>
            <w:tcW w:w="1909" w:type="dxa"/>
            <w:noWrap/>
          </w:tcPr>
          <w:p w14:paraId="333CC48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6C6C47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5F7F67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622B6F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0B9CBB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31C1B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412BD9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56546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FAC8C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116</w:t>
            </w:r>
          </w:p>
        </w:tc>
        <w:tc>
          <w:tcPr>
            <w:tcW w:w="1909" w:type="dxa"/>
            <w:noWrap/>
          </w:tcPr>
          <w:p w14:paraId="065C3E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618D4F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71686B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43C3FB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6E38FE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0DBF1C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1D0614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08D7FB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973DE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116</w:t>
            </w:r>
          </w:p>
        </w:tc>
        <w:tc>
          <w:tcPr>
            <w:tcW w:w="1909" w:type="dxa"/>
            <w:noWrap/>
          </w:tcPr>
          <w:p w14:paraId="75920B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566852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0F86F5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0B2E4B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487623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71CD2C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7.5</w:t>
            </w:r>
          </w:p>
        </w:tc>
        <w:tc>
          <w:tcPr>
            <w:tcW w:w="1959" w:type="dxa"/>
            <w:noWrap/>
          </w:tcPr>
          <w:p w14:paraId="743707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84A50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8A9DD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116</w:t>
            </w:r>
          </w:p>
        </w:tc>
        <w:tc>
          <w:tcPr>
            <w:tcW w:w="1909" w:type="dxa"/>
            <w:noWrap/>
          </w:tcPr>
          <w:p w14:paraId="2AD164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7AEF2D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5D827D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547AF3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2922CAC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79C0F02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12F123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2B77EC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75647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116</w:t>
            </w:r>
          </w:p>
        </w:tc>
        <w:tc>
          <w:tcPr>
            <w:tcW w:w="1909" w:type="dxa"/>
            <w:noWrap/>
          </w:tcPr>
          <w:p w14:paraId="174F195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Duan et al. (2019)</w:t>
            </w:r>
          </w:p>
        </w:tc>
        <w:tc>
          <w:tcPr>
            <w:tcW w:w="682" w:type="dxa"/>
            <w:noWrap/>
          </w:tcPr>
          <w:p w14:paraId="3BFED6A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548D0B7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737AF1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Wheat straw</w:t>
            </w:r>
          </w:p>
        </w:tc>
        <w:tc>
          <w:tcPr>
            <w:tcW w:w="2900" w:type="dxa"/>
            <w:noWrap/>
          </w:tcPr>
          <w:p w14:paraId="5D264A1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69FB0D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12.5</w:t>
            </w:r>
          </w:p>
        </w:tc>
        <w:tc>
          <w:tcPr>
            <w:tcW w:w="1959" w:type="dxa"/>
            <w:noWrap/>
          </w:tcPr>
          <w:p w14:paraId="01D0BE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A874D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8B9BB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117</w:t>
            </w:r>
          </w:p>
        </w:tc>
        <w:tc>
          <w:tcPr>
            <w:tcW w:w="1909" w:type="dxa"/>
            <w:noWrap/>
          </w:tcPr>
          <w:p w14:paraId="7AD955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Chowdhury et al. (2014)</w:t>
            </w:r>
          </w:p>
        </w:tc>
        <w:tc>
          <w:tcPr>
            <w:tcW w:w="682" w:type="dxa"/>
            <w:noWrap/>
          </w:tcPr>
          <w:p w14:paraId="24EAB2A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162E57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403E88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Barley straw</w:t>
            </w:r>
          </w:p>
        </w:tc>
        <w:tc>
          <w:tcPr>
            <w:tcW w:w="2900" w:type="dxa"/>
            <w:noWrap/>
          </w:tcPr>
          <w:p w14:paraId="04DC95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591FF95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0.44</w:t>
            </w:r>
          </w:p>
        </w:tc>
        <w:tc>
          <w:tcPr>
            <w:tcW w:w="1959" w:type="dxa"/>
            <w:noWrap/>
          </w:tcPr>
          <w:p w14:paraId="05530D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2D0C54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0EA54A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117</w:t>
            </w:r>
          </w:p>
        </w:tc>
        <w:tc>
          <w:tcPr>
            <w:tcW w:w="1909" w:type="dxa"/>
            <w:noWrap/>
          </w:tcPr>
          <w:p w14:paraId="52C830D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Chowdhury et al. (2014)</w:t>
            </w:r>
          </w:p>
        </w:tc>
        <w:tc>
          <w:tcPr>
            <w:tcW w:w="682" w:type="dxa"/>
            <w:noWrap/>
          </w:tcPr>
          <w:p w14:paraId="3689C8C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29820B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3D260F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Barley straw</w:t>
            </w:r>
          </w:p>
        </w:tc>
        <w:tc>
          <w:tcPr>
            <w:tcW w:w="2900" w:type="dxa"/>
            <w:noWrap/>
          </w:tcPr>
          <w:p w14:paraId="045A804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57218E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0.44</w:t>
            </w:r>
          </w:p>
        </w:tc>
        <w:tc>
          <w:tcPr>
            <w:tcW w:w="1959" w:type="dxa"/>
            <w:noWrap/>
          </w:tcPr>
          <w:p w14:paraId="4D317C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A15A46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6D735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117</w:t>
            </w:r>
          </w:p>
        </w:tc>
        <w:tc>
          <w:tcPr>
            <w:tcW w:w="1909" w:type="dxa"/>
            <w:noWrap/>
          </w:tcPr>
          <w:p w14:paraId="452132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Chowdhury et al. (2014)</w:t>
            </w:r>
          </w:p>
        </w:tc>
        <w:tc>
          <w:tcPr>
            <w:tcW w:w="682" w:type="dxa"/>
            <w:noWrap/>
          </w:tcPr>
          <w:p w14:paraId="4FFD79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2014</w:t>
            </w:r>
          </w:p>
        </w:tc>
        <w:tc>
          <w:tcPr>
            <w:tcW w:w="1416" w:type="dxa"/>
            <w:noWrap/>
          </w:tcPr>
          <w:p w14:paraId="2AC81C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6DCF3B3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Barley straw</w:t>
            </w:r>
          </w:p>
        </w:tc>
        <w:tc>
          <w:tcPr>
            <w:tcW w:w="2900" w:type="dxa"/>
            <w:noWrap/>
          </w:tcPr>
          <w:p w14:paraId="3A9F7B5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16093D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1.7</w:t>
            </w:r>
          </w:p>
        </w:tc>
        <w:tc>
          <w:tcPr>
            <w:tcW w:w="1959" w:type="dxa"/>
            <w:noWrap/>
          </w:tcPr>
          <w:p w14:paraId="727F33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A3EAD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6E3853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118</w:t>
            </w:r>
          </w:p>
        </w:tc>
        <w:tc>
          <w:tcPr>
            <w:tcW w:w="1909" w:type="dxa"/>
            <w:noWrap/>
          </w:tcPr>
          <w:p w14:paraId="4893F8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Lindberg et al. (2022)</w:t>
            </w:r>
          </w:p>
        </w:tc>
        <w:tc>
          <w:tcPr>
            <w:tcW w:w="682" w:type="dxa"/>
            <w:noWrap/>
          </w:tcPr>
          <w:p w14:paraId="53EE843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0BA7C6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9C113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Orange peels</w:t>
            </w:r>
          </w:p>
        </w:tc>
        <w:tc>
          <w:tcPr>
            <w:tcW w:w="2900" w:type="dxa"/>
            <w:noWrap/>
          </w:tcPr>
          <w:p w14:paraId="5486A2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Black soldier fly larvae conversion</w:t>
            </w:r>
          </w:p>
        </w:tc>
        <w:tc>
          <w:tcPr>
            <w:tcW w:w="1800" w:type="dxa"/>
            <w:noWrap/>
          </w:tcPr>
          <w:p w14:paraId="0025E2D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1927A7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2D9F40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794FA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118</w:t>
            </w:r>
          </w:p>
        </w:tc>
        <w:tc>
          <w:tcPr>
            <w:tcW w:w="1909" w:type="dxa"/>
            <w:noWrap/>
          </w:tcPr>
          <w:p w14:paraId="3E37D8A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Lindberg et al. (2022)</w:t>
            </w:r>
          </w:p>
        </w:tc>
        <w:tc>
          <w:tcPr>
            <w:tcW w:w="682" w:type="dxa"/>
            <w:noWrap/>
          </w:tcPr>
          <w:p w14:paraId="4FAB7B9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3190BA1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88C92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Broccoli and cauliflower</w:t>
            </w:r>
          </w:p>
        </w:tc>
        <w:tc>
          <w:tcPr>
            <w:tcW w:w="2900" w:type="dxa"/>
            <w:noWrap/>
          </w:tcPr>
          <w:p w14:paraId="557354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Black soldier fly larvae conversion</w:t>
            </w:r>
          </w:p>
        </w:tc>
        <w:tc>
          <w:tcPr>
            <w:tcW w:w="1800" w:type="dxa"/>
            <w:noWrap/>
          </w:tcPr>
          <w:p w14:paraId="4D5973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21BF97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59FEAA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E7130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119</w:t>
            </w:r>
          </w:p>
        </w:tc>
        <w:tc>
          <w:tcPr>
            <w:tcW w:w="1909" w:type="dxa"/>
            <w:noWrap/>
          </w:tcPr>
          <w:p w14:paraId="794DB0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03B3AE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D89C7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CD1441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291C3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24A68F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w:t>
            </w:r>
          </w:p>
        </w:tc>
        <w:tc>
          <w:tcPr>
            <w:tcW w:w="1959" w:type="dxa"/>
            <w:noWrap/>
          </w:tcPr>
          <w:p w14:paraId="5EE035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32237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8044D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119</w:t>
            </w:r>
          </w:p>
        </w:tc>
        <w:tc>
          <w:tcPr>
            <w:tcW w:w="1909" w:type="dxa"/>
            <w:noWrap/>
          </w:tcPr>
          <w:p w14:paraId="4B79FA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6E0D55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1F6AE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6C5D5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652103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2CE3D0D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0.3</w:t>
            </w:r>
          </w:p>
        </w:tc>
        <w:tc>
          <w:tcPr>
            <w:tcW w:w="1959" w:type="dxa"/>
            <w:noWrap/>
          </w:tcPr>
          <w:p w14:paraId="6D1549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ED6CB3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A0EAF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119</w:t>
            </w:r>
          </w:p>
        </w:tc>
        <w:tc>
          <w:tcPr>
            <w:tcW w:w="1909" w:type="dxa"/>
            <w:noWrap/>
          </w:tcPr>
          <w:p w14:paraId="07CD719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(2023)</w:t>
            </w:r>
          </w:p>
        </w:tc>
        <w:tc>
          <w:tcPr>
            <w:tcW w:w="682" w:type="dxa"/>
            <w:noWrap/>
          </w:tcPr>
          <w:p w14:paraId="5EA136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5AD186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7E9843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03E8D28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Pressure aeration </w:t>
            </w:r>
          </w:p>
        </w:tc>
        <w:tc>
          <w:tcPr>
            <w:tcW w:w="1800" w:type="dxa"/>
            <w:noWrap/>
          </w:tcPr>
          <w:p w14:paraId="698A76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w:t>
            </w:r>
          </w:p>
        </w:tc>
        <w:tc>
          <w:tcPr>
            <w:tcW w:w="1959" w:type="dxa"/>
            <w:noWrap/>
          </w:tcPr>
          <w:p w14:paraId="78BCE68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C6D57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EA586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120</w:t>
            </w:r>
          </w:p>
        </w:tc>
        <w:tc>
          <w:tcPr>
            <w:tcW w:w="1909" w:type="dxa"/>
            <w:noWrap/>
          </w:tcPr>
          <w:p w14:paraId="77882F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(2021)</w:t>
            </w:r>
          </w:p>
        </w:tc>
        <w:tc>
          <w:tcPr>
            <w:tcW w:w="682" w:type="dxa"/>
            <w:noWrap/>
          </w:tcPr>
          <w:p w14:paraId="662BAF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03920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0B9431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705ABE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Lime </w:t>
            </w:r>
          </w:p>
        </w:tc>
        <w:tc>
          <w:tcPr>
            <w:tcW w:w="1800" w:type="dxa"/>
            <w:noWrap/>
          </w:tcPr>
          <w:p w14:paraId="694F9D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0.5</w:t>
            </w:r>
          </w:p>
        </w:tc>
        <w:tc>
          <w:tcPr>
            <w:tcW w:w="1959" w:type="dxa"/>
            <w:noWrap/>
          </w:tcPr>
          <w:p w14:paraId="384198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B1D4B7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9E7F6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120</w:t>
            </w:r>
          </w:p>
        </w:tc>
        <w:tc>
          <w:tcPr>
            <w:tcW w:w="1909" w:type="dxa"/>
            <w:noWrap/>
          </w:tcPr>
          <w:p w14:paraId="0808801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(2021)</w:t>
            </w:r>
          </w:p>
        </w:tc>
        <w:tc>
          <w:tcPr>
            <w:tcW w:w="682" w:type="dxa"/>
            <w:noWrap/>
          </w:tcPr>
          <w:p w14:paraId="38EE2B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3315E8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65617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153D10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Lime </w:t>
            </w:r>
          </w:p>
        </w:tc>
        <w:tc>
          <w:tcPr>
            <w:tcW w:w="1800" w:type="dxa"/>
            <w:noWrap/>
          </w:tcPr>
          <w:p w14:paraId="2773D9F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5FC6C8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E25A8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2FACC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120</w:t>
            </w:r>
          </w:p>
        </w:tc>
        <w:tc>
          <w:tcPr>
            <w:tcW w:w="1909" w:type="dxa"/>
            <w:noWrap/>
          </w:tcPr>
          <w:p w14:paraId="7DB16A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(2021)</w:t>
            </w:r>
          </w:p>
        </w:tc>
        <w:tc>
          <w:tcPr>
            <w:tcW w:w="682" w:type="dxa"/>
            <w:noWrap/>
          </w:tcPr>
          <w:p w14:paraId="29B6F3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A4E6F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2D9AE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65EA9B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Lime </w:t>
            </w:r>
          </w:p>
        </w:tc>
        <w:tc>
          <w:tcPr>
            <w:tcW w:w="1800" w:type="dxa"/>
            <w:noWrap/>
          </w:tcPr>
          <w:p w14:paraId="52A2DA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4D3FC4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23252F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581A0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121</w:t>
            </w:r>
          </w:p>
        </w:tc>
        <w:tc>
          <w:tcPr>
            <w:tcW w:w="1909" w:type="dxa"/>
            <w:noWrap/>
          </w:tcPr>
          <w:p w14:paraId="735B53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(2021b)</w:t>
            </w:r>
          </w:p>
        </w:tc>
        <w:tc>
          <w:tcPr>
            <w:tcW w:w="682" w:type="dxa"/>
            <w:noWrap/>
          </w:tcPr>
          <w:p w14:paraId="65F0A3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E662A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3B2FAF1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17D2CF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Bulking agent</w:t>
            </w:r>
          </w:p>
        </w:tc>
        <w:tc>
          <w:tcPr>
            <w:tcW w:w="1800" w:type="dxa"/>
            <w:noWrap/>
          </w:tcPr>
          <w:p w14:paraId="75ADEFD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7.5</w:t>
            </w:r>
          </w:p>
        </w:tc>
        <w:tc>
          <w:tcPr>
            <w:tcW w:w="1959" w:type="dxa"/>
            <w:noWrap/>
          </w:tcPr>
          <w:p w14:paraId="61ADBC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020C3A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D960F8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121</w:t>
            </w:r>
          </w:p>
        </w:tc>
        <w:tc>
          <w:tcPr>
            <w:tcW w:w="1909" w:type="dxa"/>
            <w:noWrap/>
          </w:tcPr>
          <w:p w14:paraId="54E8B6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(2021b)</w:t>
            </w:r>
          </w:p>
        </w:tc>
        <w:tc>
          <w:tcPr>
            <w:tcW w:w="682" w:type="dxa"/>
            <w:noWrap/>
          </w:tcPr>
          <w:p w14:paraId="149412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4EB8D0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E528C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19527EA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Bulking agent</w:t>
            </w:r>
          </w:p>
        </w:tc>
        <w:tc>
          <w:tcPr>
            <w:tcW w:w="1800" w:type="dxa"/>
            <w:noWrap/>
          </w:tcPr>
          <w:p w14:paraId="2BCFBC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0E59E2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92663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F23A2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121</w:t>
            </w:r>
          </w:p>
        </w:tc>
        <w:tc>
          <w:tcPr>
            <w:tcW w:w="1909" w:type="dxa"/>
            <w:noWrap/>
          </w:tcPr>
          <w:p w14:paraId="6B9918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Xu et al. (2021b)</w:t>
            </w:r>
          </w:p>
        </w:tc>
        <w:tc>
          <w:tcPr>
            <w:tcW w:w="682" w:type="dxa"/>
            <w:noWrap/>
          </w:tcPr>
          <w:p w14:paraId="28ED1D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1F6025E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5004B4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Garden waste</w:t>
            </w:r>
          </w:p>
        </w:tc>
        <w:tc>
          <w:tcPr>
            <w:tcW w:w="2900" w:type="dxa"/>
            <w:noWrap/>
          </w:tcPr>
          <w:p w14:paraId="01E1E0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Bulking agent</w:t>
            </w:r>
          </w:p>
        </w:tc>
        <w:tc>
          <w:tcPr>
            <w:tcW w:w="1800" w:type="dxa"/>
            <w:noWrap/>
          </w:tcPr>
          <w:p w14:paraId="1C8695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22.5</w:t>
            </w:r>
          </w:p>
        </w:tc>
        <w:tc>
          <w:tcPr>
            <w:tcW w:w="1959" w:type="dxa"/>
            <w:noWrap/>
          </w:tcPr>
          <w:p w14:paraId="51A7DD9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FE422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5E748D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122</w:t>
            </w:r>
          </w:p>
        </w:tc>
        <w:tc>
          <w:tcPr>
            <w:tcW w:w="1909" w:type="dxa"/>
            <w:noWrap/>
          </w:tcPr>
          <w:p w14:paraId="5FEA2BC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66B0F3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15F3D9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215F30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Bedding-free material</w:t>
            </w:r>
          </w:p>
        </w:tc>
        <w:tc>
          <w:tcPr>
            <w:tcW w:w="2900" w:type="dxa"/>
            <w:noWrap/>
          </w:tcPr>
          <w:p w14:paraId="4D998D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Bedding-free material</w:t>
            </w:r>
          </w:p>
        </w:tc>
        <w:tc>
          <w:tcPr>
            <w:tcW w:w="1800" w:type="dxa"/>
            <w:noWrap/>
          </w:tcPr>
          <w:p w14:paraId="1DFEB5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451D64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BD119C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9AA52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122</w:t>
            </w:r>
          </w:p>
        </w:tc>
        <w:tc>
          <w:tcPr>
            <w:tcW w:w="1909" w:type="dxa"/>
            <w:noWrap/>
          </w:tcPr>
          <w:p w14:paraId="43879D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70858A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CD9E2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3658AAC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Bedding-free material</w:t>
            </w:r>
          </w:p>
        </w:tc>
        <w:tc>
          <w:tcPr>
            <w:tcW w:w="2900" w:type="dxa"/>
            <w:noWrap/>
          </w:tcPr>
          <w:p w14:paraId="753BD8D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Bedding-free material</w:t>
            </w:r>
          </w:p>
        </w:tc>
        <w:tc>
          <w:tcPr>
            <w:tcW w:w="1800" w:type="dxa"/>
            <w:noWrap/>
          </w:tcPr>
          <w:p w14:paraId="20A9AD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507D67F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81896E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03809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122</w:t>
            </w:r>
          </w:p>
        </w:tc>
        <w:tc>
          <w:tcPr>
            <w:tcW w:w="1909" w:type="dxa"/>
            <w:noWrap/>
          </w:tcPr>
          <w:p w14:paraId="678A1B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0BDB65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E78BFB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Sheep manure</w:t>
            </w:r>
          </w:p>
        </w:tc>
        <w:tc>
          <w:tcPr>
            <w:tcW w:w="1805" w:type="dxa"/>
            <w:noWrap/>
          </w:tcPr>
          <w:p w14:paraId="55DC3A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Bedding-free material</w:t>
            </w:r>
          </w:p>
        </w:tc>
        <w:tc>
          <w:tcPr>
            <w:tcW w:w="2900" w:type="dxa"/>
            <w:noWrap/>
          </w:tcPr>
          <w:p w14:paraId="78AD94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Bedding-free material</w:t>
            </w:r>
          </w:p>
        </w:tc>
        <w:tc>
          <w:tcPr>
            <w:tcW w:w="1800" w:type="dxa"/>
            <w:noWrap/>
          </w:tcPr>
          <w:p w14:paraId="09822B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3FA7261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6A00A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F7C49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123</w:t>
            </w:r>
          </w:p>
        </w:tc>
        <w:tc>
          <w:tcPr>
            <w:tcW w:w="1909" w:type="dxa"/>
            <w:noWrap/>
          </w:tcPr>
          <w:p w14:paraId="497A17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Lin et al. (2023)</w:t>
            </w:r>
          </w:p>
        </w:tc>
        <w:tc>
          <w:tcPr>
            <w:tcW w:w="682" w:type="dxa"/>
            <w:noWrap/>
          </w:tcPr>
          <w:p w14:paraId="1098BFB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C0A5D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17EA44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1B65F5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w:t>
            </w:r>
          </w:p>
        </w:tc>
        <w:tc>
          <w:tcPr>
            <w:tcW w:w="1800" w:type="dxa"/>
            <w:noWrap/>
          </w:tcPr>
          <w:p w14:paraId="6D617B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FD43A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094264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10609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123</w:t>
            </w:r>
          </w:p>
        </w:tc>
        <w:tc>
          <w:tcPr>
            <w:tcW w:w="1909" w:type="dxa"/>
            <w:noWrap/>
          </w:tcPr>
          <w:p w14:paraId="0C17A1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Lin et al. (2023)</w:t>
            </w:r>
          </w:p>
        </w:tc>
        <w:tc>
          <w:tcPr>
            <w:tcW w:w="682" w:type="dxa"/>
            <w:noWrap/>
          </w:tcPr>
          <w:p w14:paraId="14B573C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B5F04E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78B8BF6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38A5F92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Biogas residue</w:t>
            </w:r>
          </w:p>
        </w:tc>
        <w:tc>
          <w:tcPr>
            <w:tcW w:w="1800" w:type="dxa"/>
            <w:noWrap/>
          </w:tcPr>
          <w:p w14:paraId="67A0870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D243D6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7898FF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4E967C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123</w:t>
            </w:r>
          </w:p>
        </w:tc>
        <w:tc>
          <w:tcPr>
            <w:tcW w:w="1909" w:type="dxa"/>
            <w:noWrap/>
          </w:tcPr>
          <w:p w14:paraId="73F9DE4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Lin et al. (2023)</w:t>
            </w:r>
          </w:p>
        </w:tc>
        <w:tc>
          <w:tcPr>
            <w:tcW w:w="682" w:type="dxa"/>
            <w:noWrap/>
          </w:tcPr>
          <w:p w14:paraId="0E23D8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038718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6255678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Rice straw</w:t>
            </w:r>
          </w:p>
        </w:tc>
        <w:tc>
          <w:tcPr>
            <w:tcW w:w="2900" w:type="dxa"/>
            <w:noWrap/>
          </w:tcPr>
          <w:p w14:paraId="6A3DB35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Biochar and biogas residue</w:t>
            </w:r>
          </w:p>
        </w:tc>
        <w:tc>
          <w:tcPr>
            <w:tcW w:w="1800" w:type="dxa"/>
            <w:noWrap/>
          </w:tcPr>
          <w:p w14:paraId="02841C4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7A63D6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3ECDA5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6A6539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124</w:t>
            </w:r>
          </w:p>
        </w:tc>
        <w:tc>
          <w:tcPr>
            <w:tcW w:w="1909" w:type="dxa"/>
            <w:noWrap/>
          </w:tcPr>
          <w:p w14:paraId="47A47B0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(2021)</w:t>
            </w:r>
          </w:p>
        </w:tc>
        <w:tc>
          <w:tcPr>
            <w:tcW w:w="682" w:type="dxa"/>
            <w:noWrap/>
          </w:tcPr>
          <w:p w14:paraId="0E2707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D230E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0B512E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28A1D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Phosphogypsum</w:t>
            </w:r>
          </w:p>
        </w:tc>
        <w:tc>
          <w:tcPr>
            <w:tcW w:w="1800" w:type="dxa"/>
            <w:noWrap/>
          </w:tcPr>
          <w:p w14:paraId="58E90A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78B424B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CA85A0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3AAC5DD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124</w:t>
            </w:r>
          </w:p>
        </w:tc>
        <w:tc>
          <w:tcPr>
            <w:tcW w:w="1909" w:type="dxa"/>
            <w:noWrap/>
          </w:tcPr>
          <w:p w14:paraId="41829E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(2021)</w:t>
            </w:r>
          </w:p>
        </w:tc>
        <w:tc>
          <w:tcPr>
            <w:tcW w:w="682" w:type="dxa"/>
            <w:noWrap/>
          </w:tcPr>
          <w:p w14:paraId="0E7EE2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272A32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0E72F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513842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734052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2.5</w:t>
            </w:r>
          </w:p>
        </w:tc>
        <w:tc>
          <w:tcPr>
            <w:tcW w:w="1959" w:type="dxa"/>
            <w:noWrap/>
          </w:tcPr>
          <w:p w14:paraId="2D69BF6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2EA265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31BE8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124</w:t>
            </w:r>
          </w:p>
        </w:tc>
        <w:tc>
          <w:tcPr>
            <w:tcW w:w="1909" w:type="dxa"/>
            <w:noWrap/>
          </w:tcPr>
          <w:p w14:paraId="3D9990B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(2021)</w:t>
            </w:r>
          </w:p>
        </w:tc>
        <w:tc>
          <w:tcPr>
            <w:tcW w:w="682" w:type="dxa"/>
            <w:noWrap/>
          </w:tcPr>
          <w:p w14:paraId="1D72849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613CE7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019B1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718A6AB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Superphosphate</w:t>
            </w:r>
          </w:p>
        </w:tc>
        <w:tc>
          <w:tcPr>
            <w:tcW w:w="1800" w:type="dxa"/>
            <w:noWrap/>
          </w:tcPr>
          <w:p w14:paraId="67A8853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4338C64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3EB752A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10024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125</w:t>
            </w:r>
          </w:p>
        </w:tc>
        <w:tc>
          <w:tcPr>
            <w:tcW w:w="1909" w:type="dxa"/>
            <w:noWrap/>
          </w:tcPr>
          <w:p w14:paraId="05A474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5300D0B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85ADF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 digestate</w:t>
            </w:r>
          </w:p>
        </w:tc>
        <w:tc>
          <w:tcPr>
            <w:tcW w:w="1805" w:type="dxa"/>
            <w:noWrap/>
          </w:tcPr>
          <w:p w14:paraId="6E7DBC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53CDFFF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Tobacco biochar</w:t>
            </w:r>
          </w:p>
        </w:tc>
        <w:tc>
          <w:tcPr>
            <w:tcW w:w="1800" w:type="dxa"/>
            <w:noWrap/>
          </w:tcPr>
          <w:p w14:paraId="53BBB23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77E3C1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EFBA7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BBE6E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125</w:t>
            </w:r>
          </w:p>
        </w:tc>
        <w:tc>
          <w:tcPr>
            <w:tcW w:w="1909" w:type="dxa"/>
            <w:noWrap/>
          </w:tcPr>
          <w:p w14:paraId="0ED97B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36477DD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8ABA6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 digestate</w:t>
            </w:r>
          </w:p>
        </w:tc>
        <w:tc>
          <w:tcPr>
            <w:tcW w:w="1805" w:type="dxa"/>
            <w:noWrap/>
          </w:tcPr>
          <w:p w14:paraId="7574C8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0ACD8C2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Bamboo biochar</w:t>
            </w:r>
          </w:p>
        </w:tc>
        <w:tc>
          <w:tcPr>
            <w:tcW w:w="1800" w:type="dxa"/>
            <w:noWrap/>
          </w:tcPr>
          <w:p w14:paraId="49BD3D3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23B9646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CCAD2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F3634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126</w:t>
            </w:r>
          </w:p>
        </w:tc>
        <w:tc>
          <w:tcPr>
            <w:tcW w:w="1909" w:type="dxa"/>
            <w:noWrap/>
          </w:tcPr>
          <w:p w14:paraId="4F95CF6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52CE534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1D0032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601A8C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4F9E7A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Ammonium molybdate and sodium nitrite</w:t>
            </w:r>
          </w:p>
        </w:tc>
        <w:tc>
          <w:tcPr>
            <w:tcW w:w="1800" w:type="dxa"/>
            <w:noWrap/>
          </w:tcPr>
          <w:p w14:paraId="644CC1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50D415A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6A7356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17E187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126</w:t>
            </w:r>
          </w:p>
        </w:tc>
        <w:tc>
          <w:tcPr>
            <w:tcW w:w="1909" w:type="dxa"/>
            <w:noWrap/>
          </w:tcPr>
          <w:p w14:paraId="023387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77255D8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27BC3E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8284A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3D103B0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Mature compost </w:t>
            </w:r>
          </w:p>
        </w:tc>
        <w:tc>
          <w:tcPr>
            <w:tcW w:w="1800" w:type="dxa"/>
            <w:noWrap/>
          </w:tcPr>
          <w:p w14:paraId="42387D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4770D0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2DF81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EC737F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126</w:t>
            </w:r>
          </w:p>
        </w:tc>
        <w:tc>
          <w:tcPr>
            <w:tcW w:w="1909" w:type="dxa"/>
            <w:noWrap/>
          </w:tcPr>
          <w:p w14:paraId="6F93C4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7386CB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691F3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2E989FF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8440D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Ammonium molybdate and, sodium nitrite, and mature compost</w:t>
            </w:r>
          </w:p>
        </w:tc>
        <w:tc>
          <w:tcPr>
            <w:tcW w:w="1800" w:type="dxa"/>
            <w:noWrap/>
          </w:tcPr>
          <w:p w14:paraId="112456C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15</w:t>
            </w:r>
          </w:p>
        </w:tc>
        <w:tc>
          <w:tcPr>
            <w:tcW w:w="1959" w:type="dxa"/>
            <w:noWrap/>
          </w:tcPr>
          <w:p w14:paraId="791B63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18AC15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AD218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127</w:t>
            </w:r>
          </w:p>
        </w:tc>
        <w:tc>
          <w:tcPr>
            <w:tcW w:w="1909" w:type="dxa"/>
            <w:noWrap/>
          </w:tcPr>
          <w:p w14:paraId="2345E25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González et al. (2019)</w:t>
            </w:r>
          </w:p>
        </w:tc>
        <w:tc>
          <w:tcPr>
            <w:tcW w:w="682" w:type="dxa"/>
            <w:noWrap/>
          </w:tcPr>
          <w:p w14:paraId="1BA6771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2019</w:t>
            </w:r>
          </w:p>
        </w:tc>
        <w:tc>
          <w:tcPr>
            <w:tcW w:w="1416" w:type="dxa"/>
            <w:noWrap/>
          </w:tcPr>
          <w:p w14:paraId="4AD324E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Sewage sludge</w:t>
            </w:r>
          </w:p>
        </w:tc>
        <w:tc>
          <w:tcPr>
            <w:tcW w:w="1805" w:type="dxa"/>
            <w:noWrap/>
          </w:tcPr>
          <w:p w14:paraId="4FCEDAF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Vegetable fraction</w:t>
            </w:r>
          </w:p>
        </w:tc>
        <w:tc>
          <w:tcPr>
            <w:tcW w:w="2900" w:type="dxa"/>
            <w:noWrap/>
          </w:tcPr>
          <w:p w14:paraId="790589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Turning operation</w:t>
            </w:r>
          </w:p>
        </w:tc>
        <w:tc>
          <w:tcPr>
            <w:tcW w:w="1800" w:type="dxa"/>
            <w:noWrap/>
          </w:tcPr>
          <w:p w14:paraId="6109D4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t>
            </w:r>
          </w:p>
        </w:tc>
        <w:tc>
          <w:tcPr>
            <w:tcW w:w="1959" w:type="dxa"/>
            <w:noWrap/>
          </w:tcPr>
          <w:p w14:paraId="3E7DEF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D0930D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8D8B5F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128</w:t>
            </w:r>
          </w:p>
        </w:tc>
        <w:tc>
          <w:tcPr>
            <w:tcW w:w="1909" w:type="dxa"/>
            <w:noWrap/>
          </w:tcPr>
          <w:p w14:paraId="183788F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Cao et al. (2022)</w:t>
            </w:r>
          </w:p>
        </w:tc>
        <w:tc>
          <w:tcPr>
            <w:tcW w:w="682" w:type="dxa"/>
            <w:noWrap/>
          </w:tcPr>
          <w:p w14:paraId="30A73F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41EA895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0969C3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6BD323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Ferric chloride</w:t>
            </w:r>
          </w:p>
        </w:tc>
        <w:tc>
          <w:tcPr>
            <w:tcW w:w="1800" w:type="dxa"/>
            <w:noWrap/>
          </w:tcPr>
          <w:p w14:paraId="1ECFDC0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7DF6967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6256D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5B8C5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128</w:t>
            </w:r>
          </w:p>
        </w:tc>
        <w:tc>
          <w:tcPr>
            <w:tcW w:w="1909" w:type="dxa"/>
            <w:noWrap/>
          </w:tcPr>
          <w:p w14:paraId="619A10F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Cao et al. (2022)</w:t>
            </w:r>
          </w:p>
        </w:tc>
        <w:tc>
          <w:tcPr>
            <w:tcW w:w="682" w:type="dxa"/>
            <w:noWrap/>
          </w:tcPr>
          <w:p w14:paraId="1E1169A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1FC5B68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305DA8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906EF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Potassium chloride</w:t>
            </w:r>
          </w:p>
        </w:tc>
        <w:tc>
          <w:tcPr>
            <w:tcW w:w="1800" w:type="dxa"/>
            <w:noWrap/>
          </w:tcPr>
          <w:p w14:paraId="0E6B93A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6.9</w:t>
            </w:r>
          </w:p>
        </w:tc>
        <w:tc>
          <w:tcPr>
            <w:tcW w:w="1959" w:type="dxa"/>
            <w:noWrap/>
          </w:tcPr>
          <w:p w14:paraId="46232B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0E2E2E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FF1E1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128</w:t>
            </w:r>
          </w:p>
        </w:tc>
        <w:tc>
          <w:tcPr>
            <w:tcW w:w="1909" w:type="dxa"/>
            <w:noWrap/>
          </w:tcPr>
          <w:p w14:paraId="68E629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Cao et al. (2022)</w:t>
            </w:r>
          </w:p>
        </w:tc>
        <w:tc>
          <w:tcPr>
            <w:tcW w:w="682" w:type="dxa"/>
            <w:noWrap/>
          </w:tcPr>
          <w:p w14:paraId="5BA1EB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2022</w:t>
            </w:r>
          </w:p>
        </w:tc>
        <w:tc>
          <w:tcPr>
            <w:tcW w:w="1416" w:type="dxa"/>
            <w:noWrap/>
          </w:tcPr>
          <w:p w14:paraId="362CEB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Chicken manure</w:t>
            </w:r>
          </w:p>
        </w:tc>
        <w:tc>
          <w:tcPr>
            <w:tcW w:w="1805" w:type="dxa"/>
            <w:noWrap/>
          </w:tcPr>
          <w:p w14:paraId="549F102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56EAACF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Sodium bicarbonate</w:t>
            </w:r>
          </w:p>
        </w:tc>
        <w:tc>
          <w:tcPr>
            <w:tcW w:w="1800" w:type="dxa"/>
            <w:noWrap/>
          </w:tcPr>
          <w:p w14:paraId="43BD2C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0.8</w:t>
            </w:r>
          </w:p>
        </w:tc>
        <w:tc>
          <w:tcPr>
            <w:tcW w:w="1959" w:type="dxa"/>
            <w:noWrap/>
          </w:tcPr>
          <w:p w14:paraId="3B219D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9FD3B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5AAD6B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129</w:t>
            </w:r>
          </w:p>
        </w:tc>
        <w:tc>
          <w:tcPr>
            <w:tcW w:w="1909" w:type="dxa"/>
            <w:noWrap/>
          </w:tcPr>
          <w:p w14:paraId="7A4A32E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Ren et al. (2023)</w:t>
            </w:r>
          </w:p>
        </w:tc>
        <w:tc>
          <w:tcPr>
            <w:tcW w:w="682" w:type="dxa"/>
            <w:noWrap/>
          </w:tcPr>
          <w:p w14:paraId="076CC8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79756FC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76A8A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7A02E5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1703F87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p>
        </w:tc>
        <w:tc>
          <w:tcPr>
            <w:tcW w:w="1959" w:type="dxa"/>
            <w:noWrap/>
          </w:tcPr>
          <w:p w14:paraId="141CFA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00A6C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F55AA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129</w:t>
            </w:r>
          </w:p>
        </w:tc>
        <w:tc>
          <w:tcPr>
            <w:tcW w:w="1909" w:type="dxa"/>
            <w:noWrap/>
          </w:tcPr>
          <w:p w14:paraId="1C13E72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Ren et al. (2023)</w:t>
            </w:r>
          </w:p>
        </w:tc>
        <w:tc>
          <w:tcPr>
            <w:tcW w:w="682" w:type="dxa"/>
            <w:noWrap/>
          </w:tcPr>
          <w:p w14:paraId="57ADF40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DA689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23F243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3F87D98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32CFA43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9EB8F0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1233B9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6C6244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129</w:t>
            </w:r>
          </w:p>
        </w:tc>
        <w:tc>
          <w:tcPr>
            <w:tcW w:w="1909" w:type="dxa"/>
            <w:noWrap/>
          </w:tcPr>
          <w:p w14:paraId="03AB2A6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Ren et al. (2023)</w:t>
            </w:r>
          </w:p>
        </w:tc>
        <w:tc>
          <w:tcPr>
            <w:tcW w:w="682" w:type="dxa"/>
            <w:noWrap/>
          </w:tcPr>
          <w:p w14:paraId="173093B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C1FEB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42EB1A1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  straw</w:t>
            </w:r>
          </w:p>
        </w:tc>
        <w:tc>
          <w:tcPr>
            <w:tcW w:w="2900" w:type="dxa"/>
            <w:noWrap/>
          </w:tcPr>
          <w:p w14:paraId="3874582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1800" w:type="dxa"/>
            <w:noWrap/>
          </w:tcPr>
          <w:p w14:paraId="61608F7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w:t>
            </w:r>
          </w:p>
        </w:tc>
        <w:tc>
          <w:tcPr>
            <w:tcW w:w="1959" w:type="dxa"/>
            <w:noWrap/>
          </w:tcPr>
          <w:p w14:paraId="61D826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083AF4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3675A3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130</w:t>
            </w:r>
          </w:p>
        </w:tc>
        <w:tc>
          <w:tcPr>
            <w:tcW w:w="1909" w:type="dxa"/>
            <w:noWrap/>
          </w:tcPr>
          <w:p w14:paraId="7A4329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(2021)</w:t>
            </w:r>
          </w:p>
        </w:tc>
        <w:tc>
          <w:tcPr>
            <w:tcW w:w="682" w:type="dxa"/>
            <w:noWrap/>
          </w:tcPr>
          <w:p w14:paraId="6704D3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43722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2EFA64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stover</w:t>
            </w:r>
          </w:p>
        </w:tc>
        <w:tc>
          <w:tcPr>
            <w:tcW w:w="2900" w:type="dxa"/>
            <w:noWrap/>
          </w:tcPr>
          <w:p w14:paraId="1E9407F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Earthworms</w:t>
            </w:r>
          </w:p>
        </w:tc>
        <w:tc>
          <w:tcPr>
            <w:tcW w:w="1800" w:type="dxa"/>
            <w:noWrap/>
          </w:tcPr>
          <w:p w14:paraId="1884D4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60</w:t>
            </w:r>
          </w:p>
        </w:tc>
        <w:tc>
          <w:tcPr>
            <w:tcW w:w="1959" w:type="dxa"/>
            <w:noWrap/>
          </w:tcPr>
          <w:p w14:paraId="48F08F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63F7BBA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C8CB0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130</w:t>
            </w:r>
          </w:p>
        </w:tc>
        <w:tc>
          <w:tcPr>
            <w:tcW w:w="1909" w:type="dxa"/>
            <w:noWrap/>
          </w:tcPr>
          <w:p w14:paraId="19B3173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(2021)</w:t>
            </w:r>
          </w:p>
        </w:tc>
        <w:tc>
          <w:tcPr>
            <w:tcW w:w="682" w:type="dxa"/>
            <w:noWrap/>
          </w:tcPr>
          <w:p w14:paraId="454492D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D0078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7A1309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stover</w:t>
            </w:r>
          </w:p>
        </w:tc>
        <w:tc>
          <w:tcPr>
            <w:tcW w:w="2900" w:type="dxa"/>
            <w:noWrap/>
          </w:tcPr>
          <w:p w14:paraId="0D99832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Earthworms</w:t>
            </w:r>
          </w:p>
        </w:tc>
        <w:tc>
          <w:tcPr>
            <w:tcW w:w="1800" w:type="dxa"/>
            <w:noWrap/>
          </w:tcPr>
          <w:p w14:paraId="6683BA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120</w:t>
            </w:r>
          </w:p>
        </w:tc>
        <w:tc>
          <w:tcPr>
            <w:tcW w:w="1959" w:type="dxa"/>
            <w:noWrap/>
          </w:tcPr>
          <w:p w14:paraId="263A0C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5FDDC4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1B2FA6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130</w:t>
            </w:r>
          </w:p>
        </w:tc>
        <w:tc>
          <w:tcPr>
            <w:tcW w:w="1909" w:type="dxa"/>
            <w:noWrap/>
          </w:tcPr>
          <w:p w14:paraId="2E2FF9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Zhang et al. (2021)</w:t>
            </w:r>
          </w:p>
        </w:tc>
        <w:tc>
          <w:tcPr>
            <w:tcW w:w="682" w:type="dxa"/>
            <w:noWrap/>
          </w:tcPr>
          <w:p w14:paraId="0E9960B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57CEE6F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 manure</w:t>
            </w:r>
          </w:p>
        </w:tc>
        <w:tc>
          <w:tcPr>
            <w:tcW w:w="1805" w:type="dxa"/>
            <w:noWrap/>
          </w:tcPr>
          <w:p w14:paraId="5D139D7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Maize stover</w:t>
            </w:r>
          </w:p>
        </w:tc>
        <w:tc>
          <w:tcPr>
            <w:tcW w:w="2900" w:type="dxa"/>
            <w:noWrap/>
          </w:tcPr>
          <w:p w14:paraId="5D9A703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Earthworms</w:t>
            </w:r>
          </w:p>
        </w:tc>
        <w:tc>
          <w:tcPr>
            <w:tcW w:w="1800" w:type="dxa"/>
            <w:noWrap/>
          </w:tcPr>
          <w:p w14:paraId="12EF84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180</w:t>
            </w:r>
          </w:p>
        </w:tc>
        <w:tc>
          <w:tcPr>
            <w:tcW w:w="1959" w:type="dxa"/>
            <w:noWrap/>
          </w:tcPr>
          <w:p w14:paraId="633477D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Plastic containers</w:t>
            </w:r>
          </w:p>
        </w:tc>
      </w:tr>
      <w:tr w14:paraId="0704D0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4CA1E7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131</w:t>
            </w:r>
          </w:p>
        </w:tc>
        <w:tc>
          <w:tcPr>
            <w:tcW w:w="1909" w:type="dxa"/>
            <w:noWrap/>
          </w:tcPr>
          <w:p w14:paraId="1258F1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283369A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65370C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06D6E67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19034BD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Thermophilic compost</w:t>
            </w:r>
          </w:p>
        </w:tc>
        <w:tc>
          <w:tcPr>
            <w:tcW w:w="1800" w:type="dxa"/>
            <w:noWrap/>
          </w:tcPr>
          <w:p w14:paraId="127494B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34F6E07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57AA6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06BBEE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131</w:t>
            </w:r>
          </w:p>
        </w:tc>
        <w:tc>
          <w:tcPr>
            <w:tcW w:w="1909" w:type="dxa"/>
            <w:noWrap/>
          </w:tcPr>
          <w:p w14:paraId="488F8E4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56E338C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2300B00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0A0214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1BCE868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Mature compost</w:t>
            </w:r>
          </w:p>
        </w:tc>
        <w:tc>
          <w:tcPr>
            <w:tcW w:w="1800" w:type="dxa"/>
            <w:noWrap/>
          </w:tcPr>
          <w:p w14:paraId="4FD2B9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667DD7E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F024C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47AB21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131</w:t>
            </w:r>
          </w:p>
        </w:tc>
        <w:tc>
          <w:tcPr>
            <w:tcW w:w="1909" w:type="dxa"/>
            <w:noWrap/>
          </w:tcPr>
          <w:p w14:paraId="63D5BE5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w:t>
            </w:r>
          </w:p>
        </w:tc>
        <w:tc>
          <w:tcPr>
            <w:tcW w:w="682" w:type="dxa"/>
            <w:noWrap/>
          </w:tcPr>
          <w:p w14:paraId="49D16B6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534148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77A8E03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Cornstalk</w:t>
            </w:r>
          </w:p>
        </w:tc>
        <w:tc>
          <w:tcPr>
            <w:tcW w:w="2900" w:type="dxa"/>
            <w:noWrap/>
          </w:tcPr>
          <w:p w14:paraId="2F299C9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Thermophilic compost and mature compost</w:t>
            </w:r>
          </w:p>
        </w:tc>
        <w:tc>
          <w:tcPr>
            <w:tcW w:w="1800" w:type="dxa"/>
            <w:noWrap/>
          </w:tcPr>
          <w:p w14:paraId="6E53742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1959" w:type="dxa"/>
            <w:noWrap/>
          </w:tcPr>
          <w:p w14:paraId="0F4D252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0820D67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7C747C4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132</w:t>
            </w:r>
          </w:p>
        </w:tc>
        <w:tc>
          <w:tcPr>
            <w:tcW w:w="1909" w:type="dxa"/>
            <w:noWrap/>
          </w:tcPr>
          <w:p w14:paraId="338EA23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(2023a)</w:t>
            </w:r>
          </w:p>
        </w:tc>
        <w:tc>
          <w:tcPr>
            <w:tcW w:w="682" w:type="dxa"/>
            <w:noWrap/>
          </w:tcPr>
          <w:p w14:paraId="4922D97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367B198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117713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Waste  straw</w:t>
            </w:r>
          </w:p>
        </w:tc>
        <w:tc>
          <w:tcPr>
            <w:tcW w:w="2900" w:type="dxa"/>
            <w:noWrap/>
          </w:tcPr>
          <w:p w14:paraId="7CA4686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74619F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0BC0220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7B6587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85AE2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132</w:t>
            </w:r>
          </w:p>
        </w:tc>
        <w:tc>
          <w:tcPr>
            <w:tcW w:w="1909" w:type="dxa"/>
            <w:noWrap/>
          </w:tcPr>
          <w:p w14:paraId="1018683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(2023a)</w:t>
            </w:r>
          </w:p>
        </w:tc>
        <w:tc>
          <w:tcPr>
            <w:tcW w:w="682" w:type="dxa"/>
            <w:noWrap/>
          </w:tcPr>
          <w:p w14:paraId="168A24B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EFF4B3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0E303CE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Waste  straw</w:t>
            </w:r>
          </w:p>
        </w:tc>
        <w:tc>
          <w:tcPr>
            <w:tcW w:w="2900" w:type="dxa"/>
            <w:noWrap/>
          </w:tcPr>
          <w:p w14:paraId="3062B71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39E97D6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60D1656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4AC220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5454B5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132</w:t>
            </w:r>
          </w:p>
        </w:tc>
        <w:tc>
          <w:tcPr>
            <w:tcW w:w="1909" w:type="dxa"/>
            <w:noWrap/>
          </w:tcPr>
          <w:p w14:paraId="47A3E0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Liu et al. (2023a)</w:t>
            </w:r>
          </w:p>
        </w:tc>
        <w:tc>
          <w:tcPr>
            <w:tcW w:w="682" w:type="dxa"/>
            <w:noWrap/>
          </w:tcPr>
          <w:p w14:paraId="7DBA389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05CFD60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Cattle manure</w:t>
            </w:r>
          </w:p>
        </w:tc>
        <w:tc>
          <w:tcPr>
            <w:tcW w:w="1805" w:type="dxa"/>
            <w:noWrap/>
          </w:tcPr>
          <w:p w14:paraId="7160466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Waste  straw</w:t>
            </w:r>
          </w:p>
        </w:tc>
        <w:tc>
          <w:tcPr>
            <w:tcW w:w="2900" w:type="dxa"/>
            <w:noWrap/>
          </w:tcPr>
          <w:p w14:paraId="3BDCE78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01A77D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w:t>
            </w:r>
          </w:p>
        </w:tc>
        <w:tc>
          <w:tcPr>
            <w:tcW w:w="1959" w:type="dxa"/>
            <w:noWrap/>
          </w:tcPr>
          <w:p w14:paraId="2E1E769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Pile</w:t>
            </w:r>
          </w:p>
        </w:tc>
      </w:tr>
      <w:tr w14:paraId="4997D4F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2C3437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133</w:t>
            </w:r>
          </w:p>
        </w:tc>
        <w:tc>
          <w:tcPr>
            <w:tcW w:w="1909" w:type="dxa"/>
            <w:noWrap/>
          </w:tcPr>
          <w:p w14:paraId="2D26644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79151AF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58BA87F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4F6337A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0FD1A41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4664184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7C7F7CE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Box</w:t>
            </w:r>
          </w:p>
        </w:tc>
      </w:tr>
      <w:tr w14:paraId="02E3872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608E5E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133</w:t>
            </w:r>
          </w:p>
        </w:tc>
        <w:tc>
          <w:tcPr>
            <w:tcW w:w="1909" w:type="dxa"/>
            <w:noWrap/>
          </w:tcPr>
          <w:p w14:paraId="73C58B8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Li et al. (2023)</w:t>
            </w:r>
          </w:p>
        </w:tc>
        <w:tc>
          <w:tcPr>
            <w:tcW w:w="682" w:type="dxa"/>
            <w:noWrap/>
          </w:tcPr>
          <w:p w14:paraId="65F6680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2023</w:t>
            </w:r>
          </w:p>
        </w:tc>
        <w:tc>
          <w:tcPr>
            <w:tcW w:w="1416" w:type="dxa"/>
            <w:noWrap/>
          </w:tcPr>
          <w:p w14:paraId="4652756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Food waste</w:t>
            </w:r>
          </w:p>
        </w:tc>
        <w:tc>
          <w:tcPr>
            <w:tcW w:w="1805" w:type="dxa"/>
            <w:noWrap/>
          </w:tcPr>
          <w:p w14:paraId="112A0A8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7DBDBA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Microbial inoculants</w:t>
            </w:r>
          </w:p>
        </w:tc>
        <w:tc>
          <w:tcPr>
            <w:tcW w:w="1800" w:type="dxa"/>
            <w:noWrap/>
          </w:tcPr>
          <w:p w14:paraId="00E3574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p>
        </w:tc>
        <w:tc>
          <w:tcPr>
            <w:tcW w:w="1959" w:type="dxa"/>
            <w:noWrap/>
          </w:tcPr>
          <w:p w14:paraId="48C7B1F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Box</w:t>
            </w:r>
          </w:p>
        </w:tc>
      </w:tr>
      <w:tr w14:paraId="538949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08FC3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134</w:t>
            </w:r>
          </w:p>
        </w:tc>
        <w:tc>
          <w:tcPr>
            <w:tcW w:w="1909" w:type="dxa"/>
            <w:noWrap/>
          </w:tcPr>
          <w:p w14:paraId="1306689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(2021)</w:t>
            </w:r>
          </w:p>
        </w:tc>
        <w:tc>
          <w:tcPr>
            <w:tcW w:w="682" w:type="dxa"/>
            <w:noWrap/>
          </w:tcPr>
          <w:p w14:paraId="75A03E9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0586367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63887F9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475587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Urease inhibitor</w:t>
            </w:r>
          </w:p>
        </w:tc>
        <w:tc>
          <w:tcPr>
            <w:tcW w:w="1800" w:type="dxa"/>
            <w:noWrap/>
          </w:tcPr>
          <w:p w14:paraId="327E980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0.25</w:t>
            </w:r>
          </w:p>
        </w:tc>
        <w:tc>
          <w:tcPr>
            <w:tcW w:w="1959" w:type="dxa"/>
            <w:noWrap/>
          </w:tcPr>
          <w:p w14:paraId="01718D9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6D3AAC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4E65885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134</w:t>
            </w:r>
          </w:p>
        </w:tc>
        <w:tc>
          <w:tcPr>
            <w:tcW w:w="1909" w:type="dxa"/>
            <w:noWrap/>
          </w:tcPr>
          <w:p w14:paraId="765209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Jiang et al. (2021)</w:t>
            </w:r>
          </w:p>
        </w:tc>
        <w:tc>
          <w:tcPr>
            <w:tcW w:w="682" w:type="dxa"/>
            <w:noWrap/>
          </w:tcPr>
          <w:p w14:paraId="59AABC0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2021</w:t>
            </w:r>
          </w:p>
        </w:tc>
        <w:tc>
          <w:tcPr>
            <w:tcW w:w="1416" w:type="dxa"/>
            <w:noWrap/>
          </w:tcPr>
          <w:p w14:paraId="75C4817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865C71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01871D9">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Urease inhibitor and nitrification inhibitor</w:t>
            </w:r>
          </w:p>
        </w:tc>
        <w:tc>
          <w:tcPr>
            <w:tcW w:w="1800" w:type="dxa"/>
            <w:noWrap/>
          </w:tcPr>
          <w:p w14:paraId="4BF232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0.75</w:t>
            </w:r>
          </w:p>
        </w:tc>
        <w:tc>
          <w:tcPr>
            <w:tcW w:w="1959" w:type="dxa"/>
            <w:noWrap/>
          </w:tcPr>
          <w:p w14:paraId="01975FA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7DB6EDB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6F11C4C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135</w:t>
            </w:r>
          </w:p>
        </w:tc>
        <w:tc>
          <w:tcPr>
            <w:tcW w:w="1909" w:type="dxa"/>
            <w:noWrap/>
          </w:tcPr>
          <w:p w14:paraId="48D0759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Oliveira et al. (2020)</w:t>
            </w:r>
          </w:p>
        </w:tc>
        <w:tc>
          <w:tcPr>
            <w:tcW w:w="682" w:type="dxa"/>
            <w:noWrap/>
          </w:tcPr>
          <w:p w14:paraId="58464583">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242C7C0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07B79F1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13A0204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Dicyandiamide</w:t>
            </w:r>
          </w:p>
        </w:tc>
        <w:tc>
          <w:tcPr>
            <w:tcW w:w="1800" w:type="dxa"/>
            <w:noWrap/>
          </w:tcPr>
          <w:p w14:paraId="2204EA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0.22</w:t>
            </w:r>
          </w:p>
        </w:tc>
        <w:tc>
          <w:tcPr>
            <w:tcW w:w="1959" w:type="dxa"/>
            <w:noWrap/>
          </w:tcPr>
          <w:p w14:paraId="01934884">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41CB58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134B4FC8">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135</w:t>
            </w:r>
          </w:p>
        </w:tc>
        <w:tc>
          <w:tcPr>
            <w:tcW w:w="1909" w:type="dxa"/>
            <w:noWrap/>
          </w:tcPr>
          <w:p w14:paraId="02F01FBA">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Oliveira et al. (2020)</w:t>
            </w:r>
          </w:p>
        </w:tc>
        <w:tc>
          <w:tcPr>
            <w:tcW w:w="682" w:type="dxa"/>
            <w:noWrap/>
          </w:tcPr>
          <w:p w14:paraId="638CD155">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136308A0">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5F727906">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3A2602FD">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Dicyandiamide</w:t>
            </w:r>
          </w:p>
        </w:tc>
        <w:tc>
          <w:tcPr>
            <w:tcW w:w="1800" w:type="dxa"/>
            <w:noWrap/>
          </w:tcPr>
          <w:p w14:paraId="1A5E1DD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0.44</w:t>
            </w:r>
          </w:p>
        </w:tc>
        <w:tc>
          <w:tcPr>
            <w:tcW w:w="1959" w:type="dxa"/>
            <w:noWrap/>
          </w:tcPr>
          <w:p w14:paraId="0897B44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r w14:paraId="56F0552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noWrap/>
          </w:tcPr>
          <w:p w14:paraId="26729F87">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135</w:t>
            </w:r>
          </w:p>
        </w:tc>
        <w:tc>
          <w:tcPr>
            <w:tcW w:w="1909" w:type="dxa"/>
            <w:noWrap/>
          </w:tcPr>
          <w:p w14:paraId="3B996721">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Oliveira et al. (2020)</w:t>
            </w:r>
          </w:p>
        </w:tc>
        <w:tc>
          <w:tcPr>
            <w:tcW w:w="682" w:type="dxa"/>
            <w:noWrap/>
          </w:tcPr>
          <w:p w14:paraId="0A2E26DF">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2020</w:t>
            </w:r>
          </w:p>
        </w:tc>
        <w:tc>
          <w:tcPr>
            <w:tcW w:w="1416" w:type="dxa"/>
            <w:noWrap/>
          </w:tcPr>
          <w:p w14:paraId="6B01B32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Pig manure</w:t>
            </w:r>
          </w:p>
        </w:tc>
        <w:tc>
          <w:tcPr>
            <w:tcW w:w="1805" w:type="dxa"/>
            <w:noWrap/>
          </w:tcPr>
          <w:p w14:paraId="1E2AA94C">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Sawdust</w:t>
            </w:r>
          </w:p>
        </w:tc>
        <w:tc>
          <w:tcPr>
            <w:tcW w:w="2900" w:type="dxa"/>
            <w:noWrap/>
          </w:tcPr>
          <w:p w14:paraId="2581C4EB">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Dicyandiamide</w:t>
            </w:r>
          </w:p>
        </w:tc>
        <w:tc>
          <w:tcPr>
            <w:tcW w:w="1800" w:type="dxa"/>
            <w:noWrap/>
          </w:tcPr>
          <w:p w14:paraId="48E25B62">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0.88</w:t>
            </w:r>
          </w:p>
        </w:tc>
        <w:tc>
          <w:tcPr>
            <w:tcW w:w="1959" w:type="dxa"/>
            <w:noWrap/>
          </w:tcPr>
          <w:p w14:paraId="1B7C26FE">
            <w:pPr>
              <w:spacing w:after="0" w:line="36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Reactor</w:t>
            </w:r>
          </w:p>
        </w:tc>
      </w:tr>
    </w:tbl>
    <w:p w14:paraId="5E954BE0">
      <w:pPr>
        <w:rPr>
          <w:rFonts w:ascii="Times New Roman" w:hAnsi="Times New Roman" w:cs="Times New Roman"/>
          <w:color w:val="000000" w:themeColor="text1"/>
          <w:lang w:val="nl-BE"/>
          <w14:textFill>
            <w14:solidFill>
              <w14:schemeClr w14:val="tx1"/>
            </w14:solidFill>
          </w14:textFill>
        </w:rPr>
      </w:pPr>
    </w:p>
    <w:p w14:paraId="0D21DE6C">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lang w:val="nl-BE"/>
          <w14:textFill>
            <w14:solidFill>
              <w14:schemeClr w14:val="tx1"/>
            </w14:solidFill>
          </w14:textFill>
        </w:rPr>
        <w:t>Table S3</w:t>
      </w:r>
      <w:r>
        <w:rPr>
          <w:rFonts w:ascii="Times New Roman" w:hAnsi="Times New Roman" w:cs="Times New Roman"/>
          <w:color w:val="000000" w:themeColor="text1"/>
          <w:lang w:val="nl-BE"/>
          <w14:textFill>
            <w14:solidFill>
              <w14:schemeClr w14:val="tx1"/>
            </w14:solidFill>
          </w14:textFill>
        </w:rPr>
        <w:t xml:space="preserve"> The metadata of GHG and VOC emissions,</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val="nl-BE"/>
          <w14:textFill>
            <w14:solidFill>
              <w14:schemeClr w14:val="tx1"/>
            </w14:solidFill>
          </w14:textFill>
        </w:rPr>
        <w:t>compost physicochemical parameters, and organic fertilizer quality factors were extracted from the selected articles (135 papers) and incorporated into the present meta-analysis</w:t>
      </w:r>
    </w:p>
    <w:tbl>
      <w:tblPr>
        <w:tblStyle w:val="8"/>
        <w:tblW w:w="12449"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10"/>
        <w:gridCol w:w="3539"/>
      </w:tblGrid>
      <w:tr w14:paraId="5EDD76A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8910" w:type="dxa"/>
            <w:tcBorders>
              <w:top w:val="single" w:color="auto" w:sz="12" w:space="0"/>
              <w:bottom w:val="single" w:color="auto" w:sz="8" w:space="0"/>
            </w:tcBorders>
          </w:tcPr>
          <w:p w14:paraId="521F41A9">
            <w:pPr>
              <w:spacing w:after="0" w:line="360" w:lineRule="auto"/>
              <w:rPr>
                <w:rFonts w:ascii="Times New Roman" w:hAnsi="Times New Roman" w:cs="Times New Roman"/>
                <w:b/>
                <w:bCs/>
                <w:color w:val="000000" w:themeColor="text1"/>
                <w:sz w:val="20"/>
                <w:szCs w:val="20"/>
                <w:lang w:val="nl-BE"/>
                <w14:textFill>
                  <w14:solidFill>
                    <w14:schemeClr w14:val="tx1"/>
                  </w14:solidFill>
                </w14:textFill>
              </w:rPr>
            </w:pPr>
            <w:r>
              <w:rPr>
                <w:rFonts w:ascii="Times New Roman" w:hAnsi="Times New Roman" w:cs="Times New Roman"/>
                <w:b/>
                <w:bCs/>
                <w:color w:val="000000" w:themeColor="text1"/>
                <w:sz w:val="20"/>
                <w:szCs w:val="20"/>
                <w:lang w:val="nl-BE"/>
                <w14:textFill>
                  <w14:solidFill>
                    <w14:schemeClr w14:val="tx1"/>
                  </w14:solidFill>
                </w14:textFill>
              </w:rPr>
              <w:t>Item</w:t>
            </w:r>
          </w:p>
        </w:tc>
        <w:tc>
          <w:tcPr>
            <w:tcW w:w="3539" w:type="dxa"/>
            <w:tcBorders>
              <w:top w:val="single" w:color="auto" w:sz="12" w:space="0"/>
              <w:bottom w:val="single" w:color="auto" w:sz="8" w:space="0"/>
            </w:tcBorders>
          </w:tcPr>
          <w:p w14:paraId="03CDA6F7">
            <w:pPr>
              <w:spacing w:after="0" w:line="360" w:lineRule="auto"/>
              <w:rPr>
                <w:rFonts w:ascii="Times New Roman" w:hAnsi="Times New Roman" w:cs="Times New Roman"/>
                <w:b/>
                <w:bCs/>
                <w:color w:val="000000" w:themeColor="text1"/>
                <w:sz w:val="20"/>
                <w:szCs w:val="20"/>
                <w:lang w:val="nl-BE"/>
                <w14:textFill>
                  <w14:solidFill>
                    <w14:schemeClr w14:val="tx1"/>
                  </w14:solidFill>
                </w14:textFill>
              </w:rPr>
            </w:pPr>
            <w:r>
              <w:rPr>
                <w:rFonts w:ascii="Times New Roman" w:hAnsi="Times New Roman" w:cs="Times New Roman"/>
                <w:b/>
                <w:bCs/>
                <w:color w:val="000000" w:themeColor="text1"/>
                <w:sz w:val="20"/>
                <w:szCs w:val="20"/>
                <w:lang w:val="nl-BE"/>
                <w14:textFill>
                  <w14:solidFill>
                    <w14:schemeClr w14:val="tx1"/>
                  </w14:solidFill>
                </w14:textFill>
              </w:rPr>
              <w:t xml:space="preserve">Total of extracted observations </w:t>
            </w:r>
          </w:p>
        </w:tc>
      </w:tr>
      <w:tr w14:paraId="7863A2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8910" w:type="dxa"/>
          </w:tcPr>
          <w:p w14:paraId="3900F798">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w:t>
            </w:r>
            <w:r>
              <w:rPr>
                <w:rFonts w:ascii="Times New Roman" w:hAnsi="Times New Roman" w:cs="Times New Roman"/>
                <w:color w:val="000000" w:themeColor="text1"/>
                <w:sz w:val="20"/>
                <w:szCs w:val="20"/>
                <w:vertAlign w:val="subscript"/>
                <w14:textFill>
                  <w14:solidFill>
                    <w14:schemeClr w14:val="tx1"/>
                  </w14:solidFill>
                </w14:textFill>
              </w:rPr>
              <w:t>4</w:t>
            </w:r>
          </w:p>
        </w:tc>
        <w:tc>
          <w:tcPr>
            <w:tcW w:w="3539" w:type="dxa"/>
          </w:tcPr>
          <w:p w14:paraId="41931340">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172</w:t>
            </w:r>
          </w:p>
        </w:tc>
      </w:tr>
      <w:tr w14:paraId="40E154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8910" w:type="dxa"/>
          </w:tcPr>
          <w:p w14:paraId="6B488A6F">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w:t>
            </w:r>
            <w:r>
              <w:rPr>
                <w:rFonts w:ascii="Times New Roman" w:hAnsi="Times New Roman" w:cs="Times New Roman"/>
                <w:color w:val="000000" w:themeColor="text1"/>
                <w:sz w:val="20"/>
                <w:szCs w:val="20"/>
                <w:vertAlign w:val="subscript"/>
                <w14:textFill>
                  <w14:solidFill>
                    <w14:schemeClr w14:val="tx1"/>
                  </w14:solidFill>
                </w14:textFill>
              </w:rPr>
              <w:t>2</w:t>
            </w:r>
            <w:r>
              <w:rPr>
                <w:rFonts w:ascii="Times New Roman" w:hAnsi="Times New Roman" w:cs="Times New Roman"/>
                <w:color w:val="000000" w:themeColor="text1"/>
                <w:sz w:val="20"/>
                <w:szCs w:val="20"/>
                <w14:textFill>
                  <w14:solidFill>
                    <w14:schemeClr w14:val="tx1"/>
                  </w14:solidFill>
                </w14:textFill>
              </w:rPr>
              <w:t>O</w:t>
            </w:r>
          </w:p>
        </w:tc>
        <w:tc>
          <w:tcPr>
            <w:tcW w:w="3539" w:type="dxa"/>
          </w:tcPr>
          <w:p w14:paraId="34F6BDB2">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200</w:t>
            </w:r>
          </w:p>
        </w:tc>
      </w:tr>
      <w:tr w14:paraId="714978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trPr>
        <w:tc>
          <w:tcPr>
            <w:tcW w:w="8910" w:type="dxa"/>
          </w:tcPr>
          <w:p w14:paraId="3F458444">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NH</w:t>
            </w:r>
            <w:r>
              <w:rPr>
                <w:rFonts w:ascii="Times New Roman" w:hAnsi="Times New Roman" w:cs="Times New Roman"/>
                <w:color w:val="000000" w:themeColor="text1"/>
                <w:sz w:val="20"/>
                <w:szCs w:val="20"/>
                <w:vertAlign w:val="subscript"/>
                <w14:textFill>
                  <w14:solidFill>
                    <w14:schemeClr w14:val="tx1"/>
                  </w14:solidFill>
                </w14:textFill>
              </w:rPr>
              <w:t>3</w:t>
            </w:r>
          </w:p>
        </w:tc>
        <w:tc>
          <w:tcPr>
            <w:tcW w:w="3539" w:type="dxa"/>
          </w:tcPr>
          <w:p w14:paraId="68E4E459">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186</w:t>
            </w:r>
          </w:p>
        </w:tc>
      </w:tr>
      <w:tr w14:paraId="1F73C8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 w:hRule="atLeast"/>
        </w:trPr>
        <w:tc>
          <w:tcPr>
            <w:tcW w:w="8910" w:type="dxa"/>
          </w:tcPr>
          <w:p w14:paraId="3418E363">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CO</w:t>
            </w:r>
            <w:r>
              <w:rPr>
                <w:rFonts w:ascii="Times New Roman" w:hAnsi="Times New Roman" w:cs="Times New Roman"/>
                <w:color w:val="000000" w:themeColor="text1"/>
                <w:sz w:val="20"/>
                <w:szCs w:val="20"/>
                <w:vertAlign w:val="subscript"/>
                <w14:textFill>
                  <w14:solidFill>
                    <w14:schemeClr w14:val="tx1"/>
                  </w14:solidFill>
                </w14:textFill>
              </w:rPr>
              <w:t>2</w:t>
            </w:r>
          </w:p>
        </w:tc>
        <w:tc>
          <w:tcPr>
            <w:tcW w:w="3539" w:type="dxa"/>
          </w:tcPr>
          <w:p w14:paraId="7BDCF096">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145</w:t>
            </w:r>
          </w:p>
        </w:tc>
      </w:tr>
      <w:tr w14:paraId="1CCE132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 w:hRule="atLeast"/>
        </w:trPr>
        <w:tc>
          <w:tcPr>
            <w:tcW w:w="8910" w:type="dxa"/>
          </w:tcPr>
          <w:p w14:paraId="17B7D617">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w:t>
            </w:r>
            <w:r>
              <w:rPr>
                <w:rFonts w:ascii="Times New Roman" w:hAnsi="Times New Roman" w:cs="Times New Roman"/>
                <w:color w:val="000000" w:themeColor="text1"/>
                <w:sz w:val="20"/>
                <w:szCs w:val="20"/>
                <w:vertAlign w:val="subscript"/>
                <w14:textFill>
                  <w14:solidFill>
                    <w14:schemeClr w14:val="tx1"/>
                  </w14:solidFill>
                </w14:textFill>
              </w:rPr>
              <w:t>2</w:t>
            </w:r>
            <w:r>
              <w:rPr>
                <w:rFonts w:ascii="Times New Roman" w:hAnsi="Times New Roman" w:cs="Times New Roman"/>
                <w:color w:val="000000" w:themeColor="text1"/>
                <w:sz w:val="20"/>
                <w:szCs w:val="20"/>
                <w14:textFill>
                  <w14:solidFill>
                    <w14:schemeClr w14:val="tx1"/>
                  </w14:solidFill>
                </w14:textFill>
              </w:rPr>
              <w:t>S</w:t>
            </w:r>
          </w:p>
        </w:tc>
        <w:tc>
          <w:tcPr>
            <w:tcW w:w="3539" w:type="dxa"/>
          </w:tcPr>
          <w:p w14:paraId="6BCA9B2D">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43</w:t>
            </w:r>
          </w:p>
        </w:tc>
      </w:tr>
      <w:tr w14:paraId="59B51B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8910" w:type="dxa"/>
          </w:tcPr>
          <w:p w14:paraId="1F25DCC0">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VOCs</w:t>
            </w:r>
          </w:p>
        </w:tc>
        <w:tc>
          <w:tcPr>
            <w:tcW w:w="3539" w:type="dxa"/>
          </w:tcPr>
          <w:p w14:paraId="0C98ADB9">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22</w:t>
            </w:r>
          </w:p>
        </w:tc>
      </w:tr>
      <w:tr w14:paraId="04866C4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8910" w:type="dxa"/>
          </w:tcPr>
          <w:p w14:paraId="6149AA09">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Temperature</w:t>
            </w:r>
          </w:p>
        </w:tc>
        <w:tc>
          <w:tcPr>
            <w:tcW w:w="3539" w:type="dxa"/>
          </w:tcPr>
          <w:p w14:paraId="240AA09C">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285</w:t>
            </w:r>
          </w:p>
        </w:tc>
      </w:tr>
      <w:tr w14:paraId="1ABB41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 w:hRule="atLeast"/>
        </w:trPr>
        <w:tc>
          <w:tcPr>
            <w:tcW w:w="8910" w:type="dxa"/>
          </w:tcPr>
          <w:p w14:paraId="51DFB66D">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TOC</w:t>
            </w:r>
          </w:p>
        </w:tc>
        <w:tc>
          <w:tcPr>
            <w:tcW w:w="3539" w:type="dxa"/>
          </w:tcPr>
          <w:p w14:paraId="1574CFEE">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124</w:t>
            </w:r>
          </w:p>
        </w:tc>
      </w:tr>
      <w:tr w14:paraId="5FEEA7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 w:hRule="atLeast"/>
        </w:trPr>
        <w:tc>
          <w:tcPr>
            <w:tcW w:w="8910" w:type="dxa"/>
          </w:tcPr>
          <w:p w14:paraId="2F73A379">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C/N ratio</w:t>
            </w:r>
          </w:p>
        </w:tc>
        <w:tc>
          <w:tcPr>
            <w:tcW w:w="3539" w:type="dxa"/>
          </w:tcPr>
          <w:p w14:paraId="4C7DB430">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132</w:t>
            </w:r>
          </w:p>
        </w:tc>
      </w:tr>
      <w:tr w14:paraId="5AC0A82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8910" w:type="dxa"/>
          </w:tcPr>
          <w:p w14:paraId="6BF168B8">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TN</w:t>
            </w:r>
          </w:p>
        </w:tc>
        <w:tc>
          <w:tcPr>
            <w:tcW w:w="3539" w:type="dxa"/>
          </w:tcPr>
          <w:p w14:paraId="5A815CD6">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139</w:t>
            </w:r>
          </w:p>
        </w:tc>
      </w:tr>
      <w:tr w14:paraId="7D6BFB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 w:hRule="atLeast"/>
        </w:trPr>
        <w:tc>
          <w:tcPr>
            <w:tcW w:w="8910" w:type="dxa"/>
          </w:tcPr>
          <w:p w14:paraId="067100D1">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GI</w:t>
            </w:r>
          </w:p>
        </w:tc>
        <w:tc>
          <w:tcPr>
            <w:tcW w:w="3539" w:type="dxa"/>
          </w:tcPr>
          <w:p w14:paraId="734AFF9D">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198</w:t>
            </w:r>
          </w:p>
        </w:tc>
      </w:tr>
      <w:tr w14:paraId="6211CC3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8910" w:type="dxa"/>
          </w:tcPr>
          <w:p w14:paraId="47A1690F">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HA</w:t>
            </w:r>
          </w:p>
        </w:tc>
        <w:tc>
          <w:tcPr>
            <w:tcW w:w="3539" w:type="dxa"/>
          </w:tcPr>
          <w:p w14:paraId="063D45F5">
            <w:pPr>
              <w:spacing w:after="0" w:line="360" w:lineRule="auto"/>
              <w:rPr>
                <w:rFonts w:ascii="Times New Roman" w:hAnsi="Times New Roman" w:cs="Times New Roman"/>
                <w:bCs/>
                <w:color w:val="000000" w:themeColor="text1"/>
                <w:sz w:val="20"/>
                <w:szCs w:val="20"/>
                <w:lang w:val="nl-BE"/>
                <w14:textFill>
                  <w14:solidFill>
                    <w14:schemeClr w14:val="tx1"/>
                  </w14:solidFill>
                </w14:textFill>
              </w:rPr>
            </w:pPr>
            <w:r>
              <w:rPr>
                <w:rFonts w:ascii="Times New Roman" w:hAnsi="Times New Roman" w:cs="Times New Roman"/>
                <w:bCs/>
                <w:color w:val="000000" w:themeColor="text1"/>
                <w:sz w:val="20"/>
                <w:szCs w:val="20"/>
                <w:lang w:val="nl-BE"/>
                <w14:textFill>
                  <w14:solidFill>
                    <w14:schemeClr w14:val="tx1"/>
                  </w14:solidFill>
                </w14:textFill>
              </w:rPr>
              <w:t>37</w:t>
            </w:r>
          </w:p>
        </w:tc>
      </w:tr>
      <w:tr w14:paraId="6EC7F34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trPr>
        <w:tc>
          <w:tcPr>
            <w:tcW w:w="8910" w:type="dxa"/>
          </w:tcPr>
          <w:p w14:paraId="3268BAD3">
            <w:pPr>
              <w:spacing w:after="0" w:line="360" w:lineRule="auto"/>
              <w:rPr>
                <w:rFonts w:ascii="Times New Roman" w:hAnsi="Times New Roman" w:cs="Times New Roman"/>
                <w:b/>
                <w:bCs/>
                <w:color w:val="000000" w:themeColor="text1"/>
                <w:sz w:val="20"/>
                <w:szCs w:val="20"/>
                <w:lang w:val="nl-BE"/>
                <w14:textFill>
                  <w14:solidFill>
                    <w14:schemeClr w14:val="tx1"/>
                  </w14:solidFill>
                </w14:textFill>
              </w:rPr>
            </w:pPr>
            <w:r>
              <w:rPr>
                <w:rFonts w:ascii="Times New Roman" w:hAnsi="Times New Roman" w:cs="Times New Roman"/>
                <w:b/>
                <w:bCs/>
                <w:color w:val="000000" w:themeColor="text1"/>
                <w:sz w:val="20"/>
                <w:szCs w:val="20"/>
                <w:lang w:val="nl-BE"/>
                <w14:textFill>
                  <w14:solidFill>
                    <w14:schemeClr w14:val="tx1"/>
                  </w14:solidFill>
                </w14:textFill>
              </w:rPr>
              <w:t>The sum of observations extracted from 135 articles</w:t>
            </w:r>
          </w:p>
        </w:tc>
        <w:tc>
          <w:tcPr>
            <w:tcW w:w="3539" w:type="dxa"/>
          </w:tcPr>
          <w:p w14:paraId="74284260">
            <w:pPr>
              <w:spacing w:after="0" w:line="360" w:lineRule="auto"/>
              <w:rPr>
                <w:rFonts w:ascii="Times New Roman" w:hAnsi="Times New Roman" w:cs="Times New Roman"/>
                <w:b/>
                <w:bCs/>
                <w:color w:val="000000" w:themeColor="text1"/>
                <w:sz w:val="20"/>
                <w:szCs w:val="20"/>
                <w:lang w:val="nl-BE"/>
                <w14:textFill>
                  <w14:solidFill>
                    <w14:schemeClr w14:val="tx1"/>
                  </w14:solidFill>
                </w14:textFill>
              </w:rPr>
            </w:pPr>
            <w:r>
              <w:rPr>
                <w:rFonts w:ascii="Times New Roman" w:hAnsi="Times New Roman" w:cs="Times New Roman"/>
                <w:b/>
                <w:bCs/>
                <w:color w:val="000000" w:themeColor="text1"/>
                <w:sz w:val="20"/>
                <w:szCs w:val="20"/>
                <w:lang w:val="nl-BE"/>
                <w14:textFill>
                  <w14:solidFill>
                    <w14:schemeClr w14:val="tx1"/>
                  </w14:solidFill>
                </w14:textFill>
              </w:rPr>
              <w:t>1683</w:t>
            </w:r>
          </w:p>
        </w:tc>
      </w:tr>
    </w:tbl>
    <w:p w14:paraId="6E6E855E">
      <w:pPr>
        <w:rPr>
          <w:rFonts w:ascii="Times New Roman" w:hAnsi="Times New Roman" w:cs="Times New Roman"/>
          <w:b/>
          <w:bCs/>
          <w:color w:val="000000" w:themeColor="text1"/>
          <w:sz w:val="18"/>
          <w:szCs w:val="18"/>
          <w:lang w:val="nl-BE"/>
          <w14:textFill>
            <w14:solidFill>
              <w14:schemeClr w14:val="tx1"/>
            </w14:solidFill>
          </w14:textFill>
        </w:rPr>
      </w:pPr>
    </w:p>
    <w:p w14:paraId="2C35D0C0">
      <w:pPr>
        <w:spacing w:line="360" w:lineRule="auto"/>
        <w:jc w:val="both"/>
        <w:rPr>
          <w:rFonts w:ascii="Times New Roman" w:hAnsi="Times New Roman" w:cs="Times New Roman"/>
          <w:b/>
          <w:bCs/>
          <w:lang w:val="nl-BE"/>
        </w:rPr>
      </w:pPr>
      <w:r>
        <w:rPr>
          <w:rFonts w:ascii="Times New Roman" w:hAnsi="Times New Roman" w:cs="Times New Roman"/>
          <w:b/>
          <w:bCs/>
          <w:lang w:val="nl-BE"/>
        </w:rPr>
        <w:t xml:space="preserve"> Results and discussion</w:t>
      </w:r>
    </w:p>
    <w:p w14:paraId="3CF6F37E">
      <w:pPr>
        <w:spacing w:after="0" w:line="36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The impacts of different moderators on VOC and H</w:t>
      </w:r>
      <w:r>
        <w:rPr>
          <w:rFonts w:ascii="Times New Roman" w:hAnsi="Times New Roman" w:cs="Times New Roman"/>
          <w:b/>
          <w:bCs/>
          <w:color w:val="000000" w:themeColor="text1"/>
          <w:vertAlign w:val="subscript"/>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 xml:space="preserve">S emissions </w:t>
      </w:r>
    </w:p>
    <w:p w14:paraId="39302708">
      <w:pPr>
        <w:spacing w:line="360" w:lineRule="auto"/>
        <w:jc w:val="both"/>
        <w:rPr>
          <w:rFonts w:ascii="Times New Roman" w:hAnsi="Times New Roman" w:cs="Times New Roman"/>
          <w:b/>
          <w:bCs/>
        </w:rPr>
      </w:pPr>
    </w:p>
    <w:p w14:paraId="2821BC4D">
      <w:pPr>
        <w:spacing w:after="0" w:line="360" w:lineRule="auto"/>
        <w:jc w:val="both"/>
        <w:rPr>
          <w:rFonts w:ascii="Times New Roman" w:hAnsi="Times New Roman" w:cs="Times New Roman"/>
        </w:rPr>
      </w:pPr>
      <w:r>
        <w:rPr>
          <w:rFonts w:ascii="Times New Roman" w:hAnsi="Times New Roman" w:cs="Times New Roman"/>
        </w:rPr>
        <w:drawing>
          <wp:inline distT="0" distB="0" distL="0" distR="0">
            <wp:extent cx="7181850" cy="8867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hqprint"/>
                    <a:srcRect/>
                    <a:stretch>
                      <a:fillRect/>
                    </a:stretch>
                  </pic:blipFill>
                  <pic:spPr>
                    <a:xfrm>
                      <a:off x="0" y="0"/>
                      <a:ext cx="7181850" cy="8867775"/>
                    </a:xfrm>
                    <a:prstGeom prst="rect">
                      <a:avLst/>
                    </a:prstGeom>
                    <a:noFill/>
                    <a:ln>
                      <a:noFill/>
                    </a:ln>
                  </pic:spPr>
                </pic:pic>
              </a:graphicData>
            </a:graphic>
          </wp:inline>
        </w:drawing>
      </w:r>
      <w:r>
        <w:rPr>
          <w:rFonts w:ascii="Times New Roman" w:hAnsi="Times New Roman" w:cs="Times New Roman"/>
          <w:b/>
          <w:bCs/>
        </w:rPr>
        <w:t xml:space="preserve"> Fig. S4</w:t>
      </w:r>
      <w:r>
        <w:rPr>
          <w:rFonts w:ascii="Times New Roman" w:hAnsi="Times New Roman" w:cs="Times New Roman"/>
        </w:rPr>
        <w:t xml:space="preserve"> </w:t>
      </w:r>
      <w:r>
        <w:rPr>
          <w:rFonts w:hint="eastAsia" w:ascii="Times New Roman" w:hAnsi="Times New Roman" w:cs="Times New Roman"/>
          <w:lang w:val="en-US" w:eastAsia="zh-CN"/>
        </w:rPr>
        <w:t>I</w:t>
      </w:r>
      <w:r>
        <w:rPr>
          <w:rFonts w:ascii="Times New Roman" w:hAnsi="Times New Roman" w:cs="Times New Roman"/>
        </w:rPr>
        <w:t xml:space="preserve">mpact </w:t>
      </w:r>
      <w:r>
        <w:rPr>
          <w:rFonts w:hint="eastAsia" w:ascii="Times New Roman" w:hAnsi="Times New Roman" w:cs="Times New Roman"/>
          <w:lang w:val="en-US" w:eastAsia="zh-CN"/>
        </w:rPr>
        <w:t xml:space="preserve">of different moderators </w:t>
      </w:r>
      <w:r>
        <w:rPr>
          <w:rFonts w:ascii="Times New Roman" w:hAnsi="Times New Roman" w:cs="Times New Roman"/>
        </w:rPr>
        <w:t xml:space="preserve">on the effect size of control measures </w:t>
      </w:r>
      <w:r>
        <w:rPr>
          <w:rFonts w:hint="eastAsia" w:ascii="Times New Roman" w:hAnsi="Times New Roman" w:cs="Times New Roman"/>
          <w:lang w:val="en-US" w:eastAsia="zh-CN"/>
        </w:rPr>
        <w:t>for</w:t>
      </w:r>
      <w:r>
        <w:rPr>
          <w:rFonts w:ascii="Times New Roman" w:hAnsi="Times New Roman" w:cs="Times New Roman"/>
        </w:rPr>
        <w:t xml:space="preserve"> GHG emission reduction during composting. a–e, Orchard plot of standardized mean differences (Hedges’g) display differences among composting feedstock in effect sizes (bubbles), with effect sizes (black dots), 95% confidence intervals (bold error bars), and 95% prediction interval (thin error bars), estimated applying multivariate meta-analysis (a), Orchard plot of standardized mean differences (Hedges’g) displays differences among composting bulking agent type in effect sizes (bubbles), with effect sizes (black dots), 95% confidence intervals (bold error bars), and 95% prediction interval (thin error bars), estimated applying multivariate meta-analysis (b), Orchard plot of standardized mean differences (Hedges’ g) display differences among composting treatment type in effect sizes (bubbles), with effect sizes (black dots), 95% confidence intervals (bold error bars), and 95% prediction interval (thin error bars), estimated applying multivariate meta-analysis (c), Bubble plots display the predicted response of effect size to applied rate, with a 95% confidence interval (d), and Bubble plots display the predicted response of effect size to composting duration, with a 95% confidence interval (e) on VOC emission in response to control measures during composting. f–j, Orchard plot of standardized mean differences (Hedges’ g) display differences among composting feedstock in effect sizes (bubbles), with effect sizes (black dots), 95% confidence intervals (bold error bars), and 95% prediction interval (thin error bars), estimated applying multivariate meta-analysis (f), Orchard plot of standardized mean differences (Hedges’ g) displays differences among composting bulking agent type in effect sizes (bubbles), with effect sizes (black dots), 95% confidence intervals (bold error bars), and 95% prediction interval (thin error bars), estimated applying multivariate meta-analysis (g), Orchard plot of standardized mean differences (Hedges’ g) display differences among composting treatment type in effect sizes (bubbles), with effect sizes (black dots), 95% confidence intervals (bold error bars), and 95% prediction interval (thin error bars), estimated applying multivariate meta-analysis (h), Bubble plots display the predicted response of effect size to applied rate, with a 95% confidence interval (i), and Bubble plots display the predicted response of effect size to composting duration, with a 95% confidence interval (j) on H</w:t>
      </w:r>
      <w:r>
        <w:rPr>
          <w:rFonts w:ascii="Times New Roman" w:hAnsi="Times New Roman" w:cs="Times New Roman"/>
          <w:vertAlign w:val="subscript"/>
        </w:rPr>
        <w:t>2</w:t>
      </w:r>
      <w:r>
        <w:rPr>
          <w:rFonts w:ascii="Times New Roman" w:hAnsi="Times New Roman" w:cs="Times New Roman"/>
        </w:rPr>
        <w:t xml:space="preserve">S emission in response to control measures during composting.  </w:t>
      </w:r>
      <w:r>
        <w:rPr>
          <w:rFonts w:ascii="Times New Roman" w:hAnsi="Times New Roman" w:cs="Times New Roman"/>
          <w:i/>
          <w:iCs/>
        </w:rPr>
        <w:t>k</w:t>
      </w:r>
      <w:r>
        <w:rPr>
          <w:rFonts w:ascii="Times New Roman" w:hAnsi="Times New Roman" w:cs="Times New Roman"/>
        </w:rPr>
        <w:t xml:space="preserve"> denotes the number of effect sizes for each group; the number of articles they extracted from is in brackets. The level of significance was set at </w:t>
      </w:r>
      <w:r>
        <w:rPr>
          <w:rFonts w:ascii="Times New Roman" w:hAnsi="Times New Roman" w:cs="Times New Roman"/>
          <w:i/>
          <w:iCs/>
        </w:rPr>
        <w:t>p</w:t>
      </w:r>
      <w:r>
        <w:rPr>
          <w:rFonts w:ascii="Times New Roman" w:hAnsi="Times New Roman" w:cs="Times New Roman"/>
        </w:rPr>
        <w:t xml:space="preserve"> &lt; 0.05. The 95% CI that does not cross the zero line means a significant difference between treatment and control composting.</w:t>
      </w:r>
      <w:bookmarkStart w:id="23" w:name="_GoBack"/>
      <w:bookmarkEnd w:id="23"/>
    </w:p>
    <w:p w14:paraId="7C757C49">
      <w:pPr>
        <w:spacing w:line="24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 xml:space="preserve">Relationships between gaseous emissions and the explanatory variables of composting and organic fertilizer quality </w:t>
      </w:r>
    </w:p>
    <w:p w14:paraId="0425D0A8">
      <w:pPr>
        <w:spacing w:line="24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CH</w:t>
      </w:r>
      <w:r>
        <w:rPr>
          <w:rFonts w:ascii="Times New Roman" w:hAnsi="Times New Roman" w:cs="Times New Roman"/>
          <w:b/>
          <w:bCs/>
          <w:color w:val="000000" w:themeColor="text1"/>
          <w:vertAlign w:val="subscript"/>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 xml:space="preserve"> emission </w:t>
      </w:r>
    </w:p>
    <w:p w14:paraId="2D43E449">
      <w:pPr>
        <w:spacing w:after="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analysis of the association between temperature and the emission of CH₄ displays a weak positive correlation, demonstrated by a non-significant regression line with a relatively flat slope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0.782) (Fig. S5a). This implies that within the range of temperatures studied, there is little evidence that temperature alone is a significant determinant of CH₄ releases from composting. Besides, the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 (= 0.076) further strengthens the idea that the variability in the emission of CH₄ cannot be fully clarified by temperature variations, inferring that other parameters or interactions may be at play. On the other hand, the C/N ratio exhibits a significant positive correlation with the emission of CH₄, denoted by an apparent upward slope in the regression line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0.003) (Fig. S5b). This alludes that as the C/N ratio rises, so does CH₄ emission from composting, essentially owing to the direct involvement of the carbon source of the initial composting materials in CH</w:t>
      </w:r>
      <w:r>
        <w:rPr>
          <w:rFonts w:ascii="Times New Roman" w:hAnsi="Times New Roman" w:cs="Times New Roman"/>
          <w:color w:val="000000" w:themeColor="text1"/>
          <w:vertAlign w:val="sub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generation (Ba et al., 2020). The significant</w:t>
      </w:r>
      <w:r>
        <w:rPr>
          <w:rFonts w:ascii="Times New Roman" w:hAnsi="Times New Roman" w:cs="Times New Roman"/>
          <w:i/>
          <w:iCs/>
          <w:color w:val="000000" w:themeColor="text1"/>
          <w14:textFill>
            <w14:solidFill>
              <w14:schemeClr w14:val="tx1"/>
            </w14:solidFill>
          </w14:textFill>
        </w:rPr>
        <w:t xml:space="preserve"> Qm</w:t>
      </w:r>
      <w:r>
        <w:rPr>
          <w:rFonts w:ascii="Times New Roman" w:hAnsi="Times New Roman" w:cs="Times New Roman"/>
          <w:color w:val="000000" w:themeColor="text1"/>
          <w14:textFill>
            <w14:solidFill>
              <w14:schemeClr w14:val="tx1"/>
            </w14:solidFill>
          </w14:textFill>
        </w:rPr>
        <w:t xml:space="preserve"> </w:t>
      </w:r>
      <w:bookmarkStart w:id="15" w:name="_Hlk175557547"/>
      <w:r>
        <w:rPr>
          <w:rFonts w:ascii="Times New Roman" w:hAnsi="Times New Roman" w:cs="Times New Roman"/>
          <w:color w:val="000000" w:themeColor="text1"/>
          <w14:textFill>
            <w14:solidFill>
              <w14:schemeClr w14:val="tx1"/>
            </w14:solidFill>
          </w14:textFill>
        </w:rPr>
        <w:t>value (</w:t>
      </w:r>
      <w:bookmarkEnd w:id="15"/>
      <w:r>
        <w:rPr>
          <w:rFonts w:ascii="Times New Roman" w:hAnsi="Times New Roman" w:cs="Times New Roman"/>
          <w:color w:val="000000" w:themeColor="text1"/>
          <w14:textFill>
            <w14:solidFill>
              <w14:schemeClr w14:val="tx1"/>
            </w14:solidFill>
          </w14:textFill>
        </w:rPr>
        <w:t>= 9.121) suggests that the C/N ratio is an important moderator, affecting the heterogeneity in the emission of CH₄ from composting. A previous study found a positive correlation between CH</w:t>
      </w:r>
      <w:r>
        <w:rPr>
          <w:rFonts w:ascii="Times New Roman" w:hAnsi="Times New Roman" w:cs="Times New Roman"/>
          <w:color w:val="000000" w:themeColor="text1"/>
          <w:vertAlign w:val="sub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release and increasing C/N ratio throughout composting (Xu et al., 2021a; Zhang et al., 2021; Sun et al., 2023). </w:t>
      </w:r>
    </w:p>
    <w:p w14:paraId="22675019">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TOC presents a non-significant correlation with the emission of  CH₄ (</w:t>
      </w:r>
      <w:r>
        <w:rPr>
          <w:rFonts w:ascii="Times New Roman" w:hAnsi="Times New Roman" w:cs="Times New Roman"/>
          <w:i/>
          <w:color w:val="000000" w:themeColor="text1"/>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 xml:space="preserve">= 0.233), as signified by a near-horizontal regression line (Fig. S5c). This lack of significance means that TOC might not be a reliable predictor of CH₄ release from composting. Also, the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 (= 1.421 ) suggests some variability in the data but is not adequate to ascertain a clear pattern linking TOC to CH₄ releases during composting. This indicates that the TOC amount alone does not directly correlate with the emission of CH₄. A former study reported that TOC is broken down into monosaccharides by functional microorganisms, accompanied by organic acid production, CO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and followed by the degradation of organic acids by methanogens to emit CH</w:t>
      </w:r>
      <w:r>
        <w:rPr>
          <w:rFonts w:ascii="Times New Roman" w:hAnsi="Times New Roman" w:cs="Times New Roman"/>
          <w:color w:val="000000" w:themeColor="text1"/>
          <w:vertAlign w:val="subscript"/>
          <w14:textFill>
            <w14:solidFill>
              <w14:schemeClr w14:val="tx1"/>
            </w14:solidFill>
          </w14:textFill>
        </w:rPr>
        <w:t xml:space="preserve">4 </w:t>
      </w:r>
      <w:r>
        <w:rPr>
          <w:rFonts w:ascii="Times New Roman" w:hAnsi="Times New Roman" w:cs="Times New Roman"/>
          <w:color w:val="000000" w:themeColor="text1"/>
          <w14:textFill>
            <w14:solidFill>
              <w14:schemeClr w14:val="tx1"/>
            </w14:solidFill>
          </w14:textFill>
        </w:rPr>
        <w:t>(Wang et al., 2024).</w:t>
      </w:r>
    </w:p>
    <w:p w14:paraId="14740F89">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TN as an organic fertilizer quality factor discloses a non-significant negative correlation with the release of CH₄ (</w:t>
      </w:r>
      <w:r>
        <w:rPr>
          <w:rFonts w:ascii="Times New Roman" w:hAnsi="Times New Roman" w:cs="Times New Roman"/>
          <w:i/>
          <w:color w:val="000000" w:themeColor="text1"/>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 0.668) (Fig. S5d). The regression line slopes slightly downward; however, the influence is not strong enough to be statistically significant. The</w:t>
      </w:r>
      <w:r>
        <w:rPr>
          <w:rFonts w:ascii="Times New Roman" w:hAnsi="Times New Roman" w:cs="Times New Roman"/>
          <w:i/>
          <w:iCs/>
          <w:color w:val="000000" w:themeColor="text1"/>
          <w14:textFill>
            <w14:solidFill>
              <w14:schemeClr w14:val="tx1"/>
            </w14:solidFill>
          </w14:textFill>
        </w:rPr>
        <w:t xml:space="preserve"> Qm</w:t>
      </w:r>
      <w:r>
        <w:rPr>
          <w:rFonts w:ascii="Times New Roman" w:hAnsi="Times New Roman" w:cs="Times New Roman"/>
          <w:color w:val="000000" w:themeColor="text1"/>
          <w14:textFill>
            <w14:solidFill>
              <w14:schemeClr w14:val="tx1"/>
            </w14:solidFill>
          </w14:textFill>
        </w:rPr>
        <w:t xml:space="preserve"> value (= 0.159 ) manifests low heterogeneity, indicating that TN levels do not considerably contribute to variations in the emission of CH₄ from composting. This hints that TN content alone is not a significant driver of CH₄ releases from composting. These findings disagreed with the conclusion of a previous study, which reported that a high TN amount stimulates the generation of CH</w:t>
      </w:r>
      <w:r>
        <w:rPr>
          <w:rFonts w:ascii="Times New Roman" w:hAnsi="Times New Roman" w:cs="Times New Roman"/>
          <w:color w:val="000000" w:themeColor="text1"/>
          <w:vertAlign w:val="sub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since NH</w:t>
      </w:r>
      <w:r>
        <w:rPr>
          <w:rFonts w:ascii="Times New Roman" w:hAnsi="Times New Roman" w:cs="Times New Roman"/>
          <w:color w:val="000000" w:themeColor="text1"/>
          <w:vertAlign w:val="subscript"/>
          <w14:textFill>
            <w14:solidFill>
              <w14:schemeClr w14:val="tx1"/>
            </w14:solidFill>
          </w14:textFill>
        </w:rPr>
        <w:t>4</w:t>
      </w:r>
      <w:r>
        <w:rPr>
          <w:rFonts w:ascii="Times New Roman" w:hAnsi="Times New Roman" w:cs="Times New Roman"/>
          <w:color w:val="000000" w:themeColor="text1"/>
          <w:vertAlign w:val="superscript"/>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xml:space="preserve"> is the key N source for methanogenic bacteria (Ansari et al., 2023). On the other hand, the correlation between HA content and the emission of CH₄ emissions reveals a non-significant pattern, with an approximately flat regression line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0.813) (Fig. S5e). This denotes that compared with the control composting, HA content does not significantly affect the emission of CH₄ from composting under the applied management measures. Because the</w:t>
      </w:r>
      <w:r>
        <w:rPr>
          <w:rFonts w:ascii="Times New Roman" w:hAnsi="Times New Roman" w:cs="Times New Roman"/>
          <w:i/>
          <w:iCs/>
          <w:color w:val="000000" w:themeColor="text1"/>
          <w14:textFill>
            <w14:solidFill>
              <w14:schemeClr w14:val="tx1"/>
            </w14:solidFill>
          </w14:textFill>
        </w:rPr>
        <w:t xml:space="preserve"> Qm</w:t>
      </w:r>
      <w:r>
        <w:rPr>
          <w:rFonts w:ascii="Times New Roman" w:hAnsi="Times New Roman" w:cs="Times New Roman"/>
          <w:color w:val="000000" w:themeColor="text1"/>
          <w14:textFill>
            <w14:solidFill>
              <w14:schemeClr w14:val="tx1"/>
            </w14:solidFill>
          </w14:textFill>
        </w:rPr>
        <w:t xml:space="preserve"> value (= 0.058) is very low, it reinforces that HA does not contribute significantly to the observed variability in the emission of CH₄. This hints that while HA is an essential component of mature biofertilizers, its presence does not appear to impact CH₄ production. </w:t>
      </w:r>
    </w:p>
    <w:p w14:paraId="40C2A560">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The above findings signify that among the factors studied, only the C/N ratio exhibits a significant and positive correlation with the emission of </w:t>
      </w:r>
      <w:bookmarkStart w:id="16" w:name="OLE_LINK23"/>
      <w:bookmarkStart w:id="17" w:name="OLE_LINK24"/>
      <w:r>
        <w:rPr>
          <w:rFonts w:ascii="Times New Roman" w:hAnsi="Times New Roman" w:cs="Times New Roman"/>
          <w:color w:val="000000" w:themeColor="text1"/>
          <w14:textFill>
            <w14:solidFill>
              <w14:schemeClr w14:val="tx1"/>
            </w14:solidFill>
          </w14:textFill>
        </w:rPr>
        <w:t xml:space="preserve">CH₄ </w:t>
      </w:r>
      <w:bookmarkEnd w:id="16"/>
      <w:bookmarkEnd w:id="17"/>
      <w:r>
        <w:rPr>
          <w:rFonts w:ascii="Times New Roman" w:hAnsi="Times New Roman" w:cs="Times New Roman"/>
          <w:color w:val="000000" w:themeColor="text1"/>
          <w14:textFill>
            <w14:solidFill>
              <w14:schemeClr w14:val="tx1"/>
            </w14:solidFill>
          </w14:textFill>
        </w:rPr>
        <w:t xml:space="preserve">from composting, implying that higher C/N ratios may support conditions that lead to increased CH₄ emissions. The low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values for most factors indicate that these variables do not contribute to considerable variations in the release of CH₄ across different selected studies, directing to the possibility that other unmeasured factors or interactions may be more effective in driving CH₄ emissions from composting. These outcomes can be employed to guide composting practices by highlighting the control of the C/N ratio to minimize the emission of CH₄. At the same time, less focus might be needed on the other factors unless further interactions are identified in future research.</w:t>
      </w:r>
    </w:p>
    <w:p w14:paraId="33E2504D">
      <w:pPr>
        <w:spacing w:after="0" w:line="360" w:lineRule="auto"/>
        <w:jc w:val="both"/>
        <w:rPr>
          <w:rFonts w:ascii="Times New Roman" w:hAnsi="Times New Roman" w:cs="Times New Roman"/>
        </w:rPr>
      </w:pPr>
      <w:r>
        <w:rPr>
          <w:rFonts w:ascii="Times New Roman" w:hAnsi="Times New Roman" w:cs="Times New Roman"/>
        </w:rPr>
        <w:drawing>
          <wp:inline distT="0" distB="0" distL="0" distR="0">
            <wp:extent cx="720090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screen"/>
                    <a:stretch>
                      <a:fillRect/>
                    </a:stretch>
                  </pic:blipFill>
                  <pic:spPr>
                    <a:xfrm>
                      <a:off x="0" y="0"/>
                      <a:ext cx="7256975" cy="3264359"/>
                    </a:xfrm>
                    <a:prstGeom prst="rect">
                      <a:avLst/>
                    </a:prstGeom>
                  </pic:spPr>
                </pic:pic>
              </a:graphicData>
            </a:graphic>
          </wp:inline>
        </w:drawing>
      </w:r>
      <w:r>
        <w:rPr>
          <w:rFonts w:ascii="Times New Roman" w:hAnsi="Times New Roman" w:cs="Times New Roman"/>
          <w:b/>
          <w:bCs/>
        </w:rPr>
        <w:t>Fig. S5</w:t>
      </w:r>
      <w:r>
        <w:rPr>
          <w:rFonts w:ascii="Times New Roman" w:hAnsi="Times New Roman" w:cs="Times New Roman"/>
        </w:rPr>
        <w:t xml:space="preserve"> Relationship between temperature (a), C/N ratio (b), TOC (c), TN (d), and HA (e) and CH</w:t>
      </w:r>
      <w:r>
        <w:rPr>
          <w:rFonts w:ascii="Times New Roman" w:hAnsi="Times New Roman" w:cs="Times New Roman"/>
          <w:vertAlign w:val="subscript"/>
        </w:rPr>
        <w:t>4</w:t>
      </w:r>
      <w:r>
        <w:rPr>
          <w:rFonts w:ascii="Times New Roman" w:hAnsi="Times New Roman" w:cs="Times New Roman"/>
        </w:rPr>
        <w:t xml:space="preserve"> emission in response to applied control measures during the composting process. The dots represent observations. The regressions were made with a linear model, and the significance level was set at </w:t>
      </w:r>
      <w:r>
        <w:rPr>
          <w:rFonts w:ascii="Times New Roman" w:hAnsi="Times New Roman" w:cs="Times New Roman"/>
          <w:i/>
          <w:iCs/>
        </w:rPr>
        <w:t xml:space="preserve">p </w:t>
      </w:r>
      <w:r>
        <w:rPr>
          <w:rFonts w:ascii="Times New Roman" w:hAnsi="Times New Roman" w:cs="Times New Roman"/>
        </w:rPr>
        <w:t xml:space="preserve">&lt; 0.05. </w:t>
      </w:r>
      <w:r>
        <w:rPr>
          <w:rFonts w:ascii="Times New Roman" w:hAnsi="Times New Roman" w:cs="Times New Roman"/>
          <w:i/>
          <w:iCs/>
        </w:rPr>
        <w:t>Qm</w:t>
      </w:r>
      <w:r>
        <w:rPr>
          <w:rFonts w:ascii="Times New Roman" w:hAnsi="Times New Roman" w:cs="Times New Roman"/>
        </w:rPr>
        <w:t xml:space="preserve"> represents the heterogeneity level among the observations.</w:t>
      </w:r>
      <w:r>
        <w:rPr>
          <w:rFonts w:ascii="Times New Roman" w:hAnsi="Times New Roman" w:cs="Times New Roman"/>
          <w:i/>
          <w:iCs/>
        </w:rPr>
        <w:t xml:space="preserve"> k</w:t>
      </w:r>
      <w:r>
        <w:rPr>
          <w:rFonts w:ascii="Times New Roman" w:hAnsi="Times New Roman" w:cs="Times New Roman"/>
        </w:rPr>
        <w:t xml:space="preserve"> represents the number of effect sizes per estimate.</w:t>
      </w:r>
    </w:p>
    <w:p w14:paraId="600BE882">
      <w:pPr>
        <w:spacing w:after="0" w:line="36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N</w:t>
      </w:r>
      <w:r>
        <w:rPr>
          <w:rFonts w:ascii="Times New Roman" w:hAnsi="Times New Roman" w:cs="Times New Roman"/>
          <w:b/>
          <w:bCs/>
          <w:color w:val="000000" w:themeColor="text1"/>
          <w:vertAlign w:val="subscript"/>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 xml:space="preserve">O emission </w:t>
      </w:r>
    </w:p>
    <w:p w14:paraId="09140A71">
      <w:pPr>
        <w:spacing w:after="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Fig. S6a reveals an insignificant positive correlation between temperature and the emission of N₂O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0.716), as indicated by an upward-sloping regression line. This suggests that greater temperatures may lead to increased N₂O releases from composting. The value (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 0.133 ) shows that temperature is not a considerable moderator of N₂O releases from composting.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is not released significantly at the thermophilic level because nitrification is insignificant at temperatures over 40</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ascii="Times New Roman" w:hAnsi="Times New Roman" w:cs="Times New Roman"/>
          <w:color w:val="000000" w:themeColor="text1"/>
          <w:vertAlign w:val="superscript"/>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 (Bernal et al., 2017; Li et al., 2020). However, our findings regarding the relation between temperature and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O release contrast with the meta-analysis observations of Ba et al. (2020). </w:t>
      </w:r>
    </w:p>
    <w:p w14:paraId="43FEEC19">
      <w:pPr>
        <w:spacing w:after="0" w:line="360" w:lineRule="auto"/>
        <w:ind w:firstLine="288"/>
        <w:jc w:val="both"/>
        <w:rPr>
          <w:rFonts w:ascii="Times New Roman" w:hAnsi="Times New Roman" w:cs="Times New Roman"/>
          <w:color w:val="000000" w:themeColor="text1"/>
          <w14:textFill>
            <w14:solidFill>
              <w14:schemeClr w14:val="tx1"/>
            </w14:solidFill>
          </w14:textFill>
        </w:rPr>
      </w:pPr>
      <w:bookmarkStart w:id="18" w:name="_Hlk163121411"/>
      <w:r>
        <w:rPr>
          <w:rFonts w:ascii="Times New Roman" w:hAnsi="Times New Roman" w:cs="Times New Roman"/>
          <w:color w:val="000000" w:themeColor="text1"/>
          <w14:textFill>
            <w14:solidFill>
              <w14:schemeClr w14:val="tx1"/>
            </w14:solidFill>
          </w14:textFill>
        </w:rPr>
        <w:t>The C/N ratio displays a significant positive correlation with the release of N₂O, as seen in the slightly upward-sloping regression line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&lt; 0.009) (Fig. S6b). While the association is statistically significant, the trend suggests that higher C/N ratios might be associated with higher N₂O releases.</w:t>
      </w:r>
    </w:p>
    <w:p w14:paraId="544918FD">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The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w:t>
      </w:r>
      <w:bookmarkStart w:id="19" w:name="_Hlk163120938"/>
      <w:r>
        <w:rPr>
          <w:rFonts w:ascii="Times New Roman" w:hAnsi="Times New Roman" w:cs="Times New Roman"/>
          <w:color w:val="000000" w:themeColor="text1"/>
          <w14:textFill>
            <w14:solidFill>
              <w14:schemeClr w14:val="tx1"/>
            </w14:solidFill>
          </w14:textFill>
        </w:rPr>
        <w:t>value (= 6.781) indicates that the C/N ratio is a significant moderator of N₂O emissions. Increasing C/N ratios can enrich N availability, promoting nitrification and subsequent N₂O generation, probably because the denitrifiers, as heterotrophic microbes, strongly depend on the C/N ratio for energy and activity (Ba et al., 2020; Wang et al., 2022).</w:t>
      </w:r>
      <w:bookmarkEnd w:id="19"/>
      <w:r>
        <w:rPr>
          <w:rFonts w:ascii="Times New Roman" w:hAnsi="Times New Roman" w:cs="Times New Roman"/>
          <w:color w:val="000000" w:themeColor="text1"/>
          <w14:textFill>
            <w14:solidFill>
              <w14:schemeClr w14:val="tx1"/>
            </w14:solidFill>
          </w14:textFill>
        </w:rPr>
        <w:t xml:space="preserve">  </w:t>
      </w:r>
    </w:p>
    <w:bookmarkEnd w:id="18"/>
    <w:p w14:paraId="1A04DEFE">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TOC donates a non-significant negative correlation with the emission of N₂O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0.199), revealed by a slightly downward-sloping regression line (Fig. S6c). This indicates that higher TOC amounts might be associated with decreased N₂O releases, although the impact is not statistically significant. The</w:t>
      </w:r>
      <w:r>
        <w:rPr>
          <w:rFonts w:ascii="Times New Roman" w:hAnsi="Times New Roman" w:cs="Times New Roman"/>
          <w:i/>
          <w:iCs/>
          <w:color w:val="000000" w:themeColor="text1"/>
          <w14:textFill>
            <w14:solidFill>
              <w14:schemeClr w14:val="tx1"/>
            </w14:solidFill>
          </w14:textFill>
        </w:rPr>
        <w:t xml:space="preserve"> Qm</w:t>
      </w:r>
      <w:r>
        <w:rPr>
          <w:rFonts w:ascii="Times New Roman" w:hAnsi="Times New Roman" w:cs="Times New Roman"/>
          <w:color w:val="000000" w:themeColor="text1"/>
          <w14:textFill>
            <w14:solidFill>
              <w14:schemeClr w14:val="tx1"/>
            </w14:solidFill>
          </w14:textFill>
        </w:rPr>
        <w:t xml:space="preserve"> value  (= 1.647)  signifies some heterogeneity, meaning that the TOC impact on the emission of N₂O is variable across the selected studies. With more available TOC, there can be an increase in N immobilization. Microbes may use the excess TOC to absorb N into their biomass, decreasing the N available for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O-generating reactions. This can lead to a decline in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releases (Bernal et al., 2017; Abdellah et al., 2022a). On the other hand, TN displays a significant negative correlation with the emission of N₂O, as signified by a downward-sloping regression line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0.006) (Fig. S6d). A higher TN content is associated with decreased N₂O releases from composting. The</w:t>
      </w:r>
      <w:r>
        <w:rPr>
          <w:rFonts w:ascii="Times New Roman" w:hAnsi="Times New Roman" w:cs="Times New Roman"/>
          <w:i/>
          <w:iCs/>
          <w:color w:val="000000" w:themeColor="text1"/>
          <w14:textFill>
            <w14:solidFill>
              <w14:schemeClr w14:val="tx1"/>
            </w14:solidFill>
          </w14:textFill>
        </w:rPr>
        <w:t xml:space="preserve"> Qm</w:t>
      </w:r>
      <w:r>
        <w:rPr>
          <w:rFonts w:ascii="Times New Roman" w:hAnsi="Times New Roman" w:cs="Times New Roman"/>
          <w:color w:val="000000" w:themeColor="text1"/>
          <w14:textFill>
            <w14:solidFill>
              <w14:schemeClr w14:val="tx1"/>
            </w14:solidFill>
          </w14:textFill>
        </w:rPr>
        <w:t xml:space="preserve"> value (= 7.518) reveals that TN is a significant moderator, contributing to variations in the emission of N₂O during composting. A higher TN amount in compost can lead to a more favorable C/N ratio. When the C/N ratio is optimized, it decreases the availability of C substrates for denitrifying microbes. Denitrification is one of the main processes that can generate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With less available C, denitrifying microbes have less energy to carry out the denitrification process, thereby decreasing the emission of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(Ba et al., 2020). Denitrification stimulates the emission of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from composting.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release causes TN loss and substantially exaggerates global warming potential, instigating severe impacts on glaciers, crops, and public health (Wang et al., 2024). On the other hand, HA discloses a significant correlation with N₂O emissions, a distinctly downward-sloping regression line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0.026) (Fig. S6e). This implies that variations in HA content significantly shape the emission of N₂O from composting. The</w:t>
      </w:r>
      <w:r>
        <w:rPr>
          <w:rFonts w:ascii="Times New Roman" w:hAnsi="Times New Roman" w:cs="Times New Roman"/>
          <w:i/>
          <w:iCs/>
          <w:color w:val="000000" w:themeColor="text1"/>
          <w14:textFill>
            <w14:solidFill>
              <w14:schemeClr w14:val="tx1"/>
            </w14:solidFill>
          </w14:textFill>
        </w:rPr>
        <w:t xml:space="preserve"> Qm</w:t>
      </w:r>
      <w:r>
        <w:rPr>
          <w:rFonts w:ascii="Times New Roman" w:hAnsi="Times New Roman" w:cs="Times New Roman"/>
          <w:color w:val="000000" w:themeColor="text1"/>
          <w14:textFill>
            <w14:solidFill>
              <w14:schemeClr w14:val="tx1"/>
            </w14:solidFill>
          </w14:textFill>
        </w:rPr>
        <w:t xml:space="preserve"> value (= 4.938) supports the idea that HA does contribute significantly to the variability in N₂O releases. HA can bind with N compounds. This binding can improve N immobilization, decreasing its availability for processes that generate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For example, N can be tightly bound to HA, making it less available for denitrification, which is one of the critical processes that can generate N</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O (Abdellah et al., 2022a).</w:t>
      </w:r>
    </w:p>
    <w:p w14:paraId="7038BB70">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The above findings highlight the importance of managing the C/N ratio, TN, and HA within composting to mitigate the emission of N₂O. They also propose that considering the TOC ratio may be valuable, although its impacts are less conclusive. </w:t>
      </w:r>
    </w:p>
    <w:p w14:paraId="04DA1BD7">
      <w:pPr>
        <w:spacing w:after="0" w:line="360" w:lineRule="auto"/>
        <w:jc w:val="both"/>
        <w:rPr>
          <w:rFonts w:ascii="Times New Roman" w:hAnsi="Times New Roman" w:cs="Times New Roman"/>
        </w:rPr>
      </w:pPr>
      <w:r>
        <w:rPr>
          <w:rFonts w:ascii="Times New Roman" w:hAnsi="Times New Roman" w:cs="Times New Roman"/>
          <w:b/>
          <w:bCs/>
        </w:rPr>
        <w:drawing>
          <wp:inline distT="0" distB="0" distL="0" distR="0">
            <wp:extent cx="7153275" cy="3234055"/>
            <wp:effectExtent l="0" t="0" r="952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stretch>
                      <a:fillRect/>
                    </a:stretch>
                  </pic:blipFill>
                  <pic:spPr>
                    <a:xfrm>
                      <a:off x="0" y="0"/>
                      <a:ext cx="7154246" cy="3234494"/>
                    </a:xfrm>
                    <a:prstGeom prst="rect">
                      <a:avLst/>
                    </a:prstGeom>
                  </pic:spPr>
                </pic:pic>
              </a:graphicData>
            </a:graphic>
          </wp:inline>
        </w:drawing>
      </w:r>
      <w:r>
        <w:rPr>
          <w:rFonts w:ascii="Times New Roman" w:hAnsi="Times New Roman" w:cs="Times New Roman"/>
          <w:b/>
          <w:bCs/>
        </w:rPr>
        <w:t>Fig. S6</w:t>
      </w:r>
      <w:r>
        <w:rPr>
          <w:rFonts w:ascii="Times New Roman" w:hAnsi="Times New Roman" w:cs="Times New Roman"/>
        </w:rPr>
        <w:t xml:space="preserve"> Relationship between temperature (a), C/N ratio (b), TOC (c), TN (d), and HA (e), and N</w:t>
      </w:r>
      <w:r>
        <w:rPr>
          <w:rFonts w:ascii="Times New Roman" w:hAnsi="Times New Roman" w:cs="Times New Roman"/>
          <w:vertAlign w:val="subscript"/>
        </w:rPr>
        <w:t>2</w:t>
      </w:r>
      <w:r>
        <w:rPr>
          <w:rFonts w:ascii="Times New Roman" w:hAnsi="Times New Roman" w:cs="Times New Roman"/>
        </w:rPr>
        <w:t xml:space="preserve">O emission in response to applied control measures during the composting process. The dots represent observations. The regressions were made with a linear model, and the significance level was set at </w:t>
      </w:r>
      <w:r>
        <w:rPr>
          <w:rFonts w:ascii="Times New Roman" w:hAnsi="Times New Roman" w:cs="Times New Roman"/>
          <w:i/>
          <w:iCs/>
        </w:rPr>
        <w:t>p</w:t>
      </w:r>
      <w:r>
        <w:rPr>
          <w:rFonts w:ascii="Times New Roman" w:hAnsi="Times New Roman" w:cs="Times New Roman"/>
        </w:rPr>
        <w:t xml:space="preserve"> &lt; 0.05. </w:t>
      </w:r>
      <w:r>
        <w:rPr>
          <w:rFonts w:ascii="Times New Roman" w:hAnsi="Times New Roman" w:cs="Times New Roman"/>
          <w:i/>
          <w:iCs/>
        </w:rPr>
        <w:t>Qm</w:t>
      </w:r>
      <w:r>
        <w:rPr>
          <w:rFonts w:ascii="Times New Roman" w:hAnsi="Times New Roman" w:cs="Times New Roman"/>
        </w:rPr>
        <w:t xml:space="preserve"> represents the heterogeneity level among the observations.</w:t>
      </w:r>
      <w:r>
        <w:rPr>
          <w:rFonts w:ascii="Times New Roman" w:hAnsi="Times New Roman" w:cs="Times New Roman"/>
          <w:i/>
          <w:iCs/>
        </w:rPr>
        <w:t xml:space="preserve"> k</w:t>
      </w:r>
      <w:r>
        <w:rPr>
          <w:rFonts w:ascii="Times New Roman" w:hAnsi="Times New Roman" w:cs="Times New Roman"/>
        </w:rPr>
        <w:t xml:space="preserve"> represents the number of effect sizes per estimate.</w:t>
      </w:r>
    </w:p>
    <w:p w14:paraId="7C72C93F">
      <w:pPr>
        <w:spacing w:after="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NH</w:t>
      </w:r>
      <w:r>
        <w:rPr>
          <w:rFonts w:ascii="Times New Roman" w:hAnsi="Times New Roman" w:cs="Times New Roman"/>
          <w:b/>
          <w:bCs/>
          <w:color w:val="000000" w:themeColor="text1"/>
          <w:vertAlign w:val="subscript"/>
          <w14:textFill>
            <w14:solidFill>
              <w14:schemeClr w14:val="tx1"/>
            </w14:solidFill>
          </w14:textFill>
        </w:rPr>
        <w:t>3</w:t>
      </w:r>
      <w:r>
        <w:rPr>
          <w:rFonts w:ascii="Times New Roman" w:hAnsi="Times New Roman" w:cs="Times New Roman"/>
          <w:b/>
          <w:bCs/>
          <w:color w:val="000000" w:themeColor="text1"/>
          <w14:textFill>
            <w14:solidFill>
              <w14:schemeClr w14:val="tx1"/>
            </w14:solidFill>
          </w14:textFill>
        </w:rPr>
        <w:t xml:space="preserve"> emission </w:t>
      </w:r>
    </w:p>
    <w:p w14:paraId="5FE2649F">
      <w:pPr>
        <w:spacing w:after="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correlation between temperature and NH₃ releases is depicted as insignificant (</w:t>
      </w:r>
      <w:r>
        <w:rPr>
          <w:rFonts w:ascii="Times New Roman" w:hAnsi="Times New Roman" w:cs="Times New Roman"/>
          <w:i/>
          <w:color w:val="000000" w:themeColor="text1"/>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 xml:space="preserve">= 0.571), with a </w:t>
      </w:r>
      <w:r>
        <w:rPr>
          <w:rFonts w:ascii="Times New Roman" w:hAnsi="Times New Roman" w:cs="Times New Roman"/>
          <w:i/>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 of 0.322 demonstrating low heterogeneity (Fig.S7a). The regression line is virtually uneven, implying a negligible positive impact of temperature on the emission of NH₃. This result agrees with general expectations that greater temperatures might escalate NH₃ releases owing to enhanced microbial activity and volatilization throughout composting (Awasthi et al., 2017; Ansari et al., 2023; Çinar et al., 2023). However, former studies report that temperature alone may not be a strong predictor of NH₃ emissions unless coupled with other factors like moisture content and composting mixture decomposition rate (Bernal et al., 2017; Abdellah et al., 2022a).</w:t>
      </w:r>
    </w:p>
    <w:p w14:paraId="7A941160">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C/N ratio presents a significant correlation with the emission of NH₃ (</w:t>
      </w:r>
      <w:r>
        <w:rPr>
          <w:rFonts w:ascii="Times New Roman" w:hAnsi="Times New Roman" w:cs="Times New Roman"/>
          <w:i/>
          <w:color w:val="000000" w:themeColor="text1"/>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 xml:space="preserve">= 0.013), with a </w:t>
      </w:r>
      <w:r>
        <w:rPr>
          <w:rFonts w:ascii="Times New Roman" w:hAnsi="Times New Roman" w:cs="Times New Roman"/>
          <w:i/>
          <w:color w:val="000000" w:themeColor="text1"/>
          <w14:textFill>
            <w14:solidFill>
              <w14:schemeClr w14:val="tx1"/>
            </w14:solidFill>
          </w14:textFill>
        </w:rPr>
        <w:t xml:space="preserve">Qm </w:t>
      </w:r>
      <w:r>
        <w:rPr>
          <w:rFonts w:ascii="Times New Roman" w:hAnsi="Times New Roman" w:cs="Times New Roman"/>
          <w:color w:val="000000" w:themeColor="text1"/>
          <w14:textFill>
            <w14:solidFill>
              <w14:schemeClr w14:val="tx1"/>
            </w14:solidFill>
          </w14:textFill>
        </w:rPr>
        <w:t>value of 6.145 denoting moderate heterogeneity (Fig. S7b). The slope of the regression line indicates that as the C/N ratio rises, NH₃ releases increase. A higher C/N ratio typically increases the release of NH₃ from composting, in agreement with a former meta-analysis which reported that the C/N ratio significantly affected 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 release during composting (Ansari et al., 2023). Besides, Bernal et al. (Bernal et al., 2017) reported that the C/N ratio is the critical parameter affecting the volatilization of 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 during the first days of composting. Accordingly, regardless of applying control measures, manipulating the initial C: N ratio can be a modus for decreasing 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 release substantively throughout composting. Meanwhile, TOC does not illustrate a significant correlation with the emission of NH₃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0.113), and the </w:t>
      </w:r>
      <w:r>
        <w:rPr>
          <w:rFonts w:ascii="Times New Roman" w:hAnsi="Times New Roman" w:cs="Times New Roman"/>
          <w:i/>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 of 2.514 suggests moderate heterogeneity (Fig. S7c). The regression line is comparatively flat. TOC might not directly impact NH₃ production, as it represents the total amount of organic matter but not its bioavailability or breakdown rate. Previous studies hint that while TOC is a critical parameter in composting, its impact on the release of NH₃ may be overshadowed by other parameters, such as the C/N ratio and composting conditions (Awasthi et al., 2017; Li et al., 2020; Zhang et al., 2021).  </w:t>
      </w:r>
    </w:p>
    <w:p w14:paraId="3B7921D6">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TN has a significant negative correlation with the emission of NH₃ (</w:t>
      </w:r>
      <w:r>
        <w:rPr>
          <w:rFonts w:ascii="Times New Roman" w:hAnsi="Times New Roman" w:cs="Times New Roman"/>
          <w:i/>
          <w:color w:val="000000" w:themeColor="text1"/>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 xml:space="preserve">= 0.0209), with a </w:t>
      </w:r>
      <w:r>
        <w:rPr>
          <w:rFonts w:ascii="Times New Roman" w:hAnsi="Times New Roman" w:cs="Times New Roman"/>
          <w:i/>
          <w:color w:val="000000" w:themeColor="text1"/>
          <w14:textFill>
            <w14:solidFill>
              <w14:schemeClr w14:val="tx1"/>
            </w14:solidFill>
          </w14:textFill>
        </w:rPr>
        <w:t xml:space="preserve">Qm </w:t>
      </w:r>
      <w:r>
        <w:rPr>
          <w:rFonts w:ascii="Times New Roman" w:hAnsi="Times New Roman" w:cs="Times New Roman"/>
          <w:color w:val="000000" w:themeColor="text1"/>
          <w14:textFill>
            <w14:solidFill>
              <w14:schemeClr w14:val="tx1"/>
            </w14:solidFill>
          </w14:textFill>
        </w:rPr>
        <w:t>value of 1.58, demonstrating low heterogeneity (Fig. S7d). The regression slope explains that as TN escalates, NH₃ emissions reduce. This outcome might seem counterintuitive since greater TN is often correlated with increased NH₃ generation owing to the availability of N for volatilization (Li et al., 2020). Nevertheless, this finding could indicate that with effective control measures (e.g., biochar addition, optimized aeration), the emission of NH₃ can be controlled even with higher TN levels. Simultaneously, HA unveils a significant negative correlation with the emission of NH₃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0.003), with a </w:t>
      </w:r>
      <w:r>
        <w:rPr>
          <w:rFonts w:ascii="Times New Roman" w:hAnsi="Times New Roman" w:cs="Times New Roman"/>
          <w:i/>
          <w:color w:val="000000" w:themeColor="text1"/>
          <w14:textFill>
            <w14:solidFill>
              <w14:schemeClr w14:val="tx1"/>
            </w14:solidFill>
          </w14:textFill>
        </w:rPr>
        <w:t xml:space="preserve">Qm </w:t>
      </w:r>
      <w:r>
        <w:rPr>
          <w:rFonts w:ascii="Times New Roman" w:hAnsi="Times New Roman" w:cs="Times New Roman"/>
          <w:color w:val="000000" w:themeColor="text1"/>
          <w14:textFill>
            <w14:solidFill>
              <w14:schemeClr w14:val="tx1"/>
            </w14:solidFill>
          </w14:textFill>
        </w:rPr>
        <w:t xml:space="preserve">value of 8.708, revealing high heterogeneity (Fig. S7e).  The regression slope shows that as HA increases, NH₃ releases reduce. Humic substances like HA can bind to NH₃, decreasing its volatilization from composting. This aligns with a study displaying that the supplement of humic substances or the formation of humic-like substances throughout composting can assist in reducing N losses as NH₃ (Zhang et al., 2021; Abdellah et al., 2022a). </w:t>
      </w:r>
    </w:p>
    <w:p w14:paraId="69E9726A">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The outcomes mentioned above underline the complex interactions between composting parameters and the emission of NH₃. The significant correlation for the C/N ratio, TN, and HA implies that these parameters play crucial roles in shaping NH₃ emissions, with implications for compost management practices. For example, adjusting the C/N ratio and integrating humic substances may be efficient measures to mitigate the emission of NH₃ from composting. Nonetheless, the </w:t>
      </w:r>
      <w:r>
        <w:rPr>
          <w:rFonts w:ascii="Times New Roman" w:hAnsi="Times New Roman" w:cs="Times New Roman"/>
          <w:i/>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values reveal that these correlations can differ across the selected studies, potentially attributable to differences in composting conditions, feedstock properties, and control practices applied.</w:t>
      </w:r>
    </w:p>
    <w:p w14:paraId="34F29F6E">
      <w:pPr>
        <w:spacing w:after="0" w:line="360" w:lineRule="auto"/>
        <w:jc w:val="both"/>
        <w:rPr>
          <w:rFonts w:ascii="Times New Roman" w:hAnsi="Times New Roman" w:cs="Times New Roman"/>
        </w:rPr>
      </w:pPr>
      <w:r>
        <w:rPr>
          <w:rFonts w:ascii="Times New Roman" w:hAnsi="Times New Roman" w:cs="Times New Roman"/>
          <w:b/>
          <w:bCs/>
        </w:rPr>
        <w:drawing>
          <wp:inline distT="0" distB="0" distL="0" distR="0">
            <wp:extent cx="7048500" cy="3166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cstate="print"/>
                    <a:stretch>
                      <a:fillRect/>
                    </a:stretch>
                  </pic:blipFill>
                  <pic:spPr>
                    <a:xfrm>
                      <a:off x="0" y="0"/>
                      <a:ext cx="7048500" cy="3166745"/>
                    </a:xfrm>
                    <a:prstGeom prst="rect">
                      <a:avLst/>
                    </a:prstGeom>
                  </pic:spPr>
                </pic:pic>
              </a:graphicData>
            </a:graphic>
          </wp:inline>
        </w:drawing>
      </w:r>
      <w:r>
        <w:rPr>
          <w:rFonts w:ascii="Times New Roman" w:hAnsi="Times New Roman" w:cs="Times New Roman"/>
          <w:b/>
          <w:bCs/>
        </w:rPr>
        <w:t>Fig. S7</w:t>
      </w:r>
      <w:r>
        <w:rPr>
          <w:rFonts w:ascii="Times New Roman" w:hAnsi="Times New Roman" w:cs="Times New Roman"/>
        </w:rPr>
        <w:t xml:space="preserve"> Relationship between temperature (a), C/N ratio (b), TOC (c), TN (d), and HA (e), and NH</w:t>
      </w:r>
      <w:r>
        <w:rPr>
          <w:rFonts w:ascii="Times New Roman" w:hAnsi="Times New Roman" w:cs="Times New Roman"/>
          <w:vertAlign w:val="subscript"/>
        </w:rPr>
        <w:t>3</w:t>
      </w:r>
      <w:r>
        <w:rPr>
          <w:rFonts w:ascii="Times New Roman" w:hAnsi="Times New Roman" w:cs="Times New Roman"/>
        </w:rPr>
        <w:t xml:space="preserve"> emission in response to applied control measures during the composting process. The dots represent observations. The regressions were made with a linear model, and the significance level was set at </w:t>
      </w:r>
      <w:r>
        <w:rPr>
          <w:rFonts w:ascii="Times New Roman" w:hAnsi="Times New Roman" w:cs="Times New Roman"/>
          <w:i/>
          <w:iCs/>
        </w:rPr>
        <w:t xml:space="preserve">p </w:t>
      </w:r>
      <w:r>
        <w:rPr>
          <w:rFonts w:ascii="Times New Roman" w:hAnsi="Times New Roman" w:cs="Times New Roman"/>
        </w:rPr>
        <w:t xml:space="preserve">&lt; 0.05. </w:t>
      </w:r>
      <w:r>
        <w:rPr>
          <w:rFonts w:ascii="Times New Roman" w:hAnsi="Times New Roman" w:cs="Times New Roman"/>
          <w:i/>
          <w:iCs/>
        </w:rPr>
        <w:t>Qm</w:t>
      </w:r>
      <w:r>
        <w:rPr>
          <w:rFonts w:ascii="Times New Roman" w:hAnsi="Times New Roman" w:cs="Times New Roman"/>
        </w:rPr>
        <w:t xml:space="preserve"> represents the heterogeneity level among the observations.</w:t>
      </w:r>
      <w:r>
        <w:rPr>
          <w:rFonts w:ascii="Times New Roman" w:hAnsi="Times New Roman" w:cs="Times New Roman"/>
          <w:i/>
          <w:iCs/>
        </w:rPr>
        <w:t xml:space="preserve"> k</w:t>
      </w:r>
      <w:r>
        <w:rPr>
          <w:rFonts w:ascii="Times New Roman" w:hAnsi="Times New Roman" w:cs="Times New Roman"/>
        </w:rPr>
        <w:t xml:space="preserve"> represents the number of effect sizes per estimate.</w:t>
      </w:r>
    </w:p>
    <w:p w14:paraId="38EAE667">
      <w:pPr>
        <w:spacing w:after="0" w:line="36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CO</w:t>
      </w:r>
      <w:r>
        <w:rPr>
          <w:rFonts w:ascii="Times New Roman" w:hAnsi="Times New Roman" w:cs="Times New Roman"/>
          <w:b/>
          <w:bCs/>
          <w:color w:val="000000" w:themeColor="text1"/>
          <w:vertAlign w:val="subscript"/>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 xml:space="preserve"> emission </w:t>
      </w:r>
    </w:p>
    <w:p w14:paraId="168D985E">
      <w:pPr>
        <w:spacing w:after="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relationship between temperature and CO₂ emissions is insignificant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0.0496), and the </w:t>
      </w:r>
      <w:r>
        <w:rPr>
          <w:rFonts w:ascii="Times New Roman" w:hAnsi="Times New Roman" w:cs="Times New Roman"/>
          <w:i/>
          <w:color w:val="000000" w:themeColor="text1"/>
          <w14:textFill>
            <w14:solidFill>
              <w14:schemeClr w14:val="tx1"/>
            </w14:solidFill>
          </w14:textFill>
        </w:rPr>
        <w:t xml:space="preserve">Qm </w:t>
      </w:r>
      <w:r>
        <w:rPr>
          <w:rFonts w:ascii="Times New Roman" w:hAnsi="Times New Roman" w:cs="Times New Roman"/>
          <w:color w:val="000000" w:themeColor="text1"/>
          <w14:textFill>
            <w14:solidFill>
              <w14:schemeClr w14:val="tx1"/>
            </w14:solidFill>
          </w14:textFill>
        </w:rPr>
        <w:t xml:space="preserve">value of 0.464 indicates low heterogeneity (Fig. </w:t>
      </w:r>
      <w:bookmarkStart w:id="20" w:name="_Hlk183597075"/>
      <w:r>
        <w:rPr>
          <w:rFonts w:ascii="Times New Roman" w:hAnsi="Times New Roman" w:cs="Times New Roman"/>
          <w:color w:val="000000" w:themeColor="text1"/>
          <w14:textFill>
            <w14:solidFill>
              <w14:schemeClr w14:val="tx1"/>
            </w14:solidFill>
          </w14:textFill>
        </w:rPr>
        <w:t>S</w:t>
      </w:r>
      <w:bookmarkEnd w:id="20"/>
      <w:r>
        <w:rPr>
          <w:rFonts w:ascii="Times New Roman" w:hAnsi="Times New Roman" w:cs="Times New Roman"/>
          <w:color w:val="000000" w:themeColor="text1"/>
          <w14:textFill>
            <w14:solidFill>
              <w14:schemeClr w14:val="tx1"/>
            </w14:solidFill>
          </w14:textFill>
        </w:rPr>
        <w:t>8a). The regression line displays a statistically significant downward trend. Temperature is critical in composting as it impacts microbial activity, which drives TOC degradation and CO₂ generation. Interestingly, this finding reveals that within the range of temperatures studied, a significant correlation was found with the emitted CO₂ from composting. This could be because composting naturally adjusts microbial activity within a broad temperature span, leading to extensive CO₂ releases from composting. Previous studies have revealed that a positive correlation is usually noticed between temperature and emissions of CO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where a greater release rate was documented with elevated temperatures and, more precisely, in the thermophilic period (Sayara &amp; Sánchez, 2021). This phenomenon is expected as the considerable organic matter degradation by functional microorganisms into utilizable units for other microbes is accompanied by CO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 release during mesophilic and thermophilic stages of composting</w:t>
      </w:r>
      <w:r>
        <w:rPr>
          <w:rFonts w:ascii="Times New Roman" w:hAnsi="Times New Roman" w:cs="Times New Roman"/>
          <w:color w:val="000000" w:themeColor="text1"/>
          <w:vertAlign w:val="subscript"/>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(Wang et al., 2024). </w:t>
      </w:r>
    </w:p>
    <w:p w14:paraId="7BACF1B2">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C/N ratio discloses a significant correlation with the emission of CO₂ (</w:t>
      </w:r>
      <w:r>
        <w:rPr>
          <w:rFonts w:ascii="Times New Roman" w:hAnsi="Times New Roman" w:cs="Times New Roman"/>
          <w:i/>
          <w:color w:val="000000" w:themeColor="text1"/>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 xml:space="preserve">= 0.023), with a </w:t>
      </w:r>
      <w:r>
        <w:rPr>
          <w:rFonts w:ascii="Times New Roman" w:hAnsi="Times New Roman" w:cs="Times New Roman"/>
          <w:i/>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 of 4.134, demonstrating moderate heterogeneity (Fig. S8b). The regression line shows that higher C/N ratios correlate with decreased CO₂ releases. The C/N ratio is a crucial indicator of the balance between C and N in composting mixtures. A greater C/N ratio usually means more C relative to N, which can delay the microbial breakdown process and decrease the emission of CO₂. This is consistent with a study exhibiting that optimizing the C/N ratio is vital for controlling the emission of CO₂ from composting, as it influences microbial efficiency and the balance between C mineralization and sequestration (Xue et al., 2021). Besides, this result agrees with the meta-analysis outcomes of Zhang et al. (2021). </w:t>
      </w:r>
    </w:p>
    <w:p w14:paraId="36445D7D">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TOC does not disclose a significant correlation with the release of CO₂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0.768), and the </w:t>
      </w:r>
      <w:r>
        <w:rPr>
          <w:rFonts w:ascii="Times New Roman" w:hAnsi="Times New Roman" w:cs="Times New Roman"/>
          <w:i/>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 of 0.987 exhibits low heterogeneity (Fig. S8c). The regression line is relatively flat, indicating no significant trend. TOC characterizes the total amount of organic matter ready for microbial degradation, which could theoretically impact the emission of CO₂. Conversely, the lack of a significant correlation indicates that TOC alone may not be a reliable predictor of CO₂ releases. This could be because the emission of CO₂ depends not only on the organic matter quantity but also on its quality, degradation, and the microbial community structure (Bernal et al., 2017). Other studies have suggested that while TOC is critical for composting (Abdellah et al., 2024), its direct impact on the emission of CO₂ is often moderated by the interaction with other factors like moisture content and aeration (Bernal et al., 2017). Nevertheless, our findings disagreed with the present view of a negative linear association (Zhang et al., 2021; Ansari et al., 2023). </w:t>
      </w:r>
    </w:p>
    <w:p w14:paraId="75454C5E">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TN indicates no significant correlation with the emission of CO₂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0.704), with a </w:t>
      </w:r>
      <w:r>
        <w:rPr>
          <w:rFonts w:ascii="Times New Roman" w:hAnsi="Times New Roman" w:cs="Times New Roman"/>
          <w:i/>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value of 0.145 indicating low heterogeneity (Fig. S8d). The regression line is nearly flat. TN is an essential parameter in composting and shaping microbial growth and activity. Nevertheless, this finding suggests that TN does not considerably impact the release of CO₂ within the studied context. This could indicate that TN availability is not a limiting parameter for microbial activity regarding CO₂ generation or that other parameters (such as C availability or composting conditions) play a more dominant role in controlling CO₂ emissions (Bernal et al.,2017; Liu et al., 2024). On the other hand, HA displays a significant negative correlation with the emission of CO₂ (</w:t>
      </w:r>
      <w:r>
        <w:rPr>
          <w:rFonts w:ascii="Times New Roman" w:hAnsi="Times New Roman" w:cs="Times New Roman"/>
          <w:i/>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0.042), with a </w:t>
      </w:r>
      <w:r>
        <w:rPr>
          <w:rFonts w:ascii="Times New Roman" w:hAnsi="Times New Roman" w:cs="Times New Roman"/>
          <w:i/>
          <w:color w:val="000000" w:themeColor="text1"/>
          <w14:textFill>
            <w14:solidFill>
              <w14:schemeClr w14:val="tx1"/>
            </w14:solidFill>
          </w14:textFill>
        </w:rPr>
        <w:t xml:space="preserve">Qm </w:t>
      </w:r>
      <w:r>
        <w:rPr>
          <w:rFonts w:ascii="Times New Roman" w:hAnsi="Times New Roman" w:cs="Times New Roman"/>
          <w:color w:val="000000" w:themeColor="text1"/>
          <w14:textFill>
            <w14:solidFill>
              <w14:schemeClr w14:val="tx1"/>
            </w14:solidFill>
          </w14:textFill>
        </w:rPr>
        <w:t>value of 4.022, suggesting moderate heterogeneity. The regression line reveals that higher levels of HA are related to lower CO₂ released. HA is a complex organic compound generated throughout composting, which can stabilize organic matter and reduce the emission of CO₂ by delaying the degradation process. This finding aligns with the realization that humic substances can promote C sequestration in organic fertilizers and decrease their mineralization to CO₂ (Zhang et al., 2021). Studies have shown that humic substance formation is crucial in stabilizing biofertilizer products, contributing to long-term C sequestration and potentially decreasing gaseous emissions from composting (Bernal et al., 2017).</w:t>
      </w:r>
    </w:p>
    <w:p w14:paraId="39D99C6E">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outcomes mentioned above divulge that among the parameters studied, the C/N ratio and HA significantly impact the emission of CO₂ from composting. The C/N ratio’s effect implies that managing the C and N balance is essential for limiting the emission of CO₂. The role of HA exhibits that the formation or supplement of humic substances can mitigate CO₂ releases by stabilizing organic matter. Temperature, TOC, and TN do not directly impact the emission of CO₂ within the studied range, highlighting the complexity of factors shaping the release of CO₂ from composting. These outcomes highlight the importance of adjusting the C/N ratio and enriching humic substance formation in composting practices to minimize the release of CO₂, thereby enhancing the environmental sustainability of composting processes.</w:t>
      </w:r>
    </w:p>
    <w:p w14:paraId="113747E8">
      <w:pPr>
        <w:spacing w:after="0" w:line="360" w:lineRule="auto"/>
        <w:jc w:val="both"/>
        <w:rPr>
          <w:rFonts w:ascii="Times New Roman" w:hAnsi="Times New Roman" w:cs="Times New Roman"/>
        </w:rPr>
      </w:pPr>
      <w:r>
        <w:rPr>
          <w:rFonts w:ascii="Times New Roman" w:hAnsi="Times New Roman" w:cs="Times New Roman"/>
          <w:b/>
          <w:bCs/>
        </w:rPr>
        <w:drawing>
          <wp:inline distT="0" distB="0" distL="0" distR="0">
            <wp:extent cx="7200900" cy="32302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stretch>
                      <a:fillRect/>
                    </a:stretch>
                  </pic:blipFill>
                  <pic:spPr>
                    <a:xfrm>
                      <a:off x="0" y="0"/>
                      <a:ext cx="7202102" cy="3230784"/>
                    </a:xfrm>
                    <a:prstGeom prst="rect">
                      <a:avLst/>
                    </a:prstGeom>
                  </pic:spPr>
                </pic:pic>
              </a:graphicData>
            </a:graphic>
          </wp:inline>
        </w:drawing>
      </w:r>
      <w:r>
        <w:rPr>
          <w:rFonts w:ascii="Times New Roman" w:hAnsi="Times New Roman" w:cs="Times New Roman"/>
          <w:b/>
          <w:bCs/>
        </w:rPr>
        <w:t>Fig. S8</w:t>
      </w:r>
      <w:r>
        <w:rPr>
          <w:rFonts w:ascii="Times New Roman" w:hAnsi="Times New Roman" w:cs="Times New Roman"/>
        </w:rPr>
        <w:t xml:space="preserve"> Relationship between temperature (a), C/N ratio (b), TOC (c), TN (d), and HA (e), and CO</w:t>
      </w:r>
      <w:r>
        <w:rPr>
          <w:rFonts w:ascii="Times New Roman" w:hAnsi="Times New Roman" w:cs="Times New Roman"/>
          <w:vertAlign w:val="subscript"/>
        </w:rPr>
        <w:t>2</w:t>
      </w:r>
      <w:r>
        <w:rPr>
          <w:rFonts w:ascii="Times New Roman" w:hAnsi="Times New Roman" w:cs="Times New Roman"/>
        </w:rPr>
        <w:t xml:space="preserve"> emission in response to applied control measures during the composting process. The dots represent observations. The regressions were made with a linear model, and the significance level was set at </w:t>
      </w:r>
      <w:r>
        <w:rPr>
          <w:rFonts w:ascii="Times New Roman" w:hAnsi="Times New Roman" w:cs="Times New Roman"/>
          <w:i/>
          <w:iCs/>
        </w:rPr>
        <w:t>p</w:t>
      </w:r>
      <w:r>
        <w:rPr>
          <w:rFonts w:ascii="Times New Roman" w:hAnsi="Times New Roman" w:cs="Times New Roman"/>
        </w:rPr>
        <w:t xml:space="preserve"> &lt; 0.05. </w:t>
      </w:r>
      <w:r>
        <w:rPr>
          <w:rFonts w:ascii="Times New Roman" w:hAnsi="Times New Roman" w:cs="Times New Roman"/>
          <w:i/>
          <w:iCs/>
        </w:rPr>
        <w:t>Qm</w:t>
      </w:r>
      <w:r>
        <w:rPr>
          <w:rFonts w:ascii="Times New Roman" w:hAnsi="Times New Roman" w:cs="Times New Roman"/>
        </w:rPr>
        <w:t xml:space="preserve"> represents the heterogeneity level among the observations.</w:t>
      </w:r>
      <w:r>
        <w:rPr>
          <w:rFonts w:ascii="Times New Roman" w:hAnsi="Times New Roman" w:cs="Times New Roman"/>
          <w:i/>
          <w:iCs/>
        </w:rPr>
        <w:t xml:space="preserve"> k</w:t>
      </w:r>
      <w:r>
        <w:rPr>
          <w:rFonts w:ascii="Times New Roman" w:hAnsi="Times New Roman" w:cs="Times New Roman"/>
        </w:rPr>
        <w:t xml:space="preserve"> represents the number of effect sizes per estimate.</w:t>
      </w:r>
    </w:p>
    <w:p w14:paraId="3C60C0D8">
      <w:pPr>
        <w:spacing w:after="0" w:line="360" w:lineRule="auto"/>
        <w:jc w:val="both"/>
        <w:rPr>
          <w:rFonts w:ascii="Times New Roman" w:hAnsi="Times New Roman" w:cs="Times New Roman"/>
          <w:b/>
          <w:bCs/>
          <w:color w:val="000000" w:themeColor="text1"/>
          <w14:textFill>
            <w14:solidFill>
              <w14:schemeClr w14:val="tx1"/>
            </w14:solidFill>
          </w14:textFill>
        </w:rPr>
      </w:pPr>
      <w:bookmarkStart w:id="21" w:name="_Hlk164267701"/>
      <w:r>
        <w:rPr>
          <w:rFonts w:ascii="Times New Roman" w:hAnsi="Times New Roman" w:cs="Times New Roman"/>
          <w:b/>
          <w:bCs/>
          <w:color w:val="000000" w:themeColor="text1"/>
          <w14:textFill>
            <w14:solidFill>
              <w14:schemeClr w14:val="tx1"/>
            </w14:solidFill>
          </w14:textFill>
        </w:rPr>
        <w:t>H</w:t>
      </w:r>
      <w:r>
        <w:rPr>
          <w:rFonts w:ascii="Times New Roman" w:hAnsi="Times New Roman" w:cs="Times New Roman"/>
          <w:b/>
          <w:bCs/>
          <w:color w:val="000000" w:themeColor="text1"/>
          <w:vertAlign w:val="subscript"/>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 xml:space="preserve">S and VOC emissions </w:t>
      </w:r>
      <w:bookmarkEnd w:id="21"/>
    </w:p>
    <w:p w14:paraId="6A013D4F">
      <w:pPr>
        <w:spacing w:after="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association between temperature and H₂S emissions discloses a significant negative correlation (</w:t>
      </w:r>
      <w:r>
        <w:rPr>
          <w:rFonts w:ascii="Times New Roman" w:hAnsi="Times New Roman" w:cs="Times New Roman"/>
          <w:i/>
          <w:color w:val="000000" w:themeColor="text1"/>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 xml:space="preserve">&lt; 0.05,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 0.052). The regression line suggests that higher temperatures correlate with decreased H₂S releases (Fig. </w:t>
      </w:r>
      <w:bookmarkStart w:id="22" w:name="_Hlk183597183"/>
      <w:r>
        <w:rPr>
          <w:rFonts w:ascii="Times New Roman" w:hAnsi="Times New Roman" w:cs="Times New Roman"/>
          <w:color w:val="000000" w:themeColor="text1"/>
          <w14:textFill>
            <w14:solidFill>
              <w14:schemeClr w14:val="tx1"/>
            </w14:solidFill>
          </w14:textFill>
        </w:rPr>
        <w:t>S</w:t>
      </w:r>
      <w:bookmarkEnd w:id="22"/>
      <w:r>
        <w:rPr>
          <w:rFonts w:ascii="Times New Roman" w:hAnsi="Times New Roman" w:cs="Times New Roman"/>
          <w:color w:val="000000" w:themeColor="text1"/>
          <w14:textFill>
            <w14:solidFill>
              <w14:schemeClr w14:val="tx1"/>
            </w14:solidFill>
          </w14:textFill>
        </w:rPr>
        <w:t xml:space="preserve">9a). Temperature is a crucial parameter in composting as it affects microbial activity, which influences the emission of H₂S. Higher temperatures likely increase the activity of thermophilic microorganisms, which can more effectively decompose sulfur-containing compounds, leading to decreased H₂S releases. Studies have expressed that adjusting the composting temperature efficiently reduces odorous emissions involving H₂S (Ouyang et al., 2022; Wang et al., 2024). </w:t>
      </w:r>
    </w:p>
    <w:p w14:paraId="45FCF73B">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C/N ratio does not demonstrate a significant correlation with the emission of H₂S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0.507,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 0.441) (Fig. S9b). The regression line is comparatively flat, implying no significant trend. While the C/N ratio is critical for balancing nutrient availability and microbial activity, its direct influence on the emission of H₂S may not be substantial. This could imply that the sulfur concentration in the compost mixtures, rather than the C/N ratio, is more critical in determining H₂S emissions. Previous research has indicated that sulfur availability in the feedstock is a more direct determinant of H₂S emissions than the C/N ratio (Ouyang et al., 2022; Gao et al., 2022). Bernal et al. (2017) reported that increasing the ratio of the bulking agent with a higher C/N ratio lowers the release of 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 from the composting. On the other hand, TOC reveals a significant negative correlation with the emission of H₂S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0.002,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 10.107) (Fig. S9c). The regression line does signify a clear downward trend. TOC denotes the quantity of organic matter available for microbial breakdown, which could shape gaseous releases. Therefore, the significant correlation implies that TOC is a strong predictor of H₂S releases. This could be because the H₂S is often generated when sulfate-reducing microbes consume sulfate and organic matter as substrates. A rise in TOC can initiate an excessive sequestration of sulfate by binding with it or by stimulating alternative chemical reactions that utilize sulfate. This decreases sulfate availability for sulfate-reducing microbes, thereby reducing the emission of H₂S (Ouyang et al., 2022; Wang et al., 2022). </w:t>
      </w:r>
    </w:p>
    <w:p w14:paraId="0A3150A4">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HA exhibits a significant negative correlation with the emission of H₂S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0.001,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 39.17) (Fig. S9d). The regression line infers that higher levels of HA are associated with lower H₂S releases. HA is recognized to stabilize organic matter and decrease the release of volatile compounds from composting. The significant negative correlation indicates that HA production or supplement might support H₂S emission reduction by binding sulfur-containing compounds or enhancing conditions that favor less sulfur volatilization. Research supports the idea that humic substances can mitigate odorous generation from composting, incorporating H₂S, by enriching the stabilization of organic matter (Abdellah et al., 2022a; Wang et al., 2022).  </w:t>
      </w:r>
    </w:p>
    <w:p w14:paraId="0A3F6029">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relationship between temperature and VOC emissions displays a significant positive correlation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0.013, </w:t>
      </w:r>
      <w:r>
        <w:rPr>
          <w:rFonts w:ascii="Times New Roman" w:hAnsi="Times New Roman" w:cs="Times New Roman"/>
          <w:i/>
          <w:iCs/>
          <w:color w:val="000000" w:themeColor="text1"/>
          <w14:textFill>
            <w14:solidFill>
              <w14:schemeClr w14:val="tx1"/>
            </w14:solidFill>
          </w14:textFill>
        </w:rPr>
        <w:t>Qm</w:t>
      </w:r>
      <w:r>
        <w:rPr>
          <w:rFonts w:ascii="Times New Roman" w:hAnsi="Times New Roman" w:cs="Times New Roman"/>
          <w:color w:val="000000" w:themeColor="text1"/>
          <w14:textFill>
            <w14:solidFill>
              <w14:schemeClr w14:val="tx1"/>
            </w14:solidFill>
          </w14:textFill>
        </w:rPr>
        <w:t xml:space="preserve"> = 6.227) (Fig. S9e). The regression line suggests that higher temperatures correlate with increased VOC emissions. Higher temperatures throughout composting can escalate the volatility of organic compounds, leading to higher VOC emissions (Li et al., 2023a; Wang et al., 2024). This is consistent with the understanding that temperature impacts the microbial generation of VOCs and their subsequent volatilization (Awasthi et al., 2017; Gao et al., 2022). Studies have indicated that while elevated temperatures can improve organic matter degradation, they can also cause increased VOC releases owing to the higher volatility of these compounds at higher temperatures (Zhang et al., 2021; Gao et al., 2022; Kabak et al., 2022). </w:t>
      </w:r>
    </w:p>
    <w:p w14:paraId="238B0657">
      <w:pPr>
        <w:spacing w:after="0" w:line="360" w:lineRule="auto"/>
        <w:ind w:firstLine="28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TOC exhibits a nonsignificant positive correlation with VOC emissions (</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 xml:space="preserve"> = 0.642, </w:t>
      </w:r>
      <w:r>
        <w:rPr>
          <w:rFonts w:ascii="Times New Roman" w:hAnsi="Times New Roman" w:cs="Times New Roman"/>
          <w:i/>
          <w:iCs/>
          <w:color w:val="000000" w:themeColor="text1"/>
          <w14:textFill>
            <w14:solidFill>
              <w14:schemeClr w14:val="tx1"/>
            </w14:solidFill>
          </w14:textFill>
        </w:rPr>
        <w:t xml:space="preserve">Qm </w:t>
      </w:r>
      <w:r>
        <w:rPr>
          <w:rFonts w:ascii="Times New Roman" w:hAnsi="Times New Roman" w:cs="Times New Roman"/>
          <w:color w:val="000000" w:themeColor="text1"/>
          <w14:textFill>
            <w14:solidFill>
              <w14:schemeClr w14:val="tx1"/>
            </w14:solidFill>
          </w14:textFill>
        </w:rPr>
        <w:t>= 0.216) (Fig. S9f). The regression line reveals that higher TOC is related to increased VOC releases. TOC offers the substrate for microbial activity, and higher levels of TOC can instigate increased VOC production as a byproduct of microbial degradation (Kabak et al., 2022; Li et al., 2023a; Liu et al., 2024). This positive correlation implies that increasing the amount and type of TOC in composting mixtures could be a crucial strategy for decreasing VOC emissions. Studies support the idea that the release of VOCs is robustly related to the availability of easily degradable TOC in the composting feedstock (Wang et al., 2017; Gao et al., 2022).</w:t>
      </w:r>
    </w:p>
    <w:p w14:paraId="3F3FB3D9">
      <w:pPr>
        <w:spacing w:after="0" w:line="360" w:lineRule="auto"/>
        <w:jc w:val="both"/>
        <w:rPr>
          <w:rFonts w:ascii="Times New Roman" w:hAnsi="Times New Roman" w:cs="Times New Roman"/>
        </w:rPr>
      </w:pPr>
      <w:r>
        <w:rPr>
          <w:rFonts w:ascii="Times New Roman" w:hAnsi="Times New Roman" w:cs="Times New Roman"/>
          <w:b/>
          <w:bCs/>
        </w:rPr>
        <w:drawing>
          <wp:inline distT="0" distB="0" distL="0" distR="0">
            <wp:extent cx="7286625" cy="31464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stretch>
                      <a:fillRect/>
                    </a:stretch>
                  </pic:blipFill>
                  <pic:spPr>
                    <a:xfrm>
                      <a:off x="0" y="0"/>
                      <a:ext cx="7288052" cy="314704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b/>
          <w:bCs/>
        </w:rPr>
        <w:t>Fig. S9</w:t>
      </w:r>
      <w:r>
        <w:rPr>
          <w:rFonts w:ascii="Times New Roman" w:hAnsi="Times New Roman" w:cs="Times New Roman"/>
        </w:rPr>
        <w:t xml:space="preserve"> Relationship between temperature (a), C/N ratio (b), TOC (c), and HA (d), and H</w:t>
      </w:r>
      <w:r>
        <w:rPr>
          <w:rFonts w:ascii="Times New Roman" w:hAnsi="Times New Roman" w:cs="Times New Roman"/>
          <w:vertAlign w:val="subscript"/>
        </w:rPr>
        <w:t>2</w:t>
      </w:r>
      <w:r>
        <w:rPr>
          <w:rFonts w:ascii="Times New Roman" w:hAnsi="Times New Roman" w:cs="Times New Roman"/>
        </w:rPr>
        <w:t xml:space="preserve">S emission, besides temperature (e), and TOC (f), and VOC emissions in response to applied control measures during the composting process. The dots represent observations. The regressions were made with a linear model, and the significance level was set at </w:t>
      </w:r>
      <w:r>
        <w:rPr>
          <w:rFonts w:ascii="Times New Roman" w:hAnsi="Times New Roman" w:cs="Times New Roman"/>
          <w:i/>
          <w:iCs/>
        </w:rPr>
        <w:t>p</w:t>
      </w:r>
      <w:r>
        <w:rPr>
          <w:rFonts w:ascii="Times New Roman" w:hAnsi="Times New Roman" w:cs="Times New Roman"/>
        </w:rPr>
        <w:t xml:space="preserve"> &lt; 0.05. </w:t>
      </w:r>
      <w:r>
        <w:rPr>
          <w:rFonts w:ascii="Times New Roman" w:hAnsi="Times New Roman" w:cs="Times New Roman"/>
          <w:i/>
          <w:iCs/>
        </w:rPr>
        <w:t>Qm</w:t>
      </w:r>
      <w:r>
        <w:rPr>
          <w:rFonts w:ascii="Times New Roman" w:hAnsi="Times New Roman" w:cs="Times New Roman"/>
        </w:rPr>
        <w:t xml:space="preserve"> represents the heterogeneity level among the observations.</w:t>
      </w:r>
      <w:r>
        <w:rPr>
          <w:rFonts w:ascii="Times New Roman" w:hAnsi="Times New Roman" w:cs="Times New Roman"/>
          <w:i/>
          <w:iCs/>
        </w:rPr>
        <w:t xml:space="preserve"> k</w:t>
      </w:r>
      <w:r>
        <w:rPr>
          <w:rFonts w:ascii="Times New Roman" w:hAnsi="Times New Roman" w:cs="Times New Roman"/>
        </w:rPr>
        <w:t xml:space="preserve"> represents the number of effect sizes per estimate.</w:t>
      </w:r>
    </w:p>
    <w:p w14:paraId="66A26825">
      <w:pPr>
        <w:spacing w:line="360" w:lineRule="auto"/>
        <w:jc w:val="both"/>
        <w:rPr>
          <w:rFonts w:ascii="Times New Roman" w:hAnsi="Times New Roman" w:cs="Times New Roman"/>
          <w:b/>
          <w:bCs/>
        </w:rPr>
      </w:pPr>
    </w:p>
    <w:p w14:paraId="3194BADF">
      <w:pPr>
        <w:spacing w:line="360" w:lineRule="auto"/>
        <w:jc w:val="both"/>
        <w:rPr>
          <w:rFonts w:ascii="Times New Roman" w:hAnsi="Times New Roman" w:cs="Times New Roman"/>
          <w:b/>
          <w:bCs/>
          <w:lang w:val="nl-BE"/>
        </w:rPr>
      </w:pPr>
    </w:p>
    <w:p w14:paraId="2D7859D6">
      <w:pPr>
        <w:spacing w:line="360" w:lineRule="auto"/>
        <w:jc w:val="both"/>
        <w:rPr>
          <w:rFonts w:ascii="Times New Roman" w:hAnsi="Times New Roman" w:cs="Times New Roman"/>
          <w:b/>
          <w:bCs/>
          <w:lang w:val="nl-BE"/>
        </w:rPr>
      </w:pPr>
    </w:p>
    <w:p w14:paraId="139ED078">
      <w:pPr>
        <w:spacing w:line="360" w:lineRule="auto"/>
        <w:jc w:val="both"/>
        <w:rPr>
          <w:rFonts w:ascii="Times New Roman" w:hAnsi="Times New Roman" w:cs="Times New Roman"/>
          <w:b/>
          <w:bCs/>
          <w:lang w:val="nl-BE"/>
        </w:rPr>
      </w:pPr>
    </w:p>
    <w:p w14:paraId="48CC5D96">
      <w:pPr>
        <w:spacing w:line="360" w:lineRule="auto"/>
        <w:jc w:val="both"/>
        <w:rPr>
          <w:rFonts w:ascii="Times New Roman" w:hAnsi="Times New Roman" w:cs="Times New Roman"/>
          <w:b/>
          <w:bCs/>
          <w:lang w:val="nl-BE"/>
        </w:rPr>
      </w:pPr>
    </w:p>
    <w:p w14:paraId="747C608D">
      <w:pPr>
        <w:spacing w:line="360" w:lineRule="auto"/>
        <w:jc w:val="both"/>
        <w:rPr>
          <w:rFonts w:ascii="Times New Roman" w:hAnsi="Times New Roman" w:cs="Times New Roman"/>
          <w:b/>
          <w:bCs/>
          <w:lang w:val="nl-BE"/>
        </w:rPr>
      </w:pPr>
    </w:p>
    <w:p w14:paraId="226A676B">
      <w:pPr>
        <w:spacing w:line="360" w:lineRule="auto"/>
        <w:jc w:val="both"/>
        <w:rPr>
          <w:rFonts w:ascii="Times New Roman" w:hAnsi="Times New Roman" w:cs="Times New Roman"/>
          <w:b/>
          <w:bCs/>
          <w:lang w:val="nl-BE"/>
        </w:rPr>
      </w:pPr>
    </w:p>
    <w:p w14:paraId="07621868">
      <w:pPr>
        <w:spacing w:line="360" w:lineRule="auto"/>
        <w:jc w:val="both"/>
        <w:rPr>
          <w:rFonts w:ascii="Times New Roman" w:hAnsi="Times New Roman" w:cs="Times New Roman"/>
          <w:b/>
          <w:bCs/>
          <w:lang w:val="nl-BE"/>
        </w:rPr>
      </w:pPr>
    </w:p>
    <w:p w14:paraId="7C59DF32">
      <w:pPr>
        <w:spacing w:line="360" w:lineRule="auto"/>
        <w:jc w:val="both"/>
        <w:rPr>
          <w:rFonts w:ascii="Times New Roman" w:hAnsi="Times New Roman" w:cs="Times New Roman"/>
          <w:b/>
          <w:bCs/>
          <w:lang w:val="nl-BE"/>
        </w:rPr>
      </w:pPr>
    </w:p>
    <w:p w14:paraId="7694A61A">
      <w:pPr>
        <w:spacing w:line="360" w:lineRule="auto"/>
        <w:jc w:val="both"/>
        <w:rPr>
          <w:rFonts w:ascii="Times New Roman" w:hAnsi="Times New Roman" w:cs="Times New Roman"/>
          <w:b/>
          <w:bCs/>
          <w:lang w:val="nl-BE"/>
        </w:rPr>
      </w:pPr>
    </w:p>
    <w:p w14:paraId="131CC783">
      <w:pPr>
        <w:spacing w:line="360" w:lineRule="auto"/>
        <w:jc w:val="both"/>
        <w:rPr>
          <w:rFonts w:ascii="Times New Roman" w:hAnsi="Times New Roman" w:cs="Times New Roman"/>
          <w:b/>
          <w:bCs/>
          <w:lang w:val="nl-BE"/>
        </w:rPr>
      </w:pPr>
    </w:p>
    <w:p w14:paraId="5B652538">
      <w:pPr>
        <w:spacing w:line="360" w:lineRule="auto"/>
        <w:jc w:val="both"/>
        <w:rPr>
          <w:rFonts w:ascii="Times New Roman" w:hAnsi="Times New Roman" w:cs="Times New Roman"/>
          <w:b/>
          <w:bCs/>
          <w:lang w:val="nl-BE"/>
        </w:rPr>
      </w:pPr>
    </w:p>
    <w:p w14:paraId="1096E438">
      <w:pPr>
        <w:spacing w:line="360" w:lineRule="auto"/>
        <w:jc w:val="both"/>
        <w:rPr>
          <w:rFonts w:ascii="Times New Roman" w:hAnsi="Times New Roman" w:cs="Times New Roman"/>
          <w:lang w:val="nl-BE"/>
        </w:rPr>
      </w:pPr>
      <w:r>
        <w:rPr>
          <w:rFonts w:ascii="Times New Roman" w:hAnsi="Times New Roman" w:cs="Times New Roman"/>
          <w:b/>
          <w:bCs/>
          <w:lang w:val="nl-BE"/>
        </w:rPr>
        <w:t>Table S4</w:t>
      </w:r>
      <w:r>
        <w:rPr>
          <w:rFonts w:ascii="Times New Roman" w:hAnsi="Times New Roman" w:cs="Times New Roman"/>
          <w:lang w:val="nl-BE"/>
        </w:rPr>
        <w:t xml:space="preserve"> The influence path of parameters, directly and indirectly, controls gaseous emissions and organic fertilizer quality during composting, with control measures based on SEM analysis playing a role</w:t>
      </w:r>
    </w:p>
    <w:tbl>
      <w:tblPr>
        <w:tblStyle w:val="8"/>
        <w:tblW w:w="12758" w:type="dxa"/>
        <w:tblInd w:w="-572"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9"/>
        <w:gridCol w:w="1985"/>
        <w:gridCol w:w="1559"/>
        <w:gridCol w:w="2410"/>
        <w:gridCol w:w="2835"/>
      </w:tblGrid>
      <w:tr w14:paraId="2DEBAE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Borders>
              <w:top w:val="single" w:color="auto" w:sz="12" w:space="0"/>
              <w:bottom w:val="single" w:color="auto" w:sz="8" w:space="0"/>
            </w:tcBorders>
          </w:tcPr>
          <w:p w14:paraId="3D49F19B">
            <w:pPr>
              <w:spacing w:after="0" w:line="240" w:lineRule="auto"/>
              <w:rPr>
                <w:rFonts w:ascii="Times New Roman" w:hAnsi="Times New Roman" w:cs="Times New Roman"/>
                <w:b/>
                <w:bCs/>
              </w:rPr>
            </w:pPr>
            <w:r>
              <w:rPr>
                <w:rFonts w:ascii="Times New Roman" w:hAnsi="Times New Roman" w:cs="Times New Roman"/>
                <w:b/>
                <w:bCs/>
              </w:rPr>
              <w:t>Interaction among parameters</w:t>
            </w:r>
          </w:p>
        </w:tc>
        <w:tc>
          <w:tcPr>
            <w:tcW w:w="1985" w:type="dxa"/>
            <w:tcBorders>
              <w:top w:val="single" w:color="auto" w:sz="12" w:space="0"/>
              <w:bottom w:val="single" w:color="auto" w:sz="8" w:space="0"/>
            </w:tcBorders>
          </w:tcPr>
          <w:p w14:paraId="35DF1BFD">
            <w:pPr>
              <w:spacing w:after="0" w:line="240" w:lineRule="auto"/>
              <w:rPr>
                <w:rFonts w:ascii="Times New Roman" w:hAnsi="Times New Roman" w:cs="Times New Roman"/>
                <w:b/>
                <w:bCs/>
              </w:rPr>
            </w:pPr>
            <w:r>
              <w:rPr>
                <w:rFonts w:ascii="Times New Roman" w:hAnsi="Times New Roman" w:cs="Times New Roman"/>
                <w:b/>
                <w:bCs/>
              </w:rPr>
              <w:t>Estimate</w:t>
            </w:r>
          </w:p>
        </w:tc>
        <w:tc>
          <w:tcPr>
            <w:tcW w:w="1559" w:type="dxa"/>
            <w:tcBorders>
              <w:top w:val="single" w:color="auto" w:sz="12" w:space="0"/>
              <w:bottom w:val="single" w:color="auto" w:sz="8" w:space="0"/>
            </w:tcBorders>
          </w:tcPr>
          <w:p w14:paraId="4FF61C5A">
            <w:pPr>
              <w:spacing w:after="0" w:line="240" w:lineRule="auto"/>
              <w:rPr>
                <w:rFonts w:ascii="Times New Roman" w:hAnsi="Times New Roman" w:cs="Times New Roman"/>
                <w:b/>
                <w:bCs/>
              </w:rPr>
            </w:pPr>
            <w:r>
              <w:rPr>
                <w:rFonts w:ascii="Times New Roman" w:hAnsi="Times New Roman" w:cs="Times New Roman"/>
                <w:b/>
                <w:bCs/>
              </w:rPr>
              <w:t>S.E.</w:t>
            </w:r>
          </w:p>
        </w:tc>
        <w:tc>
          <w:tcPr>
            <w:tcW w:w="2410" w:type="dxa"/>
            <w:tcBorders>
              <w:top w:val="single" w:color="auto" w:sz="12" w:space="0"/>
              <w:bottom w:val="single" w:color="auto" w:sz="8" w:space="0"/>
            </w:tcBorders>
          </w:tcPr>
          <w:p w14:paraId="60371461">
            <w:pPr>
              <w:spacing w:after="0" w:line="240" w:lineRule="auto"/>
              <w:rPr>
                <w:rFonts w:ascii="Times New Roman" w:hAnsi="Times New Roman" w:cs="Times New Roman"/>
                <w:b/>
                <w:bCs/>
              </w:rPr>
            </w:pPr>
            <w:r>
              <w:rPr>
                <w:rFonts w:ascii="Times New Roman" w:hAnsi="Times New Roman" w:cs="Times New Roman"/>
                <w:b/>
                <w:bCs/>
              </w:rPr>
              <w:t>C.R.</w:t>
            </w:r>
          </w:p>
        </w:tc>
        <w:tc>
          <w:tcPr>
            <w:tcW w:w="2835" w:type="dxa"/>
            <w:tcBorders>
              <w:top w:val="single" w:color="auto" w:sz="12" w:space="0"/>
              <w:bottom w:val="single" w:color="auto" w:sz="8" w:space="0"/>
            </w:tcBorders>
          </w:tcPr>
          <w:p w14:paraId="1323BA65">
            <w:pPr>
              <w:spacing w:after="0" w:line="240" w:lineRule="auto"/>
              <w:rPr>
                <w:rFonts w:ascii="Times New Roman" w:hAnsi="Times New Roman" w:cs="Times New Roman"/>
                <w:b/>
                <w:bCs/>
              </w:rPr>
            </w:pPr>
            <w:r>
              <w:rPr>
                <w:rFonts w:ascii="Times New Roman" w:hAnsi="Times New Roman" w:cs="Times New Roman"/>
                <w:b/>
                <w:bCs/>
                <w:i/>
              </w:rPr>
              <w:t>P</w:t>
            </w:r>
            <w:r>
              <w:rPr>
                <w:rFonts w:ascii="Times New Roman" w:hAnsi="Times New Roman" w:cs="Times New Roman"/>
                <w:b/>
                <w:bCs/>
              </w:rPr>
              <w:t>-value</w:t>
            </w:r>
          </w:p>
        </w:tc>
      </w:tr>
      <w:tr w14:paraId="68BE27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Borders>
              <w:top w:val="single" w:color="auto" w:sz="8" w:space="0"/>
            </w:tcBorders>
          </w:tcPr>
          <w:p w14:paraId="698C4532">
            <w:pPr>
              <w:spacing w:after="0" w:line="240" w:lineRule="auto"/>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 xml:space="preserve">4 </w:t>
            </w:r>
            <w:r>
              <w:rPr>
                <w:rFonts w:ascii="Times New Roman" w:hAnsi="Times New Roman" w:cs="Times New Roman"/>
              </w:rPr>
              <w:t>&lt;---Mitigation strategies</w:t>
            </w:r>
          </w:p>
        </w:tc>
        <w:tc>
          <w:tcPr>
            <w:tcW w:w="1985" w:type="dxa"/>
            <w:tcBorders>
              <w:top w:val="single" w:color="auto" w:sz="8" w:space="0"/>
            </w:tcBorders>
            <w:vAlign w:val="center"/>
          </w:tcPr>
          <w:p w14:paraId="14070453">
            <w:pPr>
              <w:spacing w:after="0" w:line="240" w:lineRule="auto"/>
              <w:rPr>
                <w:rFonts w:ascii="Times New Roman" w:hAnsi="Times New Roman" w:cs="Times New Roman"/>
                <w:b w:val="0"/>
                <w:bCs w:val="0"/>
              </w:rPr>
            </w:pPr>
            <w:r>
              <w:rPr>
                <w:rFonts w:ascii="Times New Roman" w:hAnsi="Times New Roman" w:cs="Times New Roman"/>
                <w:b w:val="0"/>
                <w:bCs w:val="0"/>
              </w:rPr>
              <w:t>−</w:t>
            </w:r>
            <w:r>
              <w:rPr>
                <w:rFonts w:ascii="Times New Roman" w:hAnsi="Times New Roman" w:eastAsia="Times New Roman" w:cs="Times New Roman"/>
                <w:b w:val="0"/>
                <w:bCs w:val="0"/>
              </w:rPr>
              <w:t>0.311</w:t>
            </w:r>
          </w:p>
        </w:tc>
        <w:tc>
          <w:tcPr>
            <w:tcW w:w="1559" w:type="dxa"/>
            <w:tcBorders>
              <w:top w:val="single" w:color="auto" w:sz="8" w:space="0"/>
            </w:tcBorders>
            <w:vAlign w:val="center"/>
          </w:tcPr>
          <w:p w14:paraId="67A7F903">
            <w:pPr>
              <w:spacing w:after="0" w:line="240" w:lineRule="auto"/>
              <w:rPr>
                <w:rFonts w:ascii="Times New Roman" w:hAnsi="Times New Roman" w:cs="Times New Roman"/>
              </w:rPr>
            </w:pPr>
            <w:r>
              <w:rPr>
                <w:rFonts w:ascii="Times New Roman" w:hAnsi="Times New Roman" w:eastAsia="Times New Roman" w:cs="Times New Roman"/>
              </w:rPr>
              <w:t>0.170</w:t>
            </w:r>
          </w:p>
        </w:tc>
        <w:tc>
          <w:tcPr>
            <w:tcW w:w="2410" w:type="dxa"/>
            <w:tcBorders>
              <w:top w:val="single" w:color="auto" w:sz="8" w:space="0"/>
            </w:tcBorders>
            <w:vAlign w:val="center"/>
          </w:tcPr>
          <w:p w14:paraId="0B3BFD34">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1.243</w:t>
            </w:r>
          </w:p>
        </w:tc>
        <w:tc>
          <w:tcPr>
            <w:tcW w:w="2835" w:type="dxa"/>
            <w:tcBorders>
              <w:top w:val="single" w:color="auto" w:sz="8" w:space="0"/>
            </w:tcBorders>
            <w:vAlign w:val="center"/>
          </w:tcPr>
          <w:p w14:paraId="4485499A">
            <w:pPr>
              <w:spacing w:after="0" w:line="240" w:lineRule="auto"/>
              <w:rPr>
                <w:rFonts w:ascii="Times New Roman" w:hAnsi="Times New Roman" w:cs="Times New Roman"/>
                <w:b/>
                <w:bCs/>
              </w:rPr>
            </w:pPr>
            <w:r>
              <w:rPr>
                <w:rFonts w:ascii="Times New Roman" w:hAnsi="Times New Roman" w:cs="Times New Roman" w:eastAsiaTheme="minorEastAsia"/>
                <w:b w:val="0"/>
                <w:bCs w:val="0"/>
              </w:rPr>
              <w:t>0.0214</w:t>
            </w:r>
            <w:r>
              <w:rPr>
                <w:rFonts w:ascii="Times New Roman" w:hAnsi="Times New Roman" w:eastAsia="Times New Roman" w:cs="Times New Roman"/>
                <w:b/>
                <w:bCs/>
              </w:rPr>
              <w:t>*</w:t>
            </w:r>
          </w:p>
        </w:tc>
      </w:tr>
      <w:tr w14:paraId="5B3ABC8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73DE5222">
            <w:pPr>
              <w:spacing w:after="0" w:line="240" w:lineRule="auto"/>
              <w:rPr>
                <w:rFonts w:ascii="Times New Roman" w:hAnsi="Times New Roman" w:cs="Times New Roman"/>
              </w:rPr>
            </w:pP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O&lt;---Mitigation strategies</w:t>
            </w:r>
          </w:p>
        </w:tc>
        <w:tc>
          <w:tcPr>
            <w:tcW w:w="1985" w:type="dxa"/>
            <w:vAlign w:val="center"/>
          </w:tcPr>
          <w:p w14:paraId="747B158F">
            <w:pPr>
              <w:spacing w:after="0" w:line="240" w:lineRule="auto"/>
              <w:rPr>
                <w:rFonts w:ascii="Times New Roman" w:hAnsi="Times New Roman" w:cs="Times New Roman"/>
                <w:b w:val="0"/>
                <w:bCs w:val="0"/>
              </w:rPr>
            </w:pPr>
            <w:r>
              <w:rPr>
                <w:rFonts w:ascii="Times New Roman" w:hAnsi="Times New Roman" w:cs="Times New Roman"/>
                <w:b w:val="0"/>
                <w:bCs w:val="0"/>
              </w:rPr>
              <w:t>−</w:t>
            </w:r>
            <w:r>
              <w:rPr>
                <w:rFonts w:ascii="Times New Roman" w:hAnsi="Times New Roman" w:eastAsia="Times New Roman" w:cs="Times New Roman"/>
                <w:b w:val="0"/>
                <w:bCs w:val="0"/>
              </w:rPr>
              <w:t>0.522</w:t>
            </w:r>
          </w:p>
        </w:tc>
        <w:tc>
          <w:tcPr>
            <w:tcW w:w="1559" w:type="dxa"/>
            <w:vAlign w:val="center"/>
          </w:tcPr>
          <w:p w14:paraId="3563B55B">
            <w:pPr>
              <w:spacing w:after="0" w:line="240" w:lineRule="auto"/>
              <w:rPr>
                <w:rFonts w:ascii="Times New Roman" w:hAnsi="Times New Roman" w:cs="Times New Roman"/>
              </w:rPr>
            </w:pPr>
            <w:r>
              <w:rPr>
                <w:rFonts w:ascii="Times New Roman" w:hAnsi="Times New Roman" w:eastAsia="Times New Roman" w:cs="Times New Roman"/>
              </w:rPr>
              <w:t>0.148</w:t>
            </w:r>
          </w:p>
        </w:tc>
        <w:tc>
          <w:tcPr>
            <w:tcW w:w="2410" w:type="dxa"/>
            <w:vAlign w:val="center"/>
          </w:tcPr>
          <w:p w14:paraId="05BCA637">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3.516</w:t>
            </w:r>
          </w:p>
        </w:tc>
        <w:tc>
          <w:tcPr>
            <w:tcW w:w="2835" w:type="dxa"/>
            <w:vAlign w:val="center"/>
          </w:tcPr>
          <w:p w14:paraId="358091D6">
            <w:pPr>
              <w:spacing w:after="0" w:line="240" w:lineRule="auto"/>
              <w:rPr>
                <w:rFonts w:ascii="Times New Roman" w:hAnsi="Times New Roman" w:cs="Times New Roman"/>
              </w:rPr>
            </w:pPr>
            <w:r>
              <w:rPr>
                <w:rFonts w:ascii="Times New Roman" w:hAnsi="Times New Roman" w:eastAsia="Times New Roman" w:cs="Times New Roman"/>
              </w:rPr>
              <w:t>***</w:t>
            </w:r>
          </w:p>
        </w:tc>
      </w:tr>
      <w:tr w14:paraId="494D3BC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7678B4C2">
            <w:pPr>
              <w:spacing w:after="0" w:line="240" w:lineRule="auto"/>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&lt;---Mitigation strategies</w:t>
            </w:r>
          </w:p>
        </w:tc>
        <w:tc>
          <w:tcPr>
            <w:tcW w:w="1985" w:type="dxa"/>
            <w:vAlign w:val="center"/>
          </w:tcPr>
          <w:p w14:paraId="04D29515">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0.199</w:t>
            </w:r>
          </w:p>
        </w:tc>
        <w:tc>
          <w:tcPr>
            <w:tcW w:w="1559" w:type="dxa"/>
            <w:vAlign w:val="center"/>
          </w:tcPr>
          <w:p w14:paraId="24A4A5C5">
            <w:pPr>
              <w:spacing w:after="0" w:line="240" w:lineRule="auto"/>
              <w:rPr>
                <w:rFonts w:ascii="Times New Roman" w:hAnsi="Times New Roman" w:cs="Times New Roman"/>
              </w:rPr>
            </w:pPr>
            <w:r>
              <w:rPr>
                <w:rFonts w:ascii="Times New Roman" w:hAnsi="Times New Roman" w:eastAsia="Times New Roman" w:cs="Times New Roman"/>
              </w:rPr>
              <w:t>0.173</w:t>
            </w:r>
          </w:p>
        </w:tc>
        <w:tc>
          <w:tcPr>
            <w:tcW w:w="2410" w:type="dxa"/>
            <w:vAlign w:val="center"/>
          </w:tcPr>
          <w:p w14:paraId="6FB0E50C">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0.570</w:t>
            </w:r>
          </w:p>
        </w:tc>
        <w:tc>
          <w:tcPr>
            <w:tcW w:w="2835" w:type="dxa"/>
            <w:vAlign w:val="center"/>
          </w:tcPr>
          <w:p w14:paraId="1EEA79EB">
            <w:pPr>
              <w:spacing w:after="0" w:line="240" w:lineRule="auto"/>
              <w:rPr>
                <w:rFonts w:ascii="Times New Roman" w:hAnsi="Times New Roman" w:cs="Times New Roman"/>
              </w:rPr>
            </w:pPr>
            <w:r>
              <w:rPr>
                <w:rFonts w:ascii="Times New Roman" w:hAnsi="Times New Roman" w:eastAsia="Times New Roman" w:cs="Times New Roman"/>
              </w:rPr>
              <w:t>0.569</w:t>
            </w:r>
          </w:p>
        </w:tc>
      </w:tr>
      <w:tr w14:paraId="14CFBB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4DB4312D">
            <w:pPr>
              <w:spacing w:after="0" w:line="240" w:lineRule="auto"/>
              <w:rPr>
                <w:rFonts w:ascii="Times New Roman" w:hAnsi="Times New Roman" w:cs="Times New Roman"/>
              </w:rPr>
            </w:pP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&lt;---Mitigation strategies</w:t>
            </w:r>
          </w:p>
        </w:tc>
        <w:tc>
          <w:tcPr>
            <w:tcW w:w="1985" w:type="dxa"/>
            <w:vAlign w:val="center"/>
          </w:tcPr>
          <w:p w14:paraId="61EF1B9D">
            <w:pPr>
              <w:spacing w:after="0" w:line="240" w:lineRule="auto"/>
              <w:rPr>
                <w:rFonts w:ascii="Times New Roman" w:hAnsi="Times New Roman" w:cs="Times New Roman"/>
                <w:b w:val="0"/>
                <w:bCs w:val="0"/>
              </w:rPr>
            </w:pPr>
            <w:r>
              <w:rPr>
                <w:rFonts w:ascii="Times New Roman" w:hAnsi="Times New Roman" w:cs="Times New Roman"/>
                <w:b w:val="0"/>
                <w:bCs w:val="0"/>
              </w:rPr>
              <w:t>−</w:t>
            </w:r>
            <w:r>
              <w:rPr>
                <w:rFonts w:ascii="Times New Roman" w:hAnsi="Times New Roman" w:eastAsia="Times New Roman" w:cs="Times New Roman"/>
                <w:b w:val="0"/>
                <w:bCs w:val="0"/>
              </w:rPr>
              <w:t>0.342</w:t>
            </w:r>
          </w:p>
        </w:tc>
        <w:tc>
          <w:tcPr>
            <w:tcW w:w="1559" w:type="dxa"/>
            <w:vAlign w:val="center"/>
          </w:tcPr>
          <w:p w14:paraId="62B37536">
            <w:pPr>
              <w:spacing w:after="0" w:line="240" w:lineRule="auto"/>
              <w:rPr>
                <w:rFonts w:ascii="Times New Roman" w:hAnsi="Times New Roman" w:cs="Times New Roman"/>
              </w:rPr>
            </w:pPr>
            <w:r>
              <w:rPr>
                <w:rFonts w:ascii="Times New Roman" w:hAnsi="Times New Roman" w:eastAsia="Times New Roman" w:cs="Times New Roman"/>
              </w:rPr>
              <w:t>0.172</w:t>
            </w:r>
          </w:p>
        </w:tc>
        <w:tc>
          <w:tcPr>
            <w:tcW w:w="2410" w:type="dxa"/>
            <w:vAlign w:val="center"/>
          </w:tcPr>
          <w:p w14:paraId="2275D644">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0.827</w:t>
            </w:r>
          </w:p>
        </w:tc>
        <w:tc>
          <w:tcPr>
            <w:tcW w:w="2835" w:type="dxa"/>
            <w:vAlign w:val="center"/>
          </w:tcPr>
          <w:p w14:paraId="65703DC2">
            <w:pPr>
              <w:spacing w:after="0" w:line="240" w:lineRule="auto"/>
              <w:rPr>
                <w:rFonts w:ascii="Times New Roman" w:hAnsi="Times New Roman" w:cs="Times New Roman"/>
                <w:b/>
                <w:bCs/>
              </w:rPr>
            </w:pPr>
            <w:r>
              <w:rPr>
                <w:rFonts w:ascii="Times New Roman" w:hAnsi="Times New Roman" w:cs="Times New Roman" w:eastAsiaTheme="minorEastAsia"/>
                <w:b w:val="0"/>
                <w:bCs w:val="0"/>
              </w:rPr>
              <w:t>0.0408</w:t>
            </w:r>
            <w:r>
              <w:rPr>
                <w:rFonts w:ascii="Times New Roman" w:hAnsi="Times New Roman" w:eastAsia="Times New Roman" w:cs="Times New Roman"/>
                <w:b/>
                <w:bCs/>
              </w:rPr>
              <w:t>*</w:t>
            </w:r>
          </w:p>
        </w:tc>
      </w:tr>
      <w:tr w14:paraId="6F56F1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026EA6A8">
            <w:pPr>
              <w:spacing w:after="0" w:line="240" w:lineRule="auto"/>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S&lt;---Mitigation strategies</w:t>
            </w:r>
          </w:p>
        </w:tc>
        <w:tc>
          <w:tcPr>
            <w:tcW w:w="1985" w:type="dxa"/>
            <w:vAlign w:val="center"/>
          </w:tcPr>
          <w:p w14:paraId="28E9719D">
            <w:pPr>
              <w:spacing w:after="0" w:line="240" w:lineRule="auto"/>
              <w:rPr>
                <w:rFonts w:ascii="Times New Roman" w:hAnsi="Times New Roman" w:cs="Times New Roman"/>
                <w:b w:val="0"/>
                <w:bCs w:val="0"/>
              </w:rPr>
            </w:pPr>
            <w:r>
              <w:rPr>
                <w:rFonts w:ascii="Times New Roman" w:hAnsi="Times New Roman" w:cs="Times New Roman"/>
                <w:b w:val="0"/>
                <w:bCs w:val="0"/>
              </w:rPr>
              <w:t>−</w:t>
            </w:r>
            <w:r>
              <w:rPr>
                <w:rFonts w:ascii="Times New Roman" w:hAnsi="Times New Roman" w:eastAsia="Times New Roman" w:cs="Times New Roman"/>
                <w:b w:val="0"/>
                <w:bCs w:val="0"/>
              </w:rPr>
              <w:t>0.559</w:t>
            </w:r>
          </w:p>
        </w:tc>
        <w:tc>
          <w:tcPr>
            <w:tcW w:w="1559" w:type="dxa"/>
            <w:vAlign w:val="center"/>
          </w:tcPr>
          <w:p w14:paraId="0AB07244">
            <w:pPr>
              <w:spacing w:after="0" w:line="240" w:lineRule="auto"/>
              <w:rPr>
                <w:rFonts w:ascii="Times New Roman" w:hAnsi="Times New Roman" w:cs="Times New Roman"/>
              </w:rPr>
            </w:pPr>
            <w:r>
              <w:rPr>
                <w:rFonts w:ascii="Times New Roman" w:hAnsi="Times New Roman" w:eastAsia="Times New Roman" w:cs="Times New Roman"/>
              </w:rPr>
              <w:t>0.144</w:t>
            </w:r>
          </w:p>
        </w:tc>
        <w:tc>
          <w:tcPr>
            <w:tcW w:w="2410" w:type="dxa"/>
            <w:vAlign w:val="center"/>
          </w:tcPr>
          <w:p w14:paraId="1554D115">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3.872</w:t>
            </w:r>
          </w:p>
        </w:tc>
        <w:tc>
          <w:tcPr>
            <w:tcW w:w="2835" w:type="dxa"/>
            <w:vAlign w:val="center"/>
          </w:tcPr>
          <w:p w14:paraId="7612E7E2">
            <w:pPr>
              <w:spacing w:after="0" w:line="240" w:lineRule="auto"/>
              <w:rPr>
                <w:rFonts w:ascii="Times New Roman" w:hAnsi="Times New Roman" w:cs="Times New Roman"/>
              </w:rPr>
            </w:pPr>
            <w:r>
              <w:rPr>
                <w:rFonts w:ascii="Times New Roman" w:hAnsi="Times New Roman" w:eastAsia="Times New Roman" w:cs="Times New Roman"/>
              </w:rPr>
              <w:t>***</w:t>
            </w:r>
          </w:p>
        </w:tc>
      </w:tr>
      <w:tr w14:paraId="0AB9101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00A2223D">
            <w:pPr>
              <w:spacing w:after="0" w:line="240" w:lineRule="auto"/>
              <w:rPr>
                <w:rFonts w:ascii="Times New Roman" w:hAnsi="Times New Roman" w:cs="Times New Roman"/>
              </w:rPr>
            </w:pPr>
            <w:r>
              <w:rPr>
                <w:rFonts w:ascii="Times New Roman" w:hAnsi="Times New Roman" w:cs="Times New Roman"/>
              </w:rPr>
              <w:t>VOCs&lt;---Mitigation strategies</w:t>
            </w:r>
          </w:p>
        </w:tc>
        <w:tc>
          <w:tcPr>
            <w:tcW w:w="1985" w:type="dxa"/>
            <w:vAlign w:val="center"/>
          </w:tcPr>
          <w:p w14:paraId="4757EBB1">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0.120</w:t>
            </w:r>
          </w:p>
        </w:tc>
        <w:tc>
          <w:tcPr>
            <w:tcW w:w="1559" w:type="dxa"/>
            <w:vAlign w:val="center"/>
          </w:tcPr>
          <w:p w14:paraId="7227CDEF">
            <w:pPr>
              <w:spacing w:after="0" w:line="240" w:lineRule="auto"/>
              <w:rPr>
                <w:rFonts w:ascii="Times New Roman" w:hAnsi="Times New Roman" w:cs="Times New Roman"/>
              </w:rPr>
            </w:pPr>
            <w:r>
              <w:rPr>
                <w:rFonts w:ascii="Times New Roman" w:hAnsi="Times New Roman" w:eastAsia="Times New Roman" w:cs="Times New Roman"/>
              </w:rPr>
              <w:t>0.174</w:t>
            </w:r>
          </w:p>
        </w:tc>
        <w:tc>
          <w:tcPr>
            <w:tcW w:w="2410" w:type="dxa"/>
            <w:vAlign w:val="center"/>
          </w:tcPr>
          <w:p w14:paraId="0D9744A8">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0.113</w:t>
            </w:r>
          </w:p>
        </w:tc>
        <w:tc>
          <w:tcPr>
            <w:tcW w:w="2835" w:type="dxa"/>
            <w:vAlign w:val="center"/>
          </w:tcPr>
          <w:p w14:paraId="1B55451F">
            <w:pPr>
              <w:spacing w:after="0" w:line="240" w:lineRule="auto"/>
              <w:rPr>
                <w:rFonts w:ascii="Times New Roman" w:hAnsi="Times New Roman" w:cs="Times New Roman"/>
              </w:rPr>
            </w:pPr>
            <w:r>
              <w:rPr>
                <w:rFonts w:ascii="Times New Roman" w:hAnsi="Times New Roman" w:eastAsia="Times New Roman" w:cs="Times New Roman"/>
              </w:rPr>
              <w:t>0.910</w:t>
            </w:r>
          </w:p>
        </w:tc>
      </w:tr>
      <w:tr w14:paraId="6BC9BB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1E25868C">
            <w:pPr>
              <w:spacing w:after="0" w:line="240" w:lineRule="auto"/>
              <w:rPr>
                <w:rFonts w:ascii="Times New Roman" w:hAnsi="Times New Roman" w:cs="Times New Roman"/>
              </w:rPr>
            </w:pPr>
            <w:r>
              <w:rPr>
                <w:rFonts w:ascii="Times New Roman" w:hAnsi="Times New Roman" w:cs="Times New Roman"/>
              </w:rPr>
              <w:t>HA&lt;---VOCs</w:t>
            </w:r>
          </w:p>
        </w:tc>
        <w:tc>
          <w:tcPr>
            <w:tcW w:w="1985" w:type="dxa"/>
            <w:vAlign w:val="center"/>
          </w:tcPr>
          <w:p w14:paraId="6992700E">
            <w:pPr>
              <w:spacing w:after="0" w:line="240" w:lineRule="auto"/>
              <w:rPr>
                <w:rFonts w:ascii="Times New Roman" w:hAnsi="Times New Roman" w:cs="Times New Roman"/>
                <w:b w:val="0"/>
                <w:bCs w:val="0"/>
              </w:rPr>
            </w:pPr>
            <w:r>
              <w:rPr>
                <w:rFonts w:ascii="Times New Roman" w:hAnsi="Times New Roman" w:cs="Times New Roman"/>
                <w:b w:val="0"/>
                <w:bCs w:val="0"/>
              </w:rPr>
              <w:t>−</w:t>
            </w:r>
            <w:r>
              <w:rPr>
                <w:rFonts w:ascii="Times New Roman" w:hAnsi="Times New Roman" w:eastAsia="Times New Roman" w:cs="Times New Roman"/>
                <w:b w:val="0"/>
                <w:bCs w:val="0"/>
              </w:rPr>
              <w:t>0.336</w:t>
            </w:r>
          </w:p>
        </w:tc>
        <w:tc>
          <w:tcPr>
            <w:tcW w:w="1559" w:type="dxa"/>
            <w:vAlign w:val="center"/>
          </w:tcPr>
          <w:p w14:paraId="4622C166">
            <w:pPr>
              <w:spacing w:after="0" w:line="240" w:lineRule="auto"/>
              <w:rPr>
                <w:rFonts w:ascii="Times New Roman" w:hAnsi="Times New Roman" w:cs="Times New Roman"/>
              </w:rPr>
            </w:pPr>
            <w:r>
              <w:rPr>
                <w:rFonts w:ascii="Times New Roman" w:hAnsi="Times New Roman" w:eastAsia="Times New Roman" w:cs="Times New Roman"/>
              </w:rPr>
              <w:t>0.165</w:t>
            </w:r>
          </w:p>
        </w:tc>
        <w:tc>
          <w:tcPr>
            <w:tcW w:w="2410" w:type="dxa"/>
            <w:vAlign w:val="center"/>
          </w:tcPr>
          <w:p w14:paraId="43EA189E">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2.031</w:t>
            </w:r>
          </w:p>
        </w:tc>
        <w:tc>
          <w:tcPr>
            <w:tcW w:w="2835" w:type="dxa"/>
            <w:vAlign w:val="center"/>
          </w:tcPr>
          <w:p w14:paraId="15969FE2">
            <w:pPr>
              <w:spacing w:after="0" w:line="240" w:lineRule="auto"/>
              <w:rPr>
                <w:rFonts w:ascii="Times New Roman" w:hAnsi="Times New Roman" w:cs="Times New Roman"/>
                <w:b w:val="0"/>
                <w:bCs w:val="0"/>
              </w:rPr>
            </w:pPr>
            <w:r>
              <w:rPr>
                <w:rFonts w:ascii="Times New Roman" w:hAnsi="Times New Roman" w:cs="Times New Roman" w:eastAsiaTheme="minorEastAsia"/>
                <w:b w:val="0"/>
                <w:bCs w:val="0"/>
              </w:rPr>
              <w:t>0.042*</w:t>
            </w:r>
          </w:p>
        </w:tc>
      </w:tr>
      <w:tr w14:paraId="49A5674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065602B3">
            <w:pPr>
              <w:spacing w:after="0" w:line="240" w:lineRule="auto"/>
              <w:rPr>
                <w:rFonts w:ascii="Times New Roman" w:hAnsi="Times New Roman" w:cs="Times New Roman"/>
              </w:rPr>
            </w:pPr>
            <w:r>
              <w:rPr>
                <w:rFonts w:ascii="Times New Roman" w:hAnsi="Times New Roman" w:cs="Times New Roman"/>
              </w:rPr>
              <w:t>TN&lt;---</w:t>
            </w:r>
            <w:r>
              <w:rPr>
                <w:rFonts w:ascii="Times New Roman" w:hAnsi="Times New Roman" w:cs="Times New Roman"/>
              </w:rPr>
              <w:tab/>
            </w:r>
            <w:r>
              <w:rPr>
                <w:rFonts w:ascii="Times New Roman" w:hAnsi="Times New Roman" w:cs="Times New Roman"/>
              </w:rPr>
              <w:t>VOCs</w:t>
            </w:r>
          </w:p>
        </w:tc>
        <w:tc>
          <w:tcPr>
            <w:tcW w:w="1985" w:type="dxa"/>
            <w:vAlign w:val="center"/>
          </w:tcPr>
          <w:p w14:paraId="3EF1025D">
            <w:pPr>
              <w:spacing w:after="0" w:line="240" w:lineRule="auto"/>
              <w:rPr>
                <w:rFonts w:ascii="Times New Roman" w:hAnsi="Times New Roman" w:cs="Times New Roman"/>
                <w:b w:val="0"/>
                <w:bCs w:val="0"/>
              </w:rPr>
            </w:pPr>
            <w:r>
              <w:rPr>
                <w:rFonts w:ascii="Times New Roman" w:hAnsi="Times New Roman" w:cs="Times New Roman"/>
                <w:b w:val="0"/>
                <w:bCs w:val="0"/>
              </w:rPr>
              <w:t>−</w:t>
            </w:r>
            <w:r>
              <w:rPr>
                <w:rFonts w:ascii="Times New Roman" w:hAnsi="Times New Roman" w:eastAsia="Times New Roman" w:cs="Times New Roman"/>
                <w:b w:val="0"/>
                <w:bCs w:val="0"/>
              </w:rPr>
              <w:t>0.440</w:t>
            </w:r>
          </w:p>
        </w:tc>
        <w:tc>
          <w:tcPr>
            <w:tcW w:w="1559" w:type="dxa"/>
            <w:vAlign w:val="center"/>
          </w:tcPr>
          <w:p w14:paraId="612F27AD">
            <w:pPr>
              <w:spacing w:after="0" w:line="240" w:lineRule="auto"/>
              <w:rPr>
                <w:rFonts w:ascii="Times New Roman" w:hAnsi="Times New Roman" w:cs="Times New Roman"/>
              </w:rPr>
            </w:pPr>
            <w:r>
              <w:rPr>
                <w:rFonts w:ascii="Times New Roman" w:hAnsi="Times New Roman" w:eastAsia="Times New Roman" w:cs="Times New Roman"/>
              </w:rPr>
              <w:t>0.164</w:t>
            </w:r>
          </w:p>
        </w:tc>
        <w:tc>
          <w:tcPr>
            <w:tcW w:w="2410" w:type="dxa"/>
            <w:vAlign w:val="center"/>
          </w:tcPr>
          <w:p w14:paraId="28B3E0E4">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2.684</w:t>
            </w:r>
          </w:p>
        </w:tc>
        <w:tc>
          <w:tcPr>
            <w:tcW w:w="2835" w:type="dxa"/>
            <w:vAlign w:val="center"/>
          </w:tcPr>
          <w:p w14:paraId="58362238">
            <w:pPr>
              <w:spacing w:after="0" w:line="240" w:lineRule="auto"/>
              <w:rPr>
                <w:rFonts w:ascii="Times New Roman" w:hAnsi="Times New Roman" w:cs="Times New Roman"/>
                <w:b w:val="0"/>
                <w:bCs w:val="0"/>
              </w:rPr>
            </w:pPr>
            <w:r>
              <w:rPr>
                <w:rFonts w:ascii="Times New Roman" w:hAnsi="Times New Roman" w:cs="Times New Roman" w:eastAsiaTheme="minorEastAsia"/>
                <w:b w:val="0"/>
                <w:bCs w:val="0"/>
              </w:rPr>
              <w:t>0.007**</w:t>
            </w:r>
          </w:p>
        </w:tc>
      </w:tr>
      <w:tr w14:paraId="646F47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6A12B056">
            <w:pPr>
              <w:spacing w:after="0" w:line="240" w:lineRule="auto"/>
              <w:rPr>
                <w:rFonts w:ascii="Times New Roman" w:hAnsi="Times New Roman" w:cs="Times New Roman"/>
              </w:rPr>
            </w:pPr>
            <w:r>
              <w:rPr>
                <w:rFonts w:ascii="Times New Roman" w:hAnsi="Times New Roman" w:cs="Times New Roman"/>
              </w:rPr>
              <w:t>GI&lt;---VOCs</w:t>
            </w:r>
          </w:p>
        </w:tc>
        <w:tc>
          <w:tcPr>
            <w:tcW w:w="1985" w:type="dxa"/>
            <w:vAlign w:val="center"/>
          </w:tcPr>
          <w:p w14:paraId="7C6431D9">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0.011</w:t>
            </w:r>
          </w:p>
        </w:tc>
        <w:tc>
          <w:tcPr>
            <w:tcW w:w="1559" w:type="dxa"/>
            <w:vAlign w:val="center"/>
          </w:tcPr>
          <w:p w14:paraId="6687030F">
            <w:pPr>
              <w:spacing w:after="0" w:line="240" w:lineRule="auto"/>
              <w:rPr>
                <w:rFonts w:ascii="Times New Roman" w:hAnsi="Times New Roman" w:cs="Times New Roman"/>
              </w:rPr>
            </w:pPr>
            <w:r>
              <w:rPr>
                <w:rFonts w:ascii="Times New Roman" w:hAnsi="Times New Roman" w:eastAsia="Times New Roman" w:cs="Times New Roman"/>
              </w:rPr>
              <w:t>0.162</w:t>
            </w:r>
          </w:p>
        </w:tc>
        <w:tc>
          <w:tcPr>
            <w:tcW w:w="2410" w:type="dxa"/>
            <w:vAlign w:val="center"/>
          </w:tcPr>
          <w:p w14:paraId="6AE06597">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0.065</w:t>
            </w:r>
          </w:p>
        </w:tc>
        <w:tc>
          <w:tcPr>
            <w:tcW w:w="2835" w:type="dxa"/>
            <w:vAlign w:val="center"/>
          </w:tcPr>
          <w:p w14:paraId="06D10F9C">
            <w:pPr>
              <w:spacing w:after="0" w:line="240" w:lineRule="auto"/>
              <w:rPr>
                <w:rFonts w:ascii="Times New Roman" w:hAnsi="Times New Roman" w:cs="Times New Roman"/>
              </w:rPr>
            </w:pPr>
            <w:r>
              <w:rPr>
                <w:rFonts w:ascii="Times New Roman" w:hAnsi="Times New Roman" w:eastAsia="Times New Roman" w:cs="Times New Roman"/>
              </w:rPr>
              <w:t>0.948</w:t>
            </w:r>
          </w:p>
        </w:tc>
      </w:tr>
      <w:tr w14:paraId="588C8F4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1C68623C">
            <w:pPr>
              <w:spacing w:after="0" w:line="240" w:lineRule="auto"/>
              <w:rPr>
                <w:rFonts w:ascii="Times New Roman" w:hAnsi="Times New Roman" w:cs="Times New Roman"/>
              </w:rPr>
            </w:pPr>
            <w:r>
              <w:rPr>
                <w:rFonts w:ascii="Times New Roman" w:hAnsi="Times New Roman" w:cs="Times New Roman"/>
              </w:rPr>
              <w:t>HA&lt;---H</w:t>
            </w:r>
            <w:r>
              <w:rPr>
                <w:rFonts w:ascii="Times New Roman" w:hAnsi="Times New Roman" w:cs="Times New Roman"/>
                <w:vertAlign w:val="subscript"/>
              </w:rPr>
              <w:t>2</w:t>
            </w:r>
            <w:r>
              <w:rPr>
                <w:rFonts w:ascii="Times New Roman" w:hAnsi="Times New Roman" w:cs="Times New Roman"/>
              </w:rPr>
              <w:t>S</w:t>
            </w:r>
          </w:p>
        </w:tc>
        <w:tc>
          <w:tcPr>
            <w:tcW w:w="1985" w:type="dxa"/>
            <w:vAlign w:val="center"/>
          </w:tcPr>
          <w:p w14:paraId="0CC0C57A">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0.516</w:t>
            </w:r>
          </w:p>
        </w:tc>
        <w:tc>
          <w:tcPr>
            <w:tcW w:w="1559" w:type="dxa"/>
            <w:vAlign w:val="center"/>
          </w:tcPr>
          <w:p w14:paraId="5A8E66DC">
            <w:pPr>
              <w:spacing w:after="0" w:line="240" w:lineRule="auto"/>
              <w:rPr>
                <w:rFonts w:ascii="Times New Roman" w:hAnsi="Times New Roman" w:cs="Times New Roman"/>
              </w:rPr>
            </w:pPr>
            <w:r>
              <w:rPr>
                <w:rFonts w:ascii="Times New Roman" w:hAnsi="Times New Roman" w:eastAsia="Times New Roman" w:cs="Times New Roman"/>
              </w:rPr>
              <w:t>0.410</w:t>
            </w:r>
          </w:p>
        </w:tc>
        <w:tc>
          <w:tcPr>
            <w:tcW w:w="2410" w:type="dxa"/>
            <w:vAlign w:val="center"/>
          </w:tcPr>
          <w:p w14:paraId="0AA4AC82">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1.257</w:t>
            </w:r>
          </w:p>
        </w:tc>
        <w:tc>
          <w:tcPr>
            <w:tcW w:w="2835" w:type="dxa"/>
            <w:vAlign w:val="center"/>
          </w:tcPr>
          <w:p w14:paraId="36DF3CB3">
            <w:pPr>
              <w:spacing w:after="0" w:line="240" w:lineRule="auto"/>
              <w:rPr>
                <w:rFonts w:ascii="Times New Roman" w:hAnsi="Times New Roman" w:cs="Times New Roman"/>
              </w:rPr>
            </w:pPr>
            <w:r>
              <w:rPr>
                <w:rFonts w:ascii="Times New Roman" w:hAnsi="Times New Roman" w:eastAsia="Times New Roman" w:cs="Times New Roman"/>
              </w:rPr>
              <w:t>0.209</w:t>
            </w:r>
          </w:p>
        </w:tc>
      </w:tr>
      <w:tr w14:paraId="1DB5BEF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74DD7FDF">
            <w:pPr>
              <w:spacing w:after="0" w:line="240" w:lineRule="auto"/>
              <w:rPr>
                <w:rFonts w:ascii="Times New Roman" w:hAnsi="Times New Roman" w:cs="Times New Roman"/>
              </w:rPr>
            </w:pPr>
            <w:r>
              <w:rPr>
                <w:rFonts w:ascii="Times New Roman" w:hAnsi="Times New Roman" w:cs="Times New Roman"/>
              </w:rPr>
              <w:t>GI&lt;---H</w:t>
            </w:r>
            <w:r>
              <w:rPr>
                <w:rFonts w:ascii="Times New Roman" w:hAnsi="Times New Roman" w:cs="Times New Roman"/>
                <w:vertAlign w:val="subscript"/>
              </w:rPr>
              <w:t>2</w:t>
            </w:r>
            <w:r>
              <w:rPr>
                <w:rFonts w:ascii="Times New Roman" w:hAnsi="Times New Roman" w:cs="Times New Roman"/>
              </w:rPr>
              <w:t>S</w:t>
            </w:r>
          </w:p>
        </w:tc>
        <w:tc>
          <w:tcPr>
            <w:tcW w:w="1985" w:type="dxa"/>
            <w:vAlign w:val="center"/>
          </w:tcPr>
          <w:p w14:paraId="208FC519">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0.161</w:t>
            </w:r>
          </w:p>
        </w:tc>
        <w:tc>
          <w:tcPr>
            <w:tcW w:w="1559" w:type="dxa"/>
            <w:vAlign w:val="center"/>
          </w:tcPr>
          <w:p w14:paraId="464067C3">
            <w:pPr>
              <w:spacing w:after="0" w:line="240" w:lineRule="auto"/>
              <w:rPr>
                <w:rFonts w:ascii="Times New Roman" w:hAnsi="Times New Roman" w:cs="Times New Roman"/>
              </w:rPr>
            </w:pPr>
            <w:r>
              <w:rPr>
                <w:rFonts w:ascii="Times New Roman" w:hAnsi="Times New Roman" w:eastAsia="Times New Roman" w:cs="Times New Roman"/>
              </w:rPr>
              <w:t>0.402</w:t>
            </w:r>
          </w:p>
        </w:tc>
        <w:tc>
          <w:tcPr>
            <w:tcW w:w="2410" w:type="dxa"/>
            <w:vAlign w:val="center"/>
          </w:tcPr>
          <w:p w14:paraId="7525B916">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0.401</w:t>
            </w:r>
          </w:p>
        </w:tc>
        <w:tc>
          <w:tcPr>
            <w:tcW w:w="2835" w:type="dxa"/>
            <w:vAlign w:val="center"/>
          </w:tcPr>
          <w:p w14:paraId="58E42A47">
            <w:pPr>
              <w:spacing w:after="0" w:line="240" w:lineRule="auto"/>
              <w:rPr>
                <w:rFonts w:ascii="Times New Roman" w:hAnsi="Times New Roman" w:cs="Times New Roman"/>
              </w:rPr>
            </w:pPr>
            <w:r>
              <w:rPr>
                <w:rFonts w:ascii="Times New Roman" w:hAnsi="Times New Roman" w:eastAsia="Times New Roman" w:cs="Times New Roman"/>
              </w:rPr>
              <w:t>0.688</w:t>
            </w:r>
          </w:p>
        </w:tc>
      </w:tr>
      <w:tr w14:paraId="5FF3FB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29E71C07">
            <w:pPr>
              <w:spacing w:after="0" w:line="240" w:lineRule="auto"/>
              <w:rPr>
                <w:rFonts w:ascii="Times New Roman" w:hAnsi="Times New Roman" w:cs="Times New Roman"/>
              </w:rPr>
            </w:pPr>
            <w:r>
              <w:rPr>
                <w:rFonts w:ascii="Times New Roman" w:hAnsi="Times New Roman" w:cs="Times New Roman"/>
              </w:rPr>
              <w:t>TN&lt;---H</w:t>
            </w:r>
            <w:r>
              <w:rPr>
                <w:rFonts w:ascii="Times New Roman" w:hAnsi="Times New Roman" w:cs="Times New Roman"/>
                <w:vertAlign w:val="subscript"/>
              </w:rPr>
              <w:t>2</w:t>
            </w:r>
            <w:r>
              <w:rPr>
                <w:rFonts w:ascii="Times New Roman" w:hAnsi="Times New Roman" w:cs="Times New Roman"/>
              </w:rPr>
              <w:t>S</w:t>
            </w:r>
          </w:p>
        </w:tc>
        <w:tc>
          <w:tcPr>
            <w:tcW w:w="1985" w:type="dxa"/>
            <w:vAlign w:val="center"/>
          </w:tcPr>
          <w:p w14:paraId="096B2047">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0.060</w:t>
            </w:r>
          </w:p>
        </w:tc>
        <w:tc>
          <w:tcPr>
            <w:tcW w:w="1559" w:type="dxa"/>
            <w:vAlign w:val="center"/>
          </w:tcPr>
          <w:p w14:paraId="6A754E65">
            <w:pPr>
              <w:spacing w:after="0" w:line="240" w:lineRule="auto"/>
              <w:rPr>
                <w:rFonts w:ascii="Times New Roman" w:hAnsi="Times New Roman" w:cs="Times New Roman"/>
              </w:rPr>
            </w:pPr>
            <w:r>
              <w:rPr>
                <w:rFonts w:ascii="Times New Roman" w:hAnsi="Times New Roman" w:eastAsia="Times New Roman" w:cs="Times New Roman"/>
              </w:rPr>
              <w:t>0.406</w:t>
            </w:r>
          </w:p>
        </w:tc>
        <w:tc>
          <w:tcPr>
            <w:tcW w:w="2410" w:type="dxa"/>
            <w:vAlign w:val="center"/>
          </w:tcPr>
          <w:p w14:paraId="0B5F9618">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0.149</w:t>
            </w:r>
          </w:p>
        </w:tc>
        <w:tc>
          <w:tcPr>
            <w:tcW w:w="2835" w:type="dxa"/>
            <w:vAlign w:val="center"/>
          </w:tcPr>
          <w:p w14:paraId="5A2C98CB">
            <w:pPr>
              <w:spacing w:after="0" w:line="240" w:lineRule="auto"/>
              <w:rPr>
                <w:rFonts w:ascii="Times New Roman" w:hAnsi="Times New Roman" w:cs="Times New Roman"/>
              </w:rPr>
            </w:pPr>
            <w:r>
              <w:rPr>
                <w:rFonts w:ascii="Times New Roman" w:hAnsi="Times New Roman" w:eastAsia="Times New Roman" w:cs="Times New Roman"/>
              </w:rPr>
              <w:t>0.882</w:t>
            </w:r>
          </w:p>
        </w:tc>
      </w:tr>
      <w:tr w14:paraId="410007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7D6155EF">
            <w:pPr>
              <w:spacing w:after="0" w:line="240" w:lineRule="auto"/>
              <w:rPr>
                <w:rFonts w:ascii="Times New Roman" w:hAnsi="Times New Roman" w:cs="Times New Roman"/>
              </w:rPr>
            </w:pPr>
            <w:r>
              <w:rPr>
                <w:rFonts w:ascii="Times New Roman" w:hAnsi="Times New Roman" w:cs="Times New Roman"/>
              </w:rPr>
              <w:t>HA&lt;---CO</w:t>
            </w:r>
            <w:r>
              <w:rPr>
                <w:rFonts w:ascii="Times New Roman" w:hAnsi="Times New Roman" w:cs="Times New Roman"/>
                <w:vertAlign w:val="subscript"/>
              </w:rPr>
              <w:t>2</w:t>
            </w:r>
          </w:p>
        </w:tc>
        <w:tc>
          <w:tcPr>
            <w:tcW w:w="1985" w:type="dxa"/>
            <w:vAlign w:val="center"/>
          </w:tcPr>
          <w:p w14:paraId="0F222F0E">
            <w:pPr>
              <w:spacing w:after="0" w:line="240" w:lineRule="auto"/>
              <w:rPr>
                <w:rFonts w:ascii="Times New Roman" w:hAnsi="Times New Roman" w:cs="Times New Roman"/>
                <w:b/>
                <w:bCs/>
              </w:rPr>
            </w:pPr>
            <w:r>
              <w:rPr>
                <w:rFonts w:ascii="Times New Roman" w:hAnsi="Times New Roman" w:cs="Times New Roman"/>
                <w:b w:val="0"/>
                <w:bCs w:val="0"/>
              </w:rPr>
              <w:t>−</w:t>
            </w:r>
            <w:r>
              <w:rPr>
                <w:rFonts w:ascii="Times New Roman" w:hAnsi="Times New Roman" w:eastAsia="Times New Roman" w:cs="Times New Roman"/>
                <w:b w:val="0"/>
                <w:bCs w:val="0"/>
              </w:rPr>
              <w:t>0.363</w:t>
            </w:r>
          </w:p>
        </w:tc>
        <w:tc>
          <w:tcPr>
            <w:tcW w:w="1559" w:type="dxa"/>
            <w:vAlign w:val="center"/>
          </w:tcPr>
          <w:p w14:paraId="7CEFE5FC">
            <w:pPr>
              <w:spacing w:after="0" w:line="240" w:lineRule="auto"/>
              <w:rPr>
                <w:rFonts w:ascii="Times New Roman" w:hAnsi="Times New Roman" w:cs="Times New Roman"/>
              </w:rPr>
            </w:pPr>
            <w:r>
              <w:rPr>
                <w:rFonts w:ascii="Times New Roman" w:hAnsi="Times New Roman" w:eastAsia="Times New Roman" w:cs="Times New Roman"/>
              </w:rPr>
              <w:t>0.153</w:t>
            </w:r>
          </w:p>
        </w:tc>
        <w:tc>
          <w:tcPr>
            <w:tcW w:w="2410" w:type="dxa"/>
            <w:vAlign w:val="center"/>
          </w:tcPr>
          <w:p w14:paraId="0095DE2E">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0.408</w:t>
            </w:r>
          </w:p>
        </w:tc>
        <w:tc>
          <w:tcPr>
            <w:tcW w:w="2835" w:type="dxa"/>
            <w:vAlign w:val="center"/>
          </w:tcPr>
          <w:p w14:paraId="66FD13B5">
            <w:pPr>
              <w:spacing w:after="0" w:line="240" w:lineRule="auto"/>
              <w:rPr>
                <w:rFonts w:ascii="Times New Roman" w:hAnsi="Times New Roman" w:cs="Times New Roman"/>
                <w:b/>
                <w:bCs/>
              </w:rPr>
            </w:pPr>
            <w:r>
              <w:rPr>
                <w:rFonts w:ascii="Times New Roman" w:hAnsi="Times New Roman" w:cs="Times New Roman" w:eastAsiaTheme="minorEastAsia"/>
                <w:b w:val="0"/>
                <w:bCs w:val="0"/>
              </w:rPr>
              <w:t>0.043*</w:t>
            </w:r>
          </w:p>
        </w:tc>
      </w:tr>
      <w:tr w14:paraId="2173EE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03D170C2">
            <w:pPr>
              <w:spacing w:after="0" w:line="240" w:lineRule="auto"/>
              <w:rPr>
                <w:rFonts w:ascii="Times New Roman" w:hAnsi="Times New Roman" w:cs="Times New Roman"/>
              </w:rPr>
            </w:pPr>
            <w:r>
              <w:rPr>
                <w:rFonts w:ascii="Times New Roman" w:hAnsi="Times New Roman" w:cs="Times New Roman"/>
              </w:rPr>
              <w:t>GI&lt;---CO</w:t>
            </w:r>
            <w:r>
              <w:rPr>
                <w:rFonts w:ascii="Times New Roman" w:hAnsi="Times New Roman" w:cs="Times New Roman"/>
                <w:vertAlign w:val="subscript"/>
              </w:rPr>
              <w:t>2</w:t>
            </w:r>
          </w:p>
        </w:tc>
        <w:tc>
          <w:tcPr>
            <w:tcW w:w="1985" w:type="dxa"/>
            <w:vAlign w:val="center"/>
          </w:tcPr>
          <w:p w14:paraId="14A3351D">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0.077</w:t>
            </w:r>
          </w:p>
        </w:tc>
        <w:tc>
          <w:tcPr>
            <w:tcW w:w="1559" w:type="dxa"/>
            <w:vAlign w:val="center"/>
          </w:tcPr>
          <w:p w14:paraId="105D998E">
            <w:pPr>
              <w:spacing w:after="0" w:line="240" w:lineRule="auto"/>
              <w:rPr>
                <w:rFonts w:ascii="Times New Roman" w:hAnsi="Times New Roman" w:cs="Times New Roman"/>
              </w:rPr>
            </w:pPr>
            <w:r>
              <w:rPr>
                <w:rFonts w:ascii="Times New Roman" w:hAnsi="Times New Roman" w:eastAsia="Times New Roman" w:cs="Times New Roman"/>
              </w:rPr>
              <w:t>0.150</w:t>
            </w:r>
          </w:p>
        </w:tc>
        <w:tc>
          <w:tcPr>
            <w:tcW w:w="2410" w:type="dxa"/>
            <w:vAlign w:val="center"/>
          </w:tcPr>
          <w:p w14:paraId="1EC504AF">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0.515</w:t>
            </w:r>
          </w:p>
        </w:tc>
        <w:tc>
          <w:tcPr>
            <w:tcW w:w="2835" w:type="dxa"/>
            <w:vAlign w:val="center"/>
          </w:tcPr>
          <w:p w14:paraId="3B70929F">
            <w:pPr>
              <w:spacing w:after="0" w:line="240" w:lineRule="auto"/>
              <w:rPr>
                <w:rFonts w:ascii="Times New Roman" w:hAnsi="Times New Roman" w:cs="Times New Roman"/>
              </w:rPr>
            </w:pPr>
            <w:r>
              <w:rPr>
                <w:rFonts w:ascii="Times New Roman" w:hAnsi="Times New Roman" w:eastAsia="Times New Roman" w:cs="Times New Roman"/>
              </w:rPr>
              <w:t>0.607</w:t>
            </w:r>
          </w:p>
        </w:tc>
      </w:tr>
      <w:tr w14:paraId="4081F9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6132851C">
            <w:pPr>
              <w:spacing w:after="0" w:line="240" w:lineRule="auto"/>
              <w:rPr>
                <w:rFonts w:ascii="Times New Roman" w:hAnsi="Times New Roman" w:cs="Times New Roman"/>
              </w:rPr>
            </w:pPr>
            <w:r>
              <w:rPr>
                <w:rFonts w:ascii="Times New Roman" w:hAnsi="Times New Roman" w:cs="Times New Roman"/>
              </w:rPr>
              <w:t>TN&lt;---CO</w:t>
            </w:r>
            <w:r>
              <w:rPr>
                <w:rFonts w:ascii="Times New Roman" w:hAnsi="Times New Roman" w:cs="Times New Roman"/>
                <w:vertAlign w:val="subscript"/>
              </w:rPr>
              <w:t>2</w:t>
            </w:r>
          </w:p>
        </w:tc>
        <w:tc>
          <w:tcPr>
            <w:tcW w:w="1985" w:type="dxa"/>
            <w:vAlign w:val="center"/>
          </w:tcPr>
          <w:p w14:paraId="08FB11D7">
            <w:pPr>
              <w:spacing w:after="0" w:line="240" w:lineRule="auto"/>
              <w:rPr>
                <w:rFonts w:ascii="Times New Roman" w:hAnsi="Times New Roman" w:cs="Times New Roman"/>
              </w:rPr>
            </w:pPr>
            <w:r>
              <w:rPr>
                <w:rFonts w:ascii="Times New Roman" w:hAnsi="Times New Roman" w:eastAsia="Times New Roman" w:cs="Times New Roman"/>
              </w:rPr>
              <w:t>0.256</w:t>
            </w:r>
          </w:p>
        </w:tc>
        <w:tc>
          <w:tcPr>
            <w:tcW w:w="1559" w:type="dxa"/>
            <w:vAlign w:val="center"/>
          </w:tcPr>
          <w:p w14:paraId="2A22AEA9">
            <w:pPr>
              <w:spacing w:after="0" w:line="240" w:lineRule="auto"/>
              <w:rPr>
                <w:rFonts w:ascii="Times New Roman" w:hAnsi="Times New Roman" w:cs="Times New Roman"/>
              </w:rPr>
            </w:pPr>
            <w:r>
              <w:rPr>
                <w:rFonts w:ascii="Times New Roman" w:hAnsi="Times New Roman" w:eastAsia="Times New Roman" w:cs="Times New Roman"/>
              </w:rPr>
              <w:t>0.152</w:t>
            </w:r>
          </w:p>
        </w:tc>
        <w:tc>
          <w:tcPr>
            <w:tcW w:w="2410" w:type="dxa"/>
            <w:vAlign w:val="center"/>
          </w:tcPr>
          <w:p w14:paraId="2100A889">
            <w:pPr>
              <w:spacing w:after="0" w:line="240" w:lineRule="auto"/>
              <w:rPr>
                <w:rFonts w:ascii="Times New Roman" w:hAnsi="Times New Roman" w:cs="Times New Roman"/>
              </w:rPr>
            </w:pPr>
            <w:r>
              <w:rPr>
                <w:rFonts w:ascii="Times New Roman" w:hAnsi="Times New Roman" w:eastAsia="Times New Roman" w:cs="Times New Roman"/>
              </w:rPr>
              <w:t>1.685</w:t>
            </w:r>
          </w:p>
        </w:tc>
        <w:tc>
          <w:tcPr>
            <w:tcW w:w="2835" w:type="dxa"/>
            <w:vAlign w:val="center"/>
          </w:tcPr>
          <w:p w14:paraId="1518D3EA">
            <w:pPr>
              <w:spacing w:after="0" w:line="240" w:lineRule="auto"/>
              <w:rPr>
                <w:rFonts w:ascii="Times New Roman" w:hAnsi="Times New Roman" w:cs="Times New Roman"/>
              </w:rPr>
            </w:pPr>
            <w:r>
              <w:rPr>
                <w:rFonts w:ascii="Times New Roman" w:hAnsi="Times New Roman" w:eastAsia="Times New Roman" w:cs="Times New Roman"/>
              </w:rPr>
              <w:t>0.092</w:t>
            </w:r>
          </w:p>
        </w:tc>
      </w:tr>
      <w:tr w14:paraId="2C65FE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49967BAE">
            <w:pPr>
              <w:spacing w:after="0" w:line="240" w:lineRule="auto"/>
              <w:rPr>
                <w:rFonts w:ascii="Times New Roman" w:hAnsi="Times New Roman" w:cs="Times New Roman"/>
              </w:rPr>
            </w:pPr>
            <w:r>
              <w:rPr>
                <w:rFonts w:ascii="Times New Roman" w:hAnsi="Times New Roman" w:cs="Times New Roman"/>
              </w:rPr>
              <w:t>HA&lt;---NH</w:t>
            </w:r>
            <w:r>
              <w:rPr>
                <w:rFonts w:ascii="Times New Roman" w:hAnsi="Times New Roman" w:cs="Times New Roman"/>
                <w:vertAlign w:val="subscript"/>
              </w:rPr>
              <w:t>3</w:t>
            </w:r>
          </w:p>
        </w:tc>
        <w:tc>
          <w:tcPr>
            <w:tcW w:w="1985" w:type="dxa"/>
            <w:vAlign w:val="center"/>
          </w:tcPr>
          <w:p w14:paraId="64F116CB">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0.147</w:t>
            </w:r>
          </w:p>
        </w:tc>
        <w:tc>
          <w:tcPr>
            <w:tcW w:w="1559" w:type="dxa"/>
            <w:vAlign w:val="center"/>
          </w:tcPr>
          <w:p w14:paraId="182C515C">
            <w:pPr>
              <w:spacing w:after="0" w:line="240" w:lineRule="auto"/>
              <w:rPr>
                <w:rFonts w:ascii="Times New Roman" w:hAnsi="Times New Roman" w:cs="Times New Roman"/>
              </w:rPr>
            </w:pPr>
            <w:r>
              <w:rPr>
                <w:rFonts w:ascii="Times New Roman" w:hAnsi="Times New Roman" w:eastAsia="Times New Roman" w:cs="Times New Roman"/>
              </w:rPr>
              <w:t>0.166</w:t>
            </w:r>
          </w:p>
        </w:tc>
        <w:tc>
          <w:tcPr>
            <w:tcW w:w="2410" w:type="dxa"/>
            <w:vAlign w:val="center"/>
          </w:tcPr>
          <w:p w14:paraId="0CE98999">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0.886</w:t>
            </w:r>
          </w:p>
        </w:tc>
        <w:tc>
          <w:tcPr>
            <w:tcW w:w="2835" w:type="dxa"/>
            <w:vAlign w:val="center"/>
          </w:tcPr>
          <w:p w14:paraId="5334D9DC">
            <w:pPr>
              <w:spacing w:after="0" w:line="240" w:lineRule="auto"/>
              <w:rPr>
                <w:rFonts w:ascii="Times New Roman" w:hAnsi="Times New Roman" w:cs="Times New Roman"/>
              </w:rPr>
            </w:pPr>
            <w:r>
              <w:rPr>
                <w:rFonts w:ascii="Times New Roman" w:hAnsi="Times New Roman" w:eastAsia="Times New Roman" w:cs="Times New Roman"/>
              </w:rPr>
              <w:t>0.375</w:t>
            </w:r>
          </w:p>
        </w:tc>
      </w:tr>
      <w:tr w14:paraId="4411CC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18C1C3AE">
            <w:pPr>
              <w:spacing w:after="0" w:line="240" w:lineRule="auto"/>
              <w:rPr>
                <w:rFonts w:ascii="Times New Roman" w:hAnsi="Times New Roman" w:cs="Times New Roman"/>
              </w:rPr>
            </w:pPr>
            <w:r>
              <w:rPr>
                <w:rFonts w:ascii="Times New Roman" w:hAnsi="Times New Roman" w:cs="Times New Roman"/>
              </w:rPr>
              <w:t>GI&lt;---NH</w:t>
            </w:r>
            <w:r>
              <w:rPr>
                <w:rFonts w:ascii="Times New Roman" w:hAnsi="Times New Roman" w:cs="Times New Roman"/>
                <w:vertAlign w:val="subscript"/>
              </w:rPr>
              <w:t>3</w:t>
            </w:r>
          </w:p>
        </w:tc>
        <w:tc>
          <w:tcPr>
            <w:tcW w:w="1985" w:type="dxa"/>
            <w:vAlign w:val="center"/>
          </w:tcPr>
          <w:p w14:paraId="05C8543F">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0.128</w:t>
            </w:r>
          </w:p>
        </w:tc>
        <w:tc>
          <w:tcPr>
            <w:tcW w:w="1559" w:type="dxa"/>
            <w:vAlign w:val="center"/>
          </w:tcPr>
          <w:p w14:paraId="633E090A">
            <w:pPr>
              <w:spacing w:after="0" w:line="240" w:lineRule="auto"/>
              <w:rPr>
                <w:rFonts w:ascii="Times New Roman" w:hAnsi="Times New Roman" w:cs="Times New Roman"/>
              </w:rPr>
            </w:pPr>
            <w:r>
              <w:rPr>
                <w:rFonts w:ascii="Times New Roman" w:hAnsi="Times New Roman" w:eastAsia="Times New Roman" w:cs="Times New Roman"/>
              </w:rPr>
              <w:t>0.163</w:t>
            </w:r>
          </w:p>
        </w:tc>
        <w:tc>
          <w:tcPr>
            <w:tcW w:w="2410" w:type="dxa"/>
            <w:vAlign w:val="center"/>
          </w:tcPr>
          <w:p w14:paraId="0EC129A6">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0.788</w:t>
            </w:r>
          </w:p>
        </w:tc>
        <w:tc>
          <w:tcPr>
            <w:tcW w:w="2835" w:type="dxa"/>
            <w:vAlign w:val="center"/>
          </w:tcPr>
          <w:p w14:paraId="76663385">
            <w:pPr>
              <w:spacing w:after="0" w:line="240" w:lineRule="auto"/>
              <w:rPr>
                <w:rFonts w:ascii="Times New Roman" w:hAnsi="Times New Roman" w:cs="Times New Roman"/>
              </w:rPr>
            </w:pPr>
            <w:r>
              <w:rPr>
                <w:rFonts w:ascii="Times New Roman" w:hAnsi="Times New Roman" w:eastAsia="Times New Roman" w:cs="Times New Roman"/>
              </w:rPr>
              <w:t>0.431</w:t>
            </w:r>
          </w:p>
        </w:tc>
      </w:tr>
      <w:tr w14:paraId="57C8BE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696C7367">
            <w:pPr>
              <w:spacing w:after="0" w:line="240" w:lineRule="auto"/>
              <w:rPr>
                <w:rFonts w:ascii="Times New Roman" w:hAnsi="Times New Roman" w:cs="Times New Roman"/>
              </w:rPr>
            </w:pPr>
            <w:r>
              <w:rPr>
                <w:rFonts w:ascii="Times New Roman" w:hAnsi="Times New Roman" w:cs="Times New Roman"/>
              </w:rPr>
              <w:t>TN&lt;---NH</w:t>
            </w:r>
            <w:r>
              <w:rPr>
                <w:rFonts w:ascii="Times New Roman" w:hAnsi="Times New Roman" w:cs="Times New Roman"/>
                <w:vertAlign w:val="subscript"/>
              </w:rPr>
              <w:t>3</w:t>
            </w:r>
          </w:p>
        </w:tc>
        <w:tc>
          <w:tcPr>
            <w:tcW w:w="1985" w:type="dxa"/>
            <w:vAlign w:val="center"/>
          </w:tcPr>
          <w:p w14:paraId="3DCBC747">
            <w:pPr>
              <w:spacing w:after="0" w:line="240" w:lineRule="auto"/>
              <w:rPr>
                <w:rFonts w:ascii="Times New Roman" w:hAnsi="Times New Roman" w:cs="Times New Roman"/>
                <w:b/>
                <w:bCs/>
              </w:rPr>
            </w:pPr>
            <w:r>
              <w:rPr>
                <w:rFonts w:ascii="Times New Roman" w:hAnsi="Times New Roman" w:cs="Times New Roman"/>
                <w:b w:val="0"/>
                <w:bCs w:val="0"/>
              </w:rPr>
              <w:t>−</w:t>
            </w:r>
            <w:r>
              <w:rPr>
                <w:rFonts w:ascii="Times New Roman" w:hAnsi="Times New Roman" w:cs="Times New Roman" w:eastAsiaTheme="minorEastAsia"/>
                <w:b w:val="0"/>
                <w:bCs w:val="0"/>
              </w:rPr>
              <w:t>0.320</w:t>
            </w:r>
          </w:p>
        </w:tc>
        <w:tc>
          <w:tcPr>
            <w:tcW w:w="1559" w:type="dxa"/>
            <w:vAlign w:val="center"/>
          </w:tcPr>
          <w:p w14:paraId="31373A18">
            <w:pPr>
              <w:spacing w:after="0" w:line="240" w:lineRule="auto"/>
              <w:rPr>
                <w:rFonts w:ascii="Times New Roman" w:hAnsi="Times New Roman" w:cs="Times New Roman"/>
              </w:rPr>
            </w:pPr>
            <w:r>
              <w:rPr>
                <w:rFonts w:ascii="Times New Roman" w:hAnsi="Times New Roman" w:eastAsia="Times New Roman" w:cs="Times New Roman"/>
              </w:rPr>
              <w:t>0.165</w:t>
            </w:r>
          </w:p>
        </w:tc>
        <w:tc>
          <w:tcPr>
            <w:tcW w:w="2410" w:type="dxa"/>
            <w:vAlign w:val="center"/>
          </w:tcPr>
          <w:p w14:paraId="087A7600">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0.120</w:t>
            </w:r>
          </w:p>
        </w:tc>
        <w:tc>
          <w:tcPr>
            <w:tcW w:w="2835" w:type="dxa"/>
            <w:vAlign w:val="center"/>
          </w:tcPr>
          <w:p w14:paraId="3890819D">
            <w:pPr>
              <w:spacing w:after="0" w:line="240" w:lineRule="auto"/>
              <w:rPr>
                <w:rFonts w:ascii="Times New Roman" w:hAnsi="Times New Roman" w:cs="Times New Roman"/>
                <w:b w:val="0"/>
                <w:bCs w:val="0"/>
              </w:rPr>
            </w:pPr>
            <w:r>
              <w:rPr>
                <w:rFonts w:ascii="Times New Roman" w:hAnsi="Times New Roman" w:cs="Times New Roman" w:eastAsiaTheme="minorEastAsia"/>
                <w:b w:val="0"/>
                <w:bCs w:val="0"/>
              </w:rPr>
              <w:t>0.005**</w:t>
            </w:r>
          </w:p>
        </w:tc>
      </w:tr>
      <w:tr w14:paraId="477402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2C1A7E72">
            <w:pPr>
              <w:spacing w:after="0" w:line="240" w:lineRule="auto"/>
              <w:rPr>
                <w:rFonts w:ascii="Times New Roman" w:hAnsi="Times New Roman" w:cs="Times New Roman"/>
              </w:rPr>
            </w:pPr>
            <w:r>
              <w:rPr>
                <w:rFonts w:ascii="Times New Roman" w:hAnsi="Times New Roman" w:cs="Times New Roman"/>
              </w:rPr>
              <w:t>HA&lt;---N</w:t>
            </w:r>
            <w:r>
              <w:rPr>
                <w:rFonts w:ascii="Times New Roman" w:hAnsi="Times New Roman" w:cs="Times New Roman"/>
                <w:vertAlign w:val="subscript"/>
              </w:rPr>
              <w:t>2</w:t>
            </w:r>
            <w:r>
              <w:rPr>
                <w:rFonts w:ascii="Times New Roman" w:hAnsi="Times New Roman" w:cs="Times New Roman"/>
              </w:rPr>
              <w:t>O</w:t>
            </w:r>
          </w:p>
        </w:tc>
        <w:tc>
          <w:tcPr>
            <w:tcW w:w="1985" w:type="dxa"/>
            <w:vAlign w:val="center"/>
          </w:tcPr>
          <w:p w14:paraId="64848AFC">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0.421</w:t>
            </w:r>
          </w:p>
        </w:tc>
        <w:tc>
          <w:tcPr>
            <w:tcW w:w="1559" w:type="dxa"/>
            <w:vAlign w:val="center"/>
          </w:tcPr>
          <w:p w14:paraId="32269D75">
            <w:pPr>
              <w:spacing w:after="0" w:line="240" w:lineRule="auto"/>
              <w:rPr>
                <w:rFonts w:ascii="Times New Roman" w:hAnsi="Times New Roman" w:cs="Times New Roman"/>
              </w:rPr>
            </w:pPr>
            <w:r>
              <w:rPr>
                <w:rFonts w:ascii="Times New Roman" w:hAnsi="Times New Roman" w:eastAsia="Times New Roman" w:cs="Times New Roman"/>
              </w:rPr>
              <w:t>0.399</w:t>
            </w:r>
          </w:p>
        </w:tc>
        <w:tc>
          <w:tcPr>
            <w:tcW w:w="2410" w:type="dxa"/>
            <w:vAlign w:val="center"/>
          </w:tcPr>
          <w:p w14:paraId="19335DB5">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1.056</w:t>
            </w:r>
          </w:p>
        </w:tc>
        <w:tc>
          <w:tcPr>
            <w:tcW w:w="2835" w:type="dxa"/>
            <w:vAlign w:val="center"/>
          </w:tcPr>
          <w:p w14:paraId="0621F690">
            <w:pPr>
              <w:spacing w:after="0" w:line="240" w:lineRule="auto"/>
              <w:rPr>
                <w:rFonts w:ascii="Times New Roman" w:hAnsi="Times New Roman" w:cs="Times New Roman"/>
              </w:rPr>
            </w:pPr>
            <w:r>
              <w:rPr>
                <w:rFonts w:ascii="Times New Roman" w:hAnsi="Times New Roman" w:eastAsia="Times New Roman" w:cs="Times New Roman"/>
              </w:rPr>
              <w:t>0.291</w:t>
            </w:r>
          </w:p>
        </w:tc>
      </w:tr>
      <w:tr w14:paraId="522077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08DCB991">
            <w:pPr>
              <w:spacing w:after="0" w:line="240" w:lineRule="auto"/>
              <w:rPr>
                <w:rFonts w:ascii="Times New Roman" w:hAnsi="Times New Roman" w:cs="Times New Roman"/>
              </w:rPr>
            </w:pPr>
            <w:r>
              <w:rPr>
                <w:rFonts w:ascii="Times New Roman" w:hAnsi="Times New Roman" w:cs="Times New Roman"/>
              </w:rPr>
              <w:t>GI&lt;---N</w:t>
            </w:r>
            <w:r>
              <w:rPr>
                <w:rFonts w:ascii="Times New Roman" w:hAnsi="Times New Roman" w:cs="Times New Roman"/>
                <w:vertAlign w:val="subscript"/>
              </w:rPr>
              <w:t>2</w:t>
            </w:r>
            <w:r>
              <w:rPr>
                <w:rFonts w:ascii="Times New Roman" w:hAnsi="Times New Roman" w:cs="Times New Roman"/>
              </w:rPr>
              <w:t>O</w:t>
            </w:r>
          </w:p>
        </w:tc>
        <w:tc>
          <w:tcPr>
            <w:tcW w:w="1985" w:type="dxa"/>
            <w:vAlign w:val="center"/>
          </w:tcPr>
          <w:p w14:paraId="2E004EE5">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0.406</w:t>
            </w:r>
          </w:p>
        </w:tc>
        <w:tc>
          <w:tcPr>
            <w:tcW w:w="1559" w:type="dxa"/>
            <w:vAlign w:val="center"/>
          </w:tcPr>
          <w:p w14:paraId="1A723519">
            <w:pPr>
              <w:spacing w:after="0" w:line="240" w:lineRule="auto"/>
              <w:rPr>
                <w:rFonts w:ascii="Times New Roman" w:hAnsi="Times New Roman" w:cs="Times New Roman"/>
              </w:rPr>
            </w:pPr>
            <w:r>
              <w:rPr>
                <w:rFonts w:ascii="Times New Roman" w:hAnsi="Times New Roman" w:eastAsia="Times New Roman" w:cs="Times New Roman"/>
              </w:rPr>
              <w:t>0.390</w:t>
            </w:r>
          </w:p>
        </w:tc>
        <w:tc>
          <w:tcPr>
            <w:tcW w:w="2410" w:type="dxa"/>
            <w:vAlign w:val="center"/>
          </w:tcPr>
          <w:p w14:paraId="0644BAD6">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1.040</w:t>
            </w:r>
          </w:p>
        </w:tc>
        <w:tc>
          <w:tcPr>
            <w:tcW w:w="2835" w:type="dxa"/>
            <w:vAlign w:val="center"/>
          </w:tcPr>
          <w:p w14:paraId="60A15B0C">
            <w:pPr>
              <w:spacing w:after="0" w:line="240" w:lineRule="auto"/>
              <w:rPr>
                <w:rFonts w:ascii="Times New Roman" w:hAnsi="Times New Roman" w:cs="Times New Roman"/>
              </w:rPr>
            </w:pPr>
            <w:r>
              <w:rPr>
                <w:rFonts w:ascii="Times New Roman" w:hAnsi="Times New Roman" w:eastAsia="Times New Roman" w:cs="Times New Roman"/>
              </w:rPr>
              <w:t>0.298</w:t>
            </w:r>
          </w:p>
        </w:tc>
      </w:tr>
      <w:tr w14:paraId="1F7D1A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5939E3A5">
            <w:pPr>
              <w:spacing w:after="0" w:line="240" w:lineRule="auto"/>
              <w:rPr>
                <w:rFonts w:ascii="Times New Roman" w:hAnsi="Times New Roman" w:cs="Times New Roman"/>
              </w:rPr>
            </w:pPr>
            <w:r>
              <w:rPr>
                <w:rFonts w:ascii="Times New Roman" w:hAnsi="Times New Roman" w:cs="Times New Roman"/>
              </w:rPr>
              <w:t>TN&lt;---N</w:t>
            </w:r>
            <w:r>
              <w:rPr>
                <w:rFonts w:ascii="Times New Roman" w:hAnsi="Times New Roman" w:cs="Times New Roman"/>
                <w:vertAlign w:val="subscript"/>
              </w:rPr>
              <w:t>2</w:t>
            </w:r>
            <w:r>
              <w:rPr>
                <w:rFonts w:ascii="Times New Roman" w:hAnsi="Times New Roman" w:cs="Times New Roman"/>
              </w:rPr>
              <w:t>O</w:t>
            </w:r>
          </w:p>
        </w:tc>
        <w:tc>
          <w:tcPr>
            <w:tcW w:w="1985" w:type="dxa"/>
            <w:vAlign w:val="center"/>
          </w:tcPr>
          <w:p w14:paraId="5ECDC247">
            <w:pPr>
              <w:spacing w:after="0" w:line="240" w:lineRule="auto"/>
              <w:rPr>
                <w:rFonts w:ascii="Times New Roman" w:hAnsi="Times New Roman" w:cs="Times New Roman"/>
                <w:b/>
                <w:bCs/>
              </w:rPr>
            </w:pPr>
            <w:r>
              <w:rPr>
                <w:rFonts w:ascii="Times New Roman" w:hAnsi="Times New Roman" w:cs="Times New Roman"/>
                <w:b w:val="0"/>
                <w:bCs w:val="0"/>
              </w:rPr>
              <w:t>−</w:t>
            </w:r>
            <w:r>
              <w:rPr>
                <w:rFonts w:ascii="Times New Roman" w:hAnsi="Times New Roman" w:eastAsia="Times New Roman" w:cs="Times New Roman"/>
                <w:b w:val="0"/>
                <w:bCs w:val="0"/>
              </w:rPr>
              <w:t>0.329</w:t>
            </w:r>
          </w:p>
        </w:tc>
        <w:tc>
          <w:tcPr>
            <w:tcW w:w="1559" w:type="dxa"/>
            <w:vAlign w:val="center"/>
          </w:tcPr>
          <w:p w14:paraId="760D11A6">
            <w:pPr>
              <w:spacing w:after="0" w:line="240" w:lineRule="auto"/>
              <w:rPr>
                <w:rFonts w:ascii="Times New Roman" w:hAnsi="Times New Roman" w:cs="Times New Roman"/>
              </w:rPr>
            </w:pPr>
            <w:r>
              <w:rPr>
                <w:rFonts w:ascii="Times New Roman" w:hAnsi="Times New Roman" w:eastAsia="Times New Roman" w:cs="Times New Roman"/>
              </w:rPr>
              <w:t>0.395</w:t>
            </w:r>
          </w:p>
        </w:tc>
        <w:tc>
          <w:tcPr>
            <w:tcW w:w="2410" w:type="dxa"/>
            <w:vAlign w:val="center"/>
          </w:tcPr>
          <w:p w14:paraId="5B736BD6">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0.578</w:t>
            </w:r>
          </w:p>
        </w:tc>
        <w:tc>
          <w:tcPr>
            <w:tcW w:w="2835" w:type="dxa"/>
            <w:vAlign w:val="center"/>
          </w:tcPr>
          <w:p w14:paraId="6A5B5AC8">
            <w:pPr>
              <w:spacing w:after="0" w:line="240" w:lineRule="auto"/>
              <w:rPr>
                <w:rFonts w:ascii="Times New Roman" w:hAnsi="Times New Roman" w:cs="Times New Roman"/>
                <w:b/>
                <w:bCs/>
              </w:rPr>
            </w:pPr>
            <w:r>
              <w:rPr>
                <w:rFonts w:ascii="Times New Roman" w:hAnsi="Times New Roman" w:eastAsia="Times New Roman" w:cs="Times New Roman"/>
                <w:b w:val="0"/>
                <w:bCs w:val="0"/>
              </w:rPr>
              <w:t>0.0543*</w:t>
            </w:r>
          </w:p>
        </w:tc>
      </w:tr>
      <w:tr w14:paraId="6F6084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44C6813F">
            <w:pPr>
              <w:spacing w:after="0" w:line="240" w:lineRule="auto"/>
              <w:rPr>
                <w:rFonts w:ascii="Times New Roman" w:hAnsi="Times New Roman" w:cs="Times New Roman"/>
              </w:rPr>
            </w:pPr>
            <w:r>
              <w:rPr>
                <w:rFonts w:ascii="Times New Roman" w:hAnsi="Times New Roman" w:cs="Times New Roman"/>
              </w:rPr>
              <w:t>TN&lt;---CH</w:t>
            </w:r>
            <w:r>
              <w:rPr>
                <w:rFonts w:ascii="Times New Roman" w:hAnsi="Times New Roman" w:cs="Times New Roman"/>
                <w:vertAlign w:val="subscript"/>
              </w:rPr>
              <w:t>4</w:t>
            </w:r>
          </w:p>
        </w:tc>
        <w:tc>
          <w:tcPr>
            <w:tcW w:w="1985" w:type="dxa"/>
            <w:vAlign w:val="center"/>
          </w:tcPr>
          <w:p w14:paraId="0B719FC2">
            <w:pPr>
              <w:spacing w:after="0" w:line="240" w:lineRule="auto"/>
              <w:rPr>
                <w:rFonts w:ascii="Times New Roman" w:hAnsi="Times New Roman" w:cs="Times New Roman"/>
              </w:rPr>
            </w:pPr>
            <w:r>
              <w:rPr>
                <w:rFonts w:ascii="Times New Roman" w:hAnsi="Times New Roman" w:eastAsia="Times New Roman" w:cs="Times New Roman"/>
              </w:rPr>
              <w:t>0.205</w:t>
            </w:r>
          </w:p>
        </w:tc>
        <w:tc>
          <w:tcPr>
            <w:tcW w:w="1559" w:type="dxa"/>
            <w:vAlign w:val="center"/>
          </w:tcPr>
          <w:p w14:paraId="7A547591">
            <w:pPr>
              <w:spacing w:after="0" w:line="240" w:lineRule="auto"/>
              <w:rPr>
                <w:rFonts w:ascii="Times New Roman" w:hAnsi="Times New Roman" w:cs="Times New Roman"/>
              </w:rPr>
            </w:pPr>
            <w:r>
              <w:rPr>
                <w:rFonts w:ascii="Times New Roman" w:hAnsi="Times New Roman" w:eastAsia="Times New Roman" w:cs="Times New Roman"/>
              </w:rPr>
              <w:t>0.154</w:t>
            </w:r>
          </w:p>
        </w:tc>
        <w:tc>
          <w:tcPr>
            <w:tcW w:w="2410" w:type="dxa"/>
            <w:vAlign w:val="center"/>
          </w:tcPr>
          <w:p w14:paraId="2C923BC2">
            <w:pPr>
              <w:spacing w:after="0" w:line="240" w:lineRule="auto"/>
              <w:rPr>
                <w:rFonts w:ascii="Times New Roman" w:hAnsi="Times New Roman" w:cs="Times New Roman"/>
              </w:rPr>
            </w:pPr>
            <w:r>
              <w:rPr>
                <w:rFonts w:ascii="Times New Roman" w:hAnsi="Times New Roman" w:eastAsia="Times New Roman" w:cs="Times New Roman"/>
              </w:rPr>
              <w:t>1.333</w:t>
            </w:r>
          </w:p>
        </w:tc>
        <w:tc>
          <w:tcPr>
            <w:tcW w:w="2835" w:type="dxa"/>
            <w:vAlign w:val="center"/>
          </w:tcPr>
          <w:p w14:paraId="7E750D2C">
            <w:pPr>
              <w:spacing w:after="0" w:line="240" w:lineRule="auto"/>
              <w:rPr>
                <w:rFonts w:ascii="Times New Roman" w:hAnsi="Times New Roman" w:cs="Times New Roman"/>
              </w:rPr>
            </w:pPr>
            <w:r>
              <w:rPr>
                <w:rFonts w:ascii="Times New Roman" w:hAnsi="Times New Roman" w:eastAsia="Times New Roman" w:cs="Times New Roman"/>
              </w:rPr>
              <w:t>0.182</w:t>
            </w:r>
          </w:p>
        </w:tc>
      </w:tr>
      <w:tr w14:paraId="1F47925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4D5C75D6">
            <w:pPr>
              <w:spacing w:after="0" w:line="240" w:lineRule="auto"/>
              <w:rPr>
                <w:rFonts w:ascii="Times New Roman" w:hAnsi="Times New Roman" w:cs="Times New Roman"/>
              </w:rPr>
            </w:pPr>
            <w:r>
              <w:rPr>
                <w:rFonts w:ascii="Times New Roman" w:hAnsi="Times New Roman" w:cs="Times New Roman"/>
              </w:rPr>
              <w:t>HA&lt;---CH</w:t>
            </w:r>
            <w:r>
              <w:rPr>
                <w:rFonts w:ascii="Times New Roman" w:hAnsi="Times New Roman" w:cs="Times New Roman"/>
                <w:vertAlign w:val="subscript"/>
              </w:rPr>
              <w:t>4</w:t>
            </w:r>
          </w:p>
        </w:tc>
        <w:tc>
          <w:tcPr>
            <w:tcW w:w="1985" w:type="dxa"/>
            <w:vAlign w:val="center"/>
          </w:tcPr>
          <w:p w14:paraId="38717EB5">
            <w:pPr>
              <w:spacing w:after="0" w:line="240" w:lineRule="auto"/>
              <w:rPr>
                <w:rFonts w:ascii="Times New Roman" w:hAnsi="Times New Roman" w:cs="Times New Roman"/>
              </w:rPr>
            </w:pPr>
            <w:r>
              <w:rPr>
                <w:rFonts w:ascii="Times New Roman" w:hAnsi="Times New Roman" w:cs="Times New Roman"/>
                <w:b w:val="0"/>
                <w:bCs w:val="0"/>
              </w:rPr>
              <w:t>−</w:t>
            </w:r>
            <w:r>
              <w:rPr>
                <w:rFonts w:ascii="Times New Roman" w:hAnsi="Times New Roman" w:eastAsia="Times New Roman" w:cs="Times New Roman"/>
                <w:b w:val="0"/>
                <w:bCs w:val="0"/>
              </w:rPr>
              <w:t>0.263</w:t>
            </w:r>
          </w:p>
        </w:tc>
        <w:tc>
          <w:tcPr>
            <w:tcW w:w="1559" w:type="dxa"/>
            <w:vAlign w:val="center"/>
          </w:tcPr>
          <w:p w14:paraId="3F1AC218">
            <w:pPr>
              <w:spacing w:after="0" w:line="240" w:lineRule="auto"/>
              <w:rPr>
                <w:rFonts w:ascii="Times New Roman" w:hAnsi="Times New Roman" w:cs="Times New Roman"/>
              </w:rPr>
            </w:pPr>
            <w:r>
              <w:rPr>
                <w:rFonts w:ascii="Times New Roman" w:hAnsi="Times New Roman" w:eastAsia="Times New Roman" w:cs="Times New Roman"/>
              </w:rPr>
              <w:t>0.155</w:t>
            </w:r>
          </w:p>
        </w:tc>
        <w:tc>
          <w:tcPr>
            <w:tcW w:w="2410" w:type="dxa"/>
            <w:vAlign w:val="center"/>
          </w:tcPr>
          <w:p w14:paraId="0AEC28EE">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0.663</w:t>
            </w:r>
          </w:p>
        </w:tc>
        <w:tc>
          <w:tcPr>
            <w:tcW w:w="2835" w:type="dxa"/>
            <w:vAlign w:val="center"/>
          </w:tcPr>
          <w:p w14:paraId="5171A723">
            <w:pPr>
              <w:spacing w:after="0" w:line="240" w:lineRule="auto"/>
              <w:rPr>
                <w:rFonts w:ascii="Times New Roman" w:hAnsi="Times New Roman" w:cs="Times New Roman"/>
                <w:b/>
                <w:bCs/>
              </w:rPr>
            </w:pPr>
            <w:r>
              <w:rPr>
                <w:rFonts w:ascii="Times New Roman" w:hAnsi="Times New Roman" w:eastAsia="Times New Roman" w:cs="Times New Roman"/>
                <w:b w:val="0"/>
                <w:bCs w:val="0"/>
              </w:rPr>
              <w:t>0.0507*</w:t>
            </w:r>
          </w:p>
        </w:tc>
      </w:tr>
      <w:tr w14:paraId="2AC038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530AF74C">
            <w:pPr>
              <w:spacing w:after="0" w:line="240" w:lineRule="auto"/>
              <w:rPr>
                <w:rFonts w:ascii="Times New Roman" w:hAnsi="Times New Roman" w:cs="Times New Roman"/>
              </w:rPr>
            </w:pPr>
            <w:r>
              <w:rPr>
                <w:rFonts w:ascii="Times New Roman" w:hAnsi="Times New Roman" w:cs="Times New Roman"/>
              </w:rPr>
              <w:t>GI&lt;---CH</w:t>
            </w:r>
            <w:r>
              <w:rPr>
                <w:rFonts w:ascii="Times New Roman" w:hAnsi="Times New Roman" w:cs="Times New Roman"/>
                <w:vertAlign w:val="subscript"/>
              </w:rPr>
              <w:t>4</w:t>
            </w:r>
          </w:p>
        </w:tc>
        <w:tc>
          <w:tcPr>
            <w:tcW w:w="1985" w:type="dxa"/>
            <w:vAlign w:val="center"/>
          </w:tcPr>
          <w:p w14:paraId="18A0D693">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0.180</w:t>
            </w:r>
          </w:p>
        </w:tc>
        <w:tc>
          <w:tcPr>
            <w:tcW w:w="1559" w:type="dxa"/>
            <w:vAlign w:val="center"/>
          </w:tcPr>
          <w:p w14:paraId="68D7895B">
            <w:pPr>
              <w:spacing w:after="0" w:line="240" w:lineRule="auto"/>
              <w:rPr>
                <w:rFonts w:ascii="Times New Roman" w:hAnsi="Times New Roman" w:cs="Times New Roman"/>
              </w:rPr>
            </w:pPr>
            <w:r>
              <w:rPr>
                <w:rFonts w:ascii="Times New Roman" w:hAnsi="Times New Roman" w:eastAsia="Times New Roman" w:cs="Times New Roman"/>
              </w:rPr>
              <w:t>0.152</w:t>
            </w:r>
          </w:p>
        </w:tc>
        <w:tc>
          <w:tcPr>
            <w:tcW w:w="2410" w:type="dxa"/>
            <w:vAlign w:val="center"/>
          </w:tcPr>
          <w:p w14:paraId="66626B8F">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eastAsia="Times New Roman" w:cs="Times New Roman"/>
              </w:rPr>
              <w:t>1.185</w:t>
            </w:r>
          </w:p>
        </w:tc>
        <w:tc>
          <w:tcPr>
            <w:tcW w:w="2835" w:type="dxa"/>
            <w:vAlign w:val="center"/>
          </w:tcPr>
          <w:p w14:paraId="5E34BB18">
            <w:pPr>
              <w:spacing w:after="0" w:line="240" w:lineRule="auto"/>
              <w:rPr>
                <w:rFonts w:ascii="Times New Roman" w:hAnsi="Times New Roman" w:cs="Times New Roman"/>
              </w:rPr>
            </w:pPr>
            <w:r>
              <w:rPr>
                <w:rFonts w:ascii="Times New Roman" w:hAnsi="Times New Roman" w:eastAsia="Times New Roman" w:cs="Times New Roman"/>
              </w:rPr>
              <w:t>0.236</w:t>
            </w:r>
          </w:p>
        </w:tc>
      </w:tr>
      <w:tr w14:paraId="5061E25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39C9F209">
            <w:pPr>
              <w:spacing w:after="0" w:line="240" w:lineRule="auto"/>
              <w:rPr>
                <w:rFonts w:ascii="Times New Roman" w:hAnsi="Times New Roman" w:cs="Times New Roman"/>
              </w:rPr>
            </w:pPr>
            <w:r>
              <w:rPr>
                <w:rFonts w:ascii="Times New Roman" w:hAnsi="Times New Roman" w:cs="Times New Roman"/>
              </w:rPr>
              <w:t>HA&lt;---Mitigation strategies</w:t>
            </w:r>
          </w:p>
        </w:tc>
        <w:tc>
          <w:tcPr>
            <w:tcW w:w="1985" w:type="dxa"/>
            <w:vAlign w:val="center"/>
          </w:tcPr>
          <w:p w14:paraId="569274BE">
            <w:pPr>
              <w:spacing w:after="0" w:line="240" w:lineRule="auto"/>
              <w:rPr>
                <w:rFonts w:ascii="Times New Roman" w:hAnsi="Times New Roman" w:cs="Times New Roman"/>
                <w:b w:val="0"/>
                <w:bCs w:val="0"/>
              </w:rPr>
            </w:pPr>
            <w:r>
              <w:rPr>
                <w:rFonts w:ascii="Times New Roman" w:hAnsi="Times New Roman" w:eastAsia="Times New Roman" w:cs="Times New Roman"/>
                <w:b w:val="0"/>
                <w:bCs w:val="0"/>
              </w:rPr>
              <w:t>0.437</w:t>
            </w:r>
          </w:p>
        </w:tc>
        <w:tc>
          <w:tcPr>
            <w:tcW w:w="1559" w:type="dxa"/>
            <w:vAlign w:val="center"/>
          </w:tcPr>
          <w:p w14:paraId="3232F03D">
            <w:pPr>
              <w:spacing w:after="0" w:line="240" w:lineRule="auto"/>
              <w:rPr>
                <w:rFonts w:ascii="Times New Roman" w:hAnsi="Times New Roman" w:cs="Times New Roman"/>
              </w:rPr>
            </w:pPr>
            <w:r>
              <w:rPr>
                <w:rFonts w:ascii="Times New Roman" w:hAnsi="Times New Roman" w:eastAsia="Times New Roman" w:cs="Times New Roman"/>
              </w:rPr>
              <w:t>0.185</w:t>
            </w:r>
          </w:p>
        </w:tc>
        <w:tc>
          <w:tcPr>
            <w:tcW w:w="2410" w:type="dxa"/>
            <w:vAlign w:val="center"/>
          </w:tcPr>
          <w:p w14:paraId="5346417D">
            <w:pPr>
              <w:spacing w:after="0" w:line="240" w:lineRule="auto"/>
              <w:rPr>
                <w:rFonts w:ascii="Times New Roman" w:hAnsi="Times New Roman" w:cs="Times New Roman"/>
              </w:rPr>
            </w:pPr>
            <w:r>
              <w:rPr>
                <w:rFonts w:ascii="Times New Roman" w:hAnsi="Times New Roman" w:eastAsia="Times New Roman" w:cs="Times New Roman"/>
              </w:rPr>
              <w:t>2.359</w:t>
            </w:r>
          </w:p>
        </w:tc>
        <w:tc>
          <w:tcPr>
            <w:tcW w:w="2835" w:type="dxa"/>
            <w:vAlign w:val="center"/>
          </w:tcPr>
          <w:p w14:paraId="692AD482">
            <w:pPr>
              <w:spacing w:after="0" w:line="240" w:lineRule="auto"/>
              <w:rPr>
                <w:rFonts w:ascii="Times New Roman" w:hAnsi="Times New Roman" w:cs="Times New Roman"/>
                <w:b w:val="0"/>
                <w:bCs w:val="0"/>
              </w:rPr>
            </w:pPr>
            <w:r>
              <w:rPr>
                <w:rFonts w:ascii="Times New Roman" w:hAnsi="Times New Roman" w:eastAsia="Times New Roman" w:cs="Times New Roman"/>
                <w:b w:val="0"/>
                <w:bCs w:val="0"/>
              </w:rPr>
              <w:t>0.0018**</w:t>
            </w:r>
          </w:p>
        </w:tc>
      </w:tr>
      <w:tr w14:paraId="1ED244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716ACEF0">
            <w:pPr>
              <w:spacing w:after="0" w:line="240" w:lineRule="auto"/>
              <w:rPr>
                <w:rFonts w:ascii="Times New Roman" w:hAnsi="Times New Roman" w:cs="Times New Roman"/>
              </w:rPr>
            </w:pPr>
            <w:r>
              <w:rPr>
                <w:rFonts w:ascii="Times New Roman" w:hAnsi="Times New Roman" w:cs="Times New Roman"/>
              </w:rPr>
              <w:t>GI&lt;---Mitigation strategies</w:t>
            </w:r>
          </w:p>
        </w:tc>
        <w:tc>
          <w:tcPr>
            <w:tcW w:w="1985" w:type="dxa"/>
            <w:vAlign w:val="center"/>
          </w:tcPr>
          <w:p w14:paraId="2C0DFBE5">
            <w:pPr>
              <w:spacing w:after="0" w:line="240" w:lineRule="auto"/>
              <w:rPr>
                <w:rFonts w:ascii="Times New Roman" w:hAnsi="Times New Roman" w:cs="Times New Roman"/>
                <w:b w:val="0"/>
                <w:bCs w:val="0"/>
              </w:rPr>
            </w:pPr>
            <w:r>
              <w:rPr>
                <w:rFonts w:ascii="Times New Roman" w:hAnsi="Times New Roman" w:eastAsia="Times New Roman" w:cs="Times New Roman"/>
                <w:b w:val="0"/>
                <w:bCs w:val="0"/>
              </w:rPr>
              <w:t>0.306</w:t>
            </w:r>
          </w:p>
        </w:tc>
        <w:tc>
          <w:tcPr>
            <w:tcW w:w="1559" w:type="dxa"/>
            <w:vAlign w:val="center"/>
          </w:tcPr>
          <w:p w14:paraId="620174A0">
            <w:pPr>
              <w:spacing w:after="0" w:line="240" w:lineRule="auto"/>
              <w:rPr>
                <w:rFonts w:ascii="Times New Roman" w:hAnsi="Times New Roman" w:cs="Times New Roman"/>
              </w:rPr>
            </w:pPr>
            <w:r>
              <w:rPr>
                <w:rFonts w:ascii="Times New Roman" w:hAnsi="Times New Roman" w:eastAsia="Times New Roman" w:cs="Times New Roman"/>
              </w:rPr>
              <w:t>0.181</w:t>
            </w:r>
          </w:p>
        </w:tc>
        <w:tc>
          <w:tcPr>
            <w:tcW w:w="2410" w:type="dxa"/>
            <w:vAlign w:val="center"/>
          </w:tcPr>
          <w:p w14:paraId="50CE2285">
            <w:pPr>
              <w:spacing w:after="0" w:line="240" w:lineRule="auto"/>
              <w:rPr>
                <w:rFonts w:ascii="Times New Roman" w:hAnsi="Times New Roman" w:cs="Times New Roman"/>
              </w:rPr>
            </w:pPr>
            <w:r>
              <w:rPr>
                <w:rFonts w:ascii="Times New Roman" w:hAnsi="Times New Roman" w:eastAsia="Times New Roman" w:cs="Times New Roman"/>
              </w:rPr>
              <w:t>1.135</w:t>
            </w:r>
          </w:p>
        </w:tc>
        <w:tc>
          <w:tcPr>
            <w:tcW w:w="2835" w:type="dxa"/>
            <w:vAlign w:val="center"/>
          </w:tcPr>
          <w:p w14:paraId="2F9C5299">
            <w:pPr>
              <w:spacing w:after="0" w:line="240" w:lineRule="auto"/>
              <w:rPr>
                <w:rFonts w:ascii="Times New Roman" w:hAnsi="Times New Roman" w:cs="Times New Roman"/>
                <w:b w:val="0"/>
                <w:bCs w:val="0"/>
              </w:rPr>
            </w:pPr>
            <w:r>
              <w:rPr>
                <w:rFonts w:ascii="Times New Roman" w:hAnsi="Times New Roman" w:eastAsia="Times New Roman" w:cs="Times New Roman"/>
                <w:b w:val="0"/>
                <w:bCs w:val="0"/>
              </w:rPr>
              <w:t>0.0256*</w:t>
            </w:r>
          </w:p>
        </w:tc>
      </w:tr>
      <w:tr w14:paraId="20CAA74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3DFF92CB">
            <w:pPr>
              <w:spacing w:after="0" w:line="240" w:lineRule="auto"/>
              <w:rPr>
                <w:rFonts w:ascii="Times New Roman" w:hAnsi="Times New Roman" w:cs="Times New Roman"/>
              </w:rPr>
            </w:pPr>
            <w:r>
              <w:rPr>
                <w:rFonts w:ascii="Times New Roman" w:hAnsi="Times New Roman" w:cs="Times New Roman"/>
              </w:rPr>
              <w:t>TN&lt;---Mitigation strategies</w:t>
            </w:r>
          </w:p>
        </w:tc>
        <w:tc>
          <w:tcPr>
            <w:tcW w:w="1985" w:type="dxa"/>
            <w:vAlign w:val="center"/>
          </w:tcPr>
          <w:p w14:paraId="1FFC9BE6">
            <w:pPr>
              <w:spacing w:after="0" w:line="240" w:lineRule="auto"/>
              <w:rPr>
                <w:rFonts w:ascii="Times New Roman" w:hAnsi="Times New Roman" w:cs="Times New Roman"/>
                <w:b w:val="0"/>
                <w:bCs w:val="0"/>
              </w:rPr>
            </w:pPr>
            <w:r>
              <w:rPr>
                <w:rFonts w:ascii="Times New Roman" w:hAnsi="Times New Roman" w:eastAsia="Times New Roman" w:cs="Times New Roman"/>
                <w:b w:val="0"/>
                <w:bCs w:val="0"/>
              </w:rPr>
              <w:t>0.438</w:t>
            </w:r>
          </w:p>
        </w:tc>
        <w:tc>
          <w:tcPr>
            <w:tcW w:w="1559" w:type="dxa"/>
            <w:vAlign w:val="center"/>
          </w:tcPr>
          <w:p w14:paraId="1EE75F4E">
            <w:pPr>
              <w:spacing w:after="0" w:line="240" w:lineRule="auto"/>
              <w:rPr>
                <w:rFonts w:ascii="Times New Roman" w:hAnsi="Times New Roman" w:cs="Times New Roman"/>
              </w:rPr>
            </w:pPr>
            <w:r>
              <w:rPr>
                <w:rFonts w:ascii="Times New Roman" w:hAnsi="Times New Roman" w:eastAsia="Times New Roman" w:cs="Times New Roman"/>
              </w:rPr>
              <w:t>0.183</w:t>
            </w:r>
          </w:p>
        </w:tc>
        <w:tc>
          <w:tcPr>
            <w:tcW w:w="2410" w:type="dxa"/>
            <w:vAlign w:val="center"/>
          </w:tcPr>
          <w:p w14:paraId="5B4EC3FF">
            <w:pPr>
              <w:spacing w:after="0" w:line="240" w:lineRule="auto"/>
              <w:rPr>
                <w:rFonts w:ascii="Times New Roman" w:hAnsi="Times New Roman" w:cs="Times New Roman"/>
              </w:rPr>
            </w:pPr>
            <w:r>
              <w:rPr>
                <w:rFonts w:ascii="Times New Roman" w:hAnsi="Times New Roman" w:eastAsia="Times New Roman" w:cs="Times New Roman"/>
              </w:rPr>
              <w:t>0.754</w:t>
            </w:r>
          </w:p>
        </w:tc>
        <w:tc>
          <w:tcPr>
            <w:tcW w:w="2835" w:type="dxa"/>
            <w:vAlign w:val="center"/>
          </w:tcPr>
          <w:p w14:paraId="0A7F64D1">
            <w:pPr>
              <w:spacing w:after="0" w:line="240" w:lineRule="auto"/>
              <w:rPr>
                <w:rFonts w:ascii="Times New Roman" w:hAnsi="Times New Roman" w:cs="Times New Roman"/>
                <w:b w:val="0"/>
                <w:bCs w:val="0"/>
              </w:rPr>
            </w:pPr>
            <w:r>
              <w:rPr>
                <w:rFonts w:ascii="Times New Roman" w:hAnsi="Times New Roman" w:eastAsia="Times New Roman" w:cs="Times New Roman"/>
                <w:b w:val="0"/>
                <w:bCs w:val="0"/>
              </w:rPr>
              <w:t>0.00451**</w:t>
            </w:r>
          </w:p>
        </w:tc>
      </w:tr>
      <w:tr w14:paraId="07D578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607D0523">
            <w:pPr>
              <w:spacing w:after="0" w:line="240" w:lineRule="auto"/>
              <w:rPr>
                <w:rFonts w:ascii="Times New Roman" w:hAnsi="Times New Roman" w:cs="Times New Roman"/>
              </w:rPr>
            </w:pPr>
            <w:r>
              <w:rPr>
                <w:rFonts w:ascii="Times New Roman" w:hAnsi="Times New Roman" w:cs="Times New Roman"/>
              </w:rPr>
              <w:t>TN&lt;---HA</w:t>
            </w:r>
          </w:p>
        </w:tc>
        <w:tc>
          <w:tcPr>
            <w:tcW w:w="1985" w:type="dxa"/>
            <w:vAlign w:val="center"/>
          </w:tcPr>
          <w:p w14:paraId="0C3CF164">
            <w:pPr>
              <w:spacing w:after="0" w:line="240" w:lineRule="auto"/>
              <w:rPr>
                <w:rFonts w:ascii="Times New Roman" w:hAnsi="Times New Roman" w:eastAsia="Times New Roman" w:cs="Times New Roman"/>
                <w:b w:val="0"/>
                <w:bCs w:val="0"/>
              </w:rPr>
            </w:pPr>
            <w:r>
              <w:rPr>
                <w:rFonts w:ascii="Times New Roman" w:hAnsi="Times New Roman" w:eastAsia="Times New Roman" w:cs="Times New Roman"/>
                <w:b w:val="0"/>
                <w:bCs w:val="0"/>
              </w:rPr>
              <w:t>0.256</w:t>
            </w:r>
          </w:p>
        </w:tc>
        <w:tc>
          <w:tcPr>
            <w:tcW w:w="1559" w:type="dxa"/>
          </w:tcPr>
          <w:p w14:paraId="418BDFD8">
            <w:pPr>
              <w:spacing w:after="0" w:line="240" w:lineRule="auto"/>
              <w:rPr>
                <w:rFonts w:ascii="Times New Roman" w:hAnsi="Times New Roman" w:eastAsia="Times New Roman" w:cs="Times New Roman"/>
              </w:rPr>
            </w:pPr>
            <w:r>
              <w:rPr>
                <w:rFonts w:ascii="Times New Roman" w:hAnsi="Times New Roman" w:cs="Times New Roman"/>
              </w:rPr>
              <w:t>0.125</w:t>
            </w:r>
          </w:p>
        </w:tc>
        <w:tc>
          <w:tcPr>
            <w:tcW w:w="2410" w:type="dxa"/>
          </w:tcPr>
          <w:p w14:paraId="5220A0FA">
            <w:pPr>
              <w:spacing w:after="0" w:line="240" w:lineRule="auto"/>
              <w:rPr>
                <w:rFonts w:ascii="Times New Roman" w:hAnsi="Times New Roman" w:eastAsia="Times New Roman" w:cs="Times New Roman"/>
              </w:rPr>
            </w:pPr>
            <w:r>
              <w:rPr>
                <w:rFonts w:ascii="Times New Roman" w:hAnsi="Times New Roman" w:cs="Times New Roman"/>
              </w:rPr>
              <w:t>1.321</w:t>
            </w:r>
          </w:p>
        </w:tc>
        <w:tc>
          <w:tcPr>
            <w:tcW w:w="2835" w:type="dxa"/>
          </w:tcPr>
          <w:p w14:paraId="17E168EB">
            <w:pPr>
              <w:spacing w:after="0" w:line="240" w:lineRule="auto"/>
              <w:rPr>
                <w:rFonts w:ascii="Times New Roman" w:hAnsi="Times New Roman" w:eastAsia="Times New Roman" w:cs="Times New Roman"/>
                <w:b w:val="0"/>
                <w:bCs w:val="0"/>
              </w:rPr>
            </w:pPr>
            <w:r>
              <w:rPr>
                <w:rFonts w:ascii="Times New Roman" w:hAnsi="Times New Roman" w:cs="Times New Roman"/>
                <w:b w:val="0"/>
                <w:bCs w:val="0"/>
              </w:rPr>
              <w:t>0.0187*</w:t>
            </w:r>
          </w:p>
        </w:tc>
      </w:tr>
      <w:tr w14:paraId="7D5378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tcPr>
          <w:p w14:paraId="3C0B1185">
            <w:pPr>
              <w:spacing w:after="0" w:line="240" w:lineRule="auto"/>
              <w:rPr>
                <w:rFonts w:ascii="Times New Roman" w:hAnsi="Times New Roman" w:cs="Times New Roman"/>
              </w:rPr>
            </w:pPr>
            <w:r>
              <w:rPr>
                <w:rFonts w:ascii="Times New Roman" w:hAnsi="Times New Roman" w:cs="Times New Roman"/>
              </w:rPr>
              <w:t>HA&lt;---GI</w:t>
            </w:r>
          </w:p>
        </w:tc>
        <w:tc>
          <w:tcPr>
            <w:tcW w:w="1985" w:type="dxa"/>
            <w:vAlign w:val="center"/>
          </w:tcPr>
          <w:p w14:paraId="1ACBC224">
            <w:pPr>
              <w:spacing w:after="0" w:line="240" w:lineRule="auto"/>
              <w:rPr>
                <w:rFonts w:ascii="Times New Roman" w:hAnsi="Times New Roman" w:eastAsia="Times New Roman" w:cs="Times New Roman"/>
              </w:rPr>
            </w:pPr>
            <w:r>
              <w:rPr>
                <w:rFonts w:ascii="Times New Roman" w:hAnsi="Times New Roman" w:eastAsia="Times New Roman" w:cs="Times New Roman"/>
              </w:rPr>
              <w:t>0.515</w:t>
            </w:r>
          </w:p>
        </w:tc>
        <w:tc>
          <w:tcPr>
            <w:tcW w:w="1559" w:type="dxa"/>
          </w:tcPr>
          <w:p w14:paraId="72229C27">
            <w:pPr>
              <w:spacing w:after="0" w:line="240" w:lineRule="auto"/>
              <w:rPr>
                <w:rFonts w:ascii="Times New Roman" w:hAnsi="Times New Roman" w:eastAsia="Times New Roman" w:cs="Times New Roman"/>
              </w:rPr>
            </w:pPr>
            <w:r>
              <w:rPr>
                <w:rFonts w:ascii="Times New Roman" w:hAnsi="Times New Roman" w:cs="Times New Roman"/>
              </w:rPr>
              <w:t>0.119</w:t>
            </w:r>
          </w:p>
        </w:tc>
        <w:tc>
          <w:tcPr>
            <w:tcW w:w="2410" w:type="dxa"/>
          </w:tcPr>
          <w:p w14:paraId="3A0574C4">
            <w:pPr>
              <w:spacing w:after="0" w:line="240" w:lineRule="auto"/>
              <w:rPr>
                <w:rFonts w:ascii="Times New Roman" w:hAnsi="Times New Roman" w:eastAsia="Times New Roman" w:cs="Times New Roman"/>
              </w:rPr>
            </w:pPr>
            <w:r>
              <w:rPr>
                <w:rFonts w:ascii="Times New Roman" w:hAnsi="Times New Roman" w:cs="Times New Roman"/>
              </w:rPr>
              <w:t>0.128</w:t>
            </w:r>
          </w:p>
        </w:tc>
        <w:tc>
          <w:tcPr>
            <w:tcW w:w="2835" w:type="dxa"/>
          </w:tcPr>
          <w:p w14:paraId="2E52A1FC">
            <w:pPr>
              <w:spacing w:after="0" w:line="240" w:lineRule="auto"/>
              <w:rPr>
                <w:rFonts w:ascii="Times New Roman" w:hAnsi="Times New Roman" w:eastAsia="Times New Roman" w:cs="Times New Roman"/>
              </w:rPr>
            </w:pPr>
            <w:r>
              <w:rPr>
                <w:rFonts w:ascii="Times New Roman" w:hAnsi="Times New Roman" w:cs="Times New Roman"/>
              </w:rPr>
              <w:t>0.898</w:t>
            </w:r>
          </w:p>
        </w:tc>
      </w:tr>
    </w:tbl>
    <w:p w14:paraId="0B5C42D4">
      <w:pPr>
        <w:jc w:val="both"/>
        <w:rPr>
          <w:rFonts w:ascii="Times New Roman" w:hAnsi="Times New Roman" w:cs="Times New Roman"/>
        </w:rPr>
      </w:pPr>
      <w:r>
        <w:rPr>
          <w:rFonts w:ascii="Times New Roman" w:hAnsi="Times New Roman" w:cs="Times New Roman"/>
        </w:rPr>
        <w:t xml:space="preserve">SE: Standard error; CR: Critical ratio; *** represents </w:t>
      </w:r>
      <w:r>
        <w:rPr>
          <w:rFonts w:ascii="Times New Roman" w:hAnsi="Times New Roman" w:cs="Times New Roman"/>
          <w:i/>
        </w:rPr>
        <w:t>p</w:t>
      </w:r>
      <w:r>
        <w:rPr>
          <w:rFonts w:ascii="Times New Roman" w:hAnsi="Times New Roman" w:cs="Times New Roman"/>
        </w:rPr>
        <w:t xml:space="preserve">-value ≤ 0.001, ** represents </w:t>
      </w:r>
      <w:r>
        <w:rPr>
          <w:rFonts w:ascii="Times New Roman" w:hAnsi="Times New Roman" w:cs="Times New Roman"/>
          <w:i/>
        </w:rPr>
        <w:t>p</w:t>
      </w:r>
      <w:r>
        <w:rPr>
          <w:rFonts w:ascii="Times New Roman" w:hAnsi="Times New Roman" w:cs="Times New Roman"/>
        </w:rPr>
        <w:t xml:space="preserve">-value ≤ 0.01, and *** represents </w:t>
      </w:r>
      <w:r>
        <w:rPr>
          <w:rFonts w:ascii="Times New Roman" w:hAnsi="Times New Roman" w:cs="Times New Roman"/>
          <w:i/>
        </w:rPr>
        <w:t>p</w:t>
      </w:r>
      <w:r>
        <w:rPr>
          <w:rFonts w:ascii="Times New Roman" w:hAnsi="Times New Roman" w:cs="Times New Roman"/>
        </w:rPr>
        <w:t>-value ≤ 0.05.</w:t>
      </w:r>
    </w:p>
    <w:p w14:paraId="14E18E81">
      <w:pPr>
        <w:rPr>
          <w:rFonts w:ascii="Times New Roman" w:hAnsi="Times New Roman" w:cs="Times New Roman"/>
          <w:b/>
          <w:bCs/>
        </w:rPr>
      </w:pPr>
      <w:r>
        <w:rPr>
          <w:rFonts w:ascii="Times New Roman" w:hAnsi="Times New Roman" w:cs="Times New Roman"/>
          <w:b/>
          <w:bCs/>
          <w:lang w:val="nl-BE"/>
        </w:rPr>
        <w:t>Table S5</w:t>
      </w:r>
      <w:r>
        <w:rPr>
          <w:rFonts w:ascii="Times New Roman" w:hAnsi="Times New Roman" w:cs="Times New Roman"/>
          <w:lang w:val="nl-BE"/>
        </w:rPr>
        <w:t xml:space="preserve"> </w:t>
      </w:r>
      <w:r>
        <w:rPr>
          <w:rFonts w:ascii="Times New Roman" w:hAnsi="Times New Roman" w:cs="Times New Roman"/>
          <w:b/>
          <w:bCs/>
        </w:rPr>
        <w:t xml:space="preserve"> </w:t>
      </w:r>
      <w:r>
        <w:rPr>
          <w:rFonts w:ascii="Times New Roman" w:hAnsi="Times New Roman" w:cs="Times New Roman"/>
          <w:b/>
        </w:rPr>
        <w:t xml:space="preserve">Structural equation modeling (SEM) </w:t>
      </w:r>
      <w:r>
        <w:rPr>
          <w:rFonts w:ascii="Times New Roman" w:hAnsi="Times New Roman" w:cs="Times New Roman"/>
          <w:b/>
          <w:bCs/>
        </w:rPr>
        <w:t>model fit summary</w:t>
      </w:r>
    </w:p>
    <w:tbl>
      <w:tblPr>
        <w:tblStyle w:val="8"/>
        <w:tblW w:w="12296" w:type="dxa"/>
        <w:tblInd w:w="-998"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9"/>
        <w:gridCol w:w="870"/>
        <w:gridCol w:w="643"/>
        <w:gridCol w:w="643"/>
        <w:gridCol w:w="924"/>
        <w:gridCol w:w="833"/>
        <w:gridCol w:w="833"/>
        <w:gridCol w:w="833"/>
        <w:gridCol w:w="833"/>
        <w:gridCol w:w="660"/>
        <w:gridCol w:w="643"/>
        <w:gridCol w:w="643"/>
        <w:gridCol w:w="828"/>
        <w:gridCol w:w="1082"/>
        <w:gridCol w:w="1082"/>
      </w:tblGrid>
      <w:tr w14:paraId="0D74AAE0">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402" w:type="dxa"/>
          </w:tcPr>
          <w:p w14:paraId="7FED2E68">
            <w:pPr>
              <w:spacing w:after="0" w:line="240" w:lineRule="auto"/>
              <w:rPr>
                <w:rFonts w:ascii="Times New Roman" w:hAnsi="Times New Roman" w:cs="Times New Roman"/>
              </w:rPr>
            </w:pPr>
            <w:r>
              <w:rPr>
                <w:rFonts w:ascii="Times New Roman" w:hAnsi="Times New Roman" w:cs="Times New Roman"/>
              </w:rPr>
              <w:t>Model</w:t>
            </w:r>
          </w:p>
        </w:tc>
        <w:tc>
          <w:tcPr>
            <w:tcW w:w="805" w:type="dxa"/>
          </w:tcPr>
          <w:p w14:paraId="38620EF0">
            <w:pPr>
              <w:spacing w:after="0" w:line="240" w:lineRule="auto"/>
              <w:rPr>
                <w:rFonts w:ascii="Times New Roman" w:hAnsi="Times New Roman" w:cs="Times New Roman"/>
              </w:rPr>
            </w:pPr>
            <w:r>
              <w:rPr>
                <w:rFonts w:ascii="Times New Roman" w:hAnsi="Times New Roman" w:cs="Times New Roman"/>
              </w:rPr>
              <w:t>RMSEA</w:t>
            </w:r>
          </w:p>
        </w:tc>
        <w:tc>
          <w:tcPr>
            <w:tcW w:w="587" w:type="dxa"/>
          </w:tcPr>
          <w:p w14:paraId="4E7911C5">
            <w:pPr>
              <w:spacing w:after="0" w:line="240" w:lineRule="auto"/>
              <w:rPr>
                <w:rFonts w:ascii="Times New Roman" w:hAnsi="Times New Roman" w:cs="Times New Roman"/>
              </w:rPr>
            </w:pPr>
            <w:r>
              <w:rPr>
                <w:rFonts w:ascii="Times New Roman" w:hAnsi="Times New Roman" w:cs="Times New Roman"/>
              </w:rPr>
              <w:t>LO 90</w:t>
            </w:r>
          </w:p>
        </w:tc>
        <w:tc>
          <w:tcPr>
            <w:tcW w:w="587" w:type="dxa"/>
          </w:tcPr>
          <w:p w14:paraId="4DFF76CC">
            <w:pPr>
              <w:spacing w:after="0" w:line="240" w:lineRule="auto"/>
              <w:rPr>
                <w:rFonts w:ascii="Times New Roman" w:hAnsi="Times New Roman" w:cs="Times New Roman"/>
              </w:rPr>
            </w:pPr>
            <w:r>
              <w:rPr>
                <w:rFonts w:ascii="Times New Roman" w:hAnsi="Times New Roman" w:cs="Times New Roman"/>
              </w:rPr>
              <w:t>HI 90</w:t>
            </w:r>
          </w:p>
        </w:tc>
        <w:tc>
          <w:tcPr>
            <w:tcW w:w="856" w:type="dxa"/>
          </w:tcPr>
          <w:p w14:paraId="0C6D5658">
            <w:pPr>
              <w:spacing w:after="0" w:line="240" w:lineRule="auto"/>
              <w:rPr>
                <w:rFonts w:ascii="Times New Roman" w:hAnsi="Times New Roman" w:cs="Times New Roman"/>
              </w:rPr>
            </w:pPr>
            <w:r>
              <w:rPr>
                <w:rFonts w:ascii="Times New Roman" w:hAnsi="Times New Roman" w:cs="Times New Roman"/>
              </w:rPr>
              <w:t>PCLOSE</w:t>
            </w:r>
          </w:p>
        </w:tc>
        <w:tc>
          <w:tcPr>
            <w:tcW w:w="769" w:type="dxa"/>
          </w:tcPr>
          <w:p w14:paraId="7D86DC7B">
            <w:pPr>
              <w:spacing w:after="0" w:line="240" w:lineRule="auto"/>
              <w:rPr>
                <w:rFonts w:ascii="Times New Roman" w:hAnsi="Times New Roman" w:cs="Times New Roman"/>
              </w:rPr>
            </w:pPr>
            <w:r>
              <w:rPr>
                <w:rFonts w:ascii="Times New Roman" w:hAnsi="Times New Roman" w:cs="Times New Roman"/>
              </w:rPr>
              <w:t>AIC</w:t>
            </w:r>
          </w:p>
        </w:tc>
        <w:tc>
          <w:tcPr>
            <w:tcW w:w="769" w:type="dxa"/>
          </w:tcPr>
          <w:p w14:paraId="789A4527">
            <w:pPr>
              <w:spacing w:after="0" w:line="240" w:lineRule="auto"/>
              <w:rPr>
                <w:rFonts w:ascii="Times New Roman" w:hAnsi="Times New Roman" w:cs="Times New Roman"/>
              </w:rPr>
            </w:pPr>
            <w:r>
              <w:rPr>
                <w:rFonts w:ascii="Times New Roman" w:hAnsi="Times New Roman" w:cs="Times New Roman"/>
              </w:rPr>
              <w:t>BCC</w:t>
            </w:r>
          </w:p>
        </w:tc>
        <w:tc>
          <w:tcPr>
            <w:tcW w:w="769" w:type="dxa"/>
          </w:tcPr>
          <w:p w14:paraId="78DA5AE0">
            <w:pPr>
              <w:spacing w:after="0" w:line="240" w:lineRule="auto"/>
              <w:rPr>
                <w:rFonts w:ascii="Times New Roman" w:hAnsi="Times New Roman" w:cs="Times New Roman"/>
              </w:rPr>
            </w:pPr>
            <w:r>
              <w:rPr>
                <w:rFonts w:ascii="Times New Roman" w:hAnsi="Times New Roman" w:cs="Times New Roman"/>
              </w:rPr>
              <w:t>BIC</w:t>
            </w:r>
          </w:p>
        </w:tc>
        <w:tc>
          <w:tcPr>
            <w:tcW w:w="769" w:type="dxa"/>
          </w:tcPr>
          <w:p w14:paraId="731A8C7A">
            <w:pPr>
              <w:spacing w:after="0" w:line="240" w:lineRule="auto"/>
              <w:rPr>
                <w:rFonts w:ascii="Times New Roman" w:hAnsi="Times New Roman" w:cs="Times New Roman"/>
              </w:rPr>
            </w:pPr>
            <w:r>
              <w:rPr>
                <w:rFonts w:ascii="Times New Roman" w:hAnsi="Times New Roman" w:cs="Times New Roman"/>
              </w:rPr>
              <w:t>CAIC</w:t>
            </w:r>
          </w:p>
        </w:tc>
        <w:tc>
          <w:tcPr>
            <w:tcW w:w="603" w:type="dxa"/>
          </w:tcPr>
          <w:p w14:paraId="45ED5E8F">
            <w:pPr>
              <w:spacing w:after="0" w:line="240" w:lineRule="auto"/>
              <w:rPr>
                <w:rFonts w:ascii="Times New Roman" w:hAnsi="Times New Roman" w:cs="Times New Roman"/>
              </w:rPr>
            </w:pPr>
            <w:r>
              <w:rPr>
                <w:rFonts w:ascii="Times New Roman" w:hAnsi="Times New Roman" w:cs="Times New Roman"/>
              </w:rPr>
              <w:t>ECVI</w:t>
            </w:r>
          </w:p>
        </w:tc>
        <w:tc>
          <w:tcPr>
            <w:tcW w:w="591" w:type="dxa"/>
          </w:tcPr>
          <w:p w14:paraId="0D26DCB4">
            <w:pPr>
              <w:spacing w:after="0" w:line="240" w:lineRule="auto"/>
              <w:rPr>
                <w:rFonts w:ascii="Times New Roman" w:hAnsi="Times New Roman" w:cs="Times New Roman"/>
              </w:rPr>
            </w:pPr>
            <w:r>
              <w:rPr>
                <w:rFonts w:ascii="Times New Roman" w:hAnsi="Times New Roman" w:cs="Times New Roman"/>
              </w:rPr>
              <w:t>LO 90</w:t>
            </w:r>
          </w:p>
        </w:tc>
        <w:tc>
          <w:tcPr>
            <w:tcW w:w="711" w:type="dxa"/>
          </w:tcPr>
          <w:p w14:paraId="50CA6854">
            <w:pPr>
              <w:spacing w:after="0" w:line="240" w:lineRule="auto"/>
              <w:rPr>
                <w:rFonts w:ascii="Times New Roman" w:hAnsi="Times New Roman" w:cs="Times New Roman"/>
              </w:rPr>
            </w:pPr>
            <w:r>
              <w:rPr>
                <w:rFonts w:ascii="Times New Roman" w:hAnsi="Times New Roman" w:cs="Times New Roman"/>
              </w:rPr>
              <w:t>HI 90</w:t>
            </w:r>
          </w:p>
        </w:tc>
        <w:tc>
          <w:tcPr>
            <w:tcW w:w="764" w:type="dxa"/>
          </w:tcPr>
          <w:p w14:paraId="4AFDE23C">
            <w:pPr>
              <w:spacing w:after="0" w:line="240" w:lineRule="auto"/>
              <w:rPr>
                <w:rFonts w:ascii="Times New Roman" w:hAnsi="Times New Roman" w:cs="Times New Roman"/>
              </w:rPr>
            </w:pPr>
            <w:r>
              <w:rPr>
                <w:rFonts w:ascii="Times New Roman" w:hAnsi="Times New Roman" w:cs="Times New Roman"/>
              </w:rPr>
              <w:t>MECVI</w:t>
            </w:r>
          </w:p>
        </w:tc>
        <w:tc>
          <w:tcPr>
            <w:tcW w:w="1103" w:type="dxa"/>
          </w:tcPr>
          <w:p w14:paraId="30B72CE6">
            <w:pPr>
              <w:spacing w:after="0" w:line="240" w:lineRule="auto"/>
              <w:rPr>
                <w:rFonts w:ascii="Times New Roman" w:hAnsi="Times New Roman" w:cs="Times New Roman"/>
              </w:rPr>
            </w:pPr>
            <w:r>
              <w:rPr>
                <w:rFonts w:ascii="Times New Roman" w:hAnsi="Times New Roman" w:cs="Times New Roman"/>
              </w:rPr>
              <w:t>HOELTER 0.05</w:t>
            </w:r>
          </w:p>
        </w:tc>
        <w:tc>
          <w:tcPr>
            <w:tcW w:w="1211" w:type="dxa"/>
          </w:tcPr>
          <w:p w14:paraId="76A46FD6">
            <w:pPr>
              <w:spacing w:after="0" w:line="240" w:lineRule="auto"/>
              <w:rPr>
                <w:rFonts w:ascii="Times New Roman" w:hAnsi="Times New Roman" w:cs="Times New Roman"/>
              </w:rPr>
            </w:pPr>
            <w:r>
              <w:rPr>
                <w:rFonts w:ascii="Times New Roman" w:hAnsi="Times New Roman" w:cs="Times New Roman"/>
              </w:rPr>
              <w:t>HOELTER 0.01</w:t>
            </w:r>
          </w:p>
        </w:tc>
      </w:tr>
      <w:tr w14:paraId="1084E02F">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1402" w:type="dxa"/>
          </w:tcPr>
          <w:p w14:paraId="71E74BCE">
            <w:pPr>
              <w:spacing w:after="0" w:line="240" w:lineRule="auto"/>
              <w:rPr>
                <w:rFonts w:ascii="Times New Roman" w:hAnsi="Times New Roman" w:cs="Times New Roman"/>
              </w:rPr>
            </w:pPr>
            <w:r>
              <w:rPr>
                <w:rFonts w:ascii="Times New Roman" w:hAnsi="Times New Roman" w:cs="Times New Roman"/>
              </w:rPr>
              <w:t>Default model</w:t>
            </w:r>
          </w:p>
        </w:tc>
        <w:tc>
          <w:tcPr>
            <w:tcW w:w="805" w:type="dxa"/>
          </w:tcPr>
          <w:p w14:paraId="6A533713">
            <w:pPr>
              <w:spacing w:after="0" w:line="240" w:lineRule="auto"/>
              <w:rPr>
                <w:rFonts w:ascii="Times New Roman" w:hAnsi="Times New Roman" w:cs="Times New Roman"/>
              </w:rPr>
            </w:pPr>
            <w:r>
              <w:rPr>
                <w:rFonts w:ascii="Times New Roman" w:hAnsi="Times New Roman" w:cs="Times New Roman"/>
              </w:rPr>
              <w:t>0.000</w:t>
            </w:r>
          </w:p>
        </w:tc>
        <w:tc>
          <w:tcPr>
            <w:tcW w:w="587" w:type="dxa"/>
          </w:tcPr>
          <w:p w14:paraId="03EA6DD0">
            <w:pPr>
              <w:spacing w:after="0" w:line="240" w:lineRule="auto"/>
              <w:rPr>
                <w:rFonts w:ascii="Times New Roman" w:hAnsi="Times New Roman" w:cs="Times New Roman"/>
              </w:rPr>
            </w:pPr>
            <w:r>
              <w:rPr>
                <w:rFonts w:ascii="Times New Roman" w:hAnsi="Times New Roman" w:cs="Times New Roman"/>
              </w:rPr>
              <w:t>0.000</w:t>
            </w:r>
          </w:p>
        </w:tc>
        <w:tc>
          <w:tcPr>
            <w:tcW w:w="587" w:type="dxa"/>
          </w:tcPr>
          <w:p w14:paraId="22FD38D5">
            <w:pPr>
              <w:spacing w:after="0" w:line="240" w:lineRule="auto"/>
              <w:rPr>
                <w:rFonts w:ascii="Times New Roman" w:hAnsi="Times New Roman" w:cs="Times New Roman"/>
              </w:rPr>
            </w:pPr>
            <w:r>
              <w:rPr>
                <w:rFonts w:ascii="Times New Roman" w:hAnsi="Times New Roman" w:cs="Times New Roman"/>
              </w:rPr>
              <w:t>0.133</w:t>
            </w:r>
          </w:p>
        </w:tc>
        <w:tc>
          <w:tcPr>
            <w:tcW w:w="856" w:type="dxa"/>
          </w:tcPr>
          <w:p w14:paraId="37C27EB9">
            <w:pPr>
              <w:spacing w:after="0" w:line="240" w:lineRule="auto"/>
              <w:rPr>
                <w:rFonts w:ascii="Times New Roman" w:hAnsi="Times New Roman" w:cs="Times New Roman"/>
              </w:rPr>
            </w:pPr>
            <w:r>
              <w:rPr>
                <w:rFonts w:ascii="Times New Roman" w:hAnsi="Times New Roman" w:cs="Times New Roman"/>
              </w:rPr>
              <w:t>0.766</w:t>
            </w:r>
          </w:p>
        </w:tc>
        <w:tc>
          <w:tcPr>
            <w:tcW w:w="769" w:type="dxa"/>
          </w:tcPr>
          <w:p w14:paraId="0AD3EC5F">
            <w:pPr>
              <w:spacing w:after="0" w:line="240" w:lineRule="auto"/>
              <w:rPr>
                <w:rFonts w:ascii="Times New Roman" w:hAnsi="Times New Roman" w:cs="Times New Roman"/>
              </w:rPr>
            </w:pPr>
            <w:r>
              <w:rPr>
                <w:rFonts w:ascii="Times New Roman" w:hAnsi="Times New Roman" w:cs="Times New Roman"/>
              </w:rPr>
              <w:t>93.846</w:t>
            </w:r>
          </w:p>
        </w:tc>
        <w:tc>
          <w:tcPr>
            <w:tcW w:w="769" w:type="dxa"/>
          </w:tcPr>
          <w:p w14:paraId="336EFD12">
            <w:pPr>
              <w:spacing w:after="0" w:line="240" w:lineRule="auto"/>
              <w:rPr>
                <w:rFonts w:ascii="Times New Roman" w:hAnsi="Times New Roman" w:cs="Times New Roman"/>
              </w:rPr>
            </w:pPr>
            <w:r>
              <w:rPr>
                <w:rFonts w:ascii="Times New Roman" w:hAnsi="Times New Roman" w:cs="Times New Roman"/>
              </w:rPr>
              <w:t>135.846</w:t>
            </w:r>
          </w:p>
        </w:tc>
        <w:tc>
          <w:tcPr>
            <w:tcW w:w="769" w:type="dxa"/>
          </w:tcPr>
          <w:p w14:paraId="6DA2C4C8">
            <w:pPr>
              <w:spacing w:after="0" w:line="240" w:lineRule="auto"/>
              <w:rPr>
                <w:rFonts w:ascii="Times New Roman" w:hAnsi="Times New Roman" w:cs="Times New Roman"/>
              </w:rPr>
            </w:pPr>
            <w:r>
              <w:rPr>
                <w:rFonts w:ascii="Times New Roman" w:hAnsi="Times New Roman" w:cs="Times New Roman"/>
              </w:rPr>
              <w:t>157.954</w:t>
            </w:r>
          </w:p>
        </w:tc>
        <w:tc>
          <w:tcPr>
            <w:tcW w:w="769" w:type="dxa"/>
          </w:tcPr>
          <w:p w14:paraId="5A6DDAAA">
            <w:pPr>
              <w:spacing w:after="0" w:line="240" w:lineRule="auto"/>
              <w:rPr>
                <w:rFonts w:ascii="Times New Roman" w:hAnsi="Times New Roman" w:cs="Times New Roman"/>
              </w:rPr>
            </w:pPr>
            <w:r>
              <w:rPr>
                <w:rFonts w:ascii="Times New Roman" w:hAnsi="Times New Roman" w:cs="Times New Roman"/>
              </w:rPr>
              <w:t>199.954</w:t>
            </w:r>
          </w:p>
        </w:tc>
        <w:tc>
          <w:tcPr>
            <w:tcW w:w="603" w:type="dxa"/>
          </w:tcPr>
          <w:p w14:paraId="1E12F305">
            <w:pPr>
              <w:spacing w:after="0" w:line="240" w:lineRule="auto"/>
              <w:rPr>
                <w:rFonts w:ascii="Times New Roman" w:hAnsi="Times New Roman" w:cs="Times New Roman"/>
              </w:rPr>
            </w:pPr>
            <w:r>
              <w:rPr>
                <w:rFonts w:ascii="Times New Roman" w:hAnsi="Times New Roman" w:cs="Times New Roman"/>
              </w:rPr>
              <w:t>2.844</w:t>
            </w:r>
          </w:p>
        </w:tc>
        <w:tc>
          <w:tcPr>
            <w:tcW w:w="591" w:type="dxa"/>
          </w:tcPr>
          <w:p w14:paraId="7F9F4C69">
            <w:pPr>
              <w:spacing w:after="0" w:line="240" w:lineRule="auto"/>
              <w:rPr>
                <w:rFonts w:ascii="Times New Roman" w:hAnsi="Times New Roman" w:cs="Times New Roman"/>
              </w:rPr>
            </w:pPr>
            <w:r>
              <w:rPr>
                <w:rFonts w:ascii="Times New Roman" w:hAnsi="Times New Roman" w:cs="Times New Roman"/>
              </w:rPr>
              <w:t>2.939</w:t>
            </w:r>
          </w:p>
        </w:tc>
        <w:tc>
          <w:tcPr>
            <w:tcW w:w="711" w:type="dxa"/>
          </w:tcPr>
          <w:p w14:paraId="3EBE4D88">
            <w:pPr>
              <w:spacing w:after="0" w:line="240" w:lineRule="auto"/>
              <w:rPr>
                <w:rFonts w:ascii="Times New Roman" w:hAnsi="Times New Roman" w:cs="Times New Roman"/>
              </w:rPr>
            </w:pPr>
            <w:r>
              <w:rPr>
                <w:rFonts w:ascii="Times New Roman" w:hAnsi="Times New Roman" w:cs="Times New Roman"/>
              </w:rPr>
              <w:t>3.169</w:t>
            </w:r>
          </w:p>
        </w:tc>
        <w:tc>
          <w:tcPr>
            <w:tcW w:w="764" w:type="dxa"/>
          </w:tcPr>
          <w:p w14:paraId="59014C25">
            <w:pPr>
              <w:spacing w:after="0" w:line="240" w:lineRule="auto"/>
              <w:rPr>
                <w:rFonts w:ascii="Times New Roman" w:hAnsi="Times New Roman" w:cs="Times New Roman"/>
              </w:rPr>
            </w:pPr>
            <w:r>
              <w:rPr>
                <w:rFonts w:ascii="Times New Roman" w:hAnsi="Times New Roman" w:cs="Times New Roman"/>
              </w:rPr>
              <w:t>4.117</w:t>
            </w:r>
          </w:p>
        </w:tc>
        <w:tc>
          <w:tcPr>
            <w:tcW w:w="1103" w:type="dxa"/>
          </w:tcPr>
          <w:p w14:paraId="409690CA">
            <w:pPr>
              <w:spacing w:after="0" w:line="240" w:lineRule="auto"/>
              <w:rPr>
                <w:rFonts w:ascii="Times New Roman" w:hAnsi="Times New Roman" w:cs="Times New Roman"/>
              </w:rPr>
            </w:pPr>
            <w:r>
              <w:rPr>
                <w:rFonts w:ascii="Times New Roman" w:hAnsi="Times New Roman" w:cs="Times New Roman"/>
              </w:rPr>
              <w:t>75</w:t>
            </w:r>
          </w:p>
        </w:tc>
        <w:tc>
          <w:tcPr>
            <w:tcW w:w="1211" w:type="dxa"/>
          </w:tcPr>
          <w:p w14:paraId="716406C5">
            <w:pPr>
              <w:spacing w:after="0" w:line="240" w:lineRule="auto"/>
              <w:rPr>
                <w:rFonts w:ascii="Times New Roman" w:hAnsi="Times New Roman" w:cs="Times New Roman"/>
              </w:rPr>
            </w:pPr>
            <w:r>
              <w:rPr>
                <w:rFonts w:ascii="Times New Roman" w:hAnsi="Times New Roman" w:cs="Times New Roman"/>
              </w:rPr>
              <w:t>93</w:t>
            </w:r>
          </w:p>
        </w:tc>
      </w:tr>
      <w:tr w14:paraId="5B7BE092">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1402" w:type="dxa"/>
          </w:tcPr>
          <w:p w14:paraId="268AEC0B">
            <w:pPr>
              <w:spacing w:after="0" w:line="240" w:lineRule="auto"/>
              <w:rPr>
                <w:rFonts w:ascii="Times New Roman" w:hAnsi="Times New Roman" w:cs="Times New Roman"/>
              </w:rPr>
            </w:pPr>
            <w:r>
              <w:rPr>
                <w:rFonts w:ascii="Times New Roman" w:hAnsi="Times New Roman" w:cs="Times New Roman"/>
              </w:rPr>
              <w:t>Saturated model</w:t>
            </w:r>
          </w:p>
        </w:tc>
        <w:tc>
          <w:tcPr>
            <w:tcW w:w="805" w:type="dxa"/>
          </w:tcPr>
          <w:p w14:paraId="40712D1A">
            <w:pPr>
              <w:spacing w:after="0" w:line="240" w:lineRule="auto"/>
              <w:rPr>
                <w:rFonts w:ascii="Times New Roman" w:hAnsi="Times New Roman" w:cs="Times New Roman"/>
              </w:rPr>
            </w:pPr>
            <w:r>
              <w:rPr>
                <w:rFonts w:ascii="Times New Roman" w:hAnsi="Times New Roman" w:cs="Times New Roman"/>
              </w:rPr>
              <w:t>-</w:t>
            </w:r>
          </w:p>
        </w:tc>
        <w:tc>
          <w:tcPr>
            <w:tcW w:w="587" w:type="dxa"/>
          </w:tcPr>
          <w:p w14:paraId="1856293A">
            <w:pPr>
              <w:spacing w:after="0" w:line="240" w:lineRule="auto"/>
              <w:rPr>
                <w:rFonts w:ascii="Times New Roman" w:hAnsi="Times New Roman" w:cs="Times New Roman"/>
              </w:rPr>
            </w:pPr>
            <w:r>
              <w:rPr>
                <w:rFonts w:ascii="Times New Roman" w:hAnsi="Times New Roman" w:cs="Times New Roman"/>
              </w:rPr>
              <w:t>-</w:t>
            </w:r>
          </w:p>
        </w:tc>
        <w:tc>
          <w:tcPr>
            <w:tcW w:w="587" w:type="dxa"/>
          </w:tcPr>
          <w:p w14:paraId="7F17FA92">
            <w:pPr>
              <w:spacing w:after="0" w:line="240" w:lineRule="auto"/>
              <w:rPr>
                <w:rFonts w:ascii="Times New Roman" w:hAnsi="Times New Roman" w:cs="Times New Roman"/>
              </w:rPr>
            </w:pPr>
            <w:r>
              <w:rPr>
                <w:rFonts w:ascii="Times New Roman" w:hAnsi="Times New Roman" w:cs="Times New Roman"/>
              </w:rPr>
              <w:t>-</w:t>
            </w:r>
          </w:p>
        </w:tc>
        <w:tc>
          <w:tcPr>
            <w:tcW w:w="856" w:type="dxa"/>
          </w:tcPr>
          <w:p w14:paraId="6C16C0E5">
            <w:pPr>
              <w:spacing w:after="0" w:line="240" w:lineRule="auto"/>
              <w:rPr>
                <w:rFonts w:ascii="Times New Roman" w:hAnsi="Times New Roman" w:cs="Times New Roman"/>
              </w:rPr>
            </w:pPr>
            <w:r>
              <w:rPr>
                <w:rFonts w:ascii="Times New Roman" w:hAnsi="Times New Roman" w:cs="Times New Roman"/>
              </w:rPr>
              <w:t>-</w:t>
            </w:r>
          </w:p>
        </w:tc>
        <w:tc>
          <w:tcPr>
            <w:tcW w:w="769" w:type="dxa"/>
          </w:tcPr>
          <w:p w14:paraId="7792E916">
            <w:pPr>
              <w:spacing w:after="0" w:line="240" w:lineRule="auto"/>
              <w:rPr>
                <w:rFonts w:ascii="Times New Roman" w:hAnsi="Times New Roman" w:cs="Times New Roman"/>
              </w:rPr>
            </w:pPr>
            <w:r>
              <w:rPr>
                <w:rFonts w:ascii="Times New Roman" w:hAnsi="Times New Roman" w:cs="Times New Roman"/>
              </w:rPr>
              <w:t>110.000</w:t>
            </w:r>
          </w:p>
        </w:tc>
        <w:tc>
          <w:tcPr>
            <w:tcW w:w="769" w:type="dxa"/>
          </w:tcPr>
          <w:p w14:paraId="297A264F">
            <w:pPr>
              <w:spacing w:after="0" w:line="240" w:lineRule="auto"/>
              <w:rPr>
                <w:rFonts w:ascii="Times New Roman" w:hAnsi="Times New Roman" w:cs="Times New Roman"/>
              </w:rPr>
            </w:pPr>
            <w:r>
              <w:rPr>
                <w:rFonts w:ascii="Times New Roman" w:hAnsi="Times New Roman" w:cs="Times New Roman"/>
              </w:rPr>
              <w:t>165.000</w:t>
            </w:r>
          </w:p>
        </w:tc>
        <w:tc>
          <w:tcPr>
            <w:tcW w:w="769" w:type="dxa"/>
          </w:tcPr>
          <w:p w14:paraId="3A14322F">
            <w:pPr>
              <w:spacing w:after="0" w:line="240" w:lineRule="auto"/>
              <w:rPr>
                <w:rFonts w:ascii="Times New Roman" w:hAnsi="Times New Roman" w:cs="Times New Roman"/>
              </w:rPr>
            </w:pPr>
            <w:r>
              <w:rPr>
                <w:rFonts w:ascii="Times New Roman" w:hAnsi="Times New Roman" w:cs="Times New Roman"/>
              </w:rPr>
              <w:t>193.950</w:t>
            </w:r>
          </w:p>
        </w:tc>
        <w:tc>
          <w:tcPr>
            <w:tcW w:w="769" w:type="dxa"/>
          </w:tcPr>
          <w:p w14:paraId="636E2D07">
            <w:pPr>
              <w:spacing w:after="0" w:line="240" w:lineRule="auto"/>
              <w:rPr>
                <w:rFonts w:ascii="Times New Roman" w:hAnsi="Times New Roman" w:cs="Times New Roman"/>
              </w:rPr>
            </w:pPr>
            <w:r>
              <w:rPr>
                <w:rFonts w:ascii="Times New Roman" w:hAnsi="Times New Roman" w:cs="Times New Roman"/>
              </w:rPr>
              <w:t>248.950</w:t>
            </w:r>
          </w:p>
        </w:tc>
        <w:tc>
          <w:tcPr>
            <w:tcW w:w="603" w:type="dxa"/>
          </w:tcPr>
          <w:p w14:paraId="1561F422">
            <w:pPr>
              <w:spacing w:after="0" w:line="240" w:lineRule="auto"/>
              <w:rPr>
                <w:rFonts w:ascii="Times New Roman" w:hAnsi="Times New Roman" w:cs="Times New Roman"/>
              </w:rPr>
            </w:pPr>
            <w:r>
              <w:rPr>
                <w:rFonts w:ascii="Times New Roman" w:hAnsi="Times New Roman" w:cs="Times New Roman"/>
              </w:rPr>
              <w:t>3.333</w:t>
            </w:r>
          </w:p>
        </w:tc>
        <w:tc>
          <w:tcPr>
            <w:tcW w:w="591" w:type="dxa"/>
          </w:tcPr>
          <w:p w14:paraId="418B2C9C">
            <w:pPr>
              <w:spacing w:after="0" w:line="240" w:lineRule="auto"/>
              <w:rPr>
                <w:rFonts w:ascii="Times New Roman" w:hAnsi="Times New Roman" w:cs="Times New Roman"/>
              </w:rPr>
            </w:pPr>
            <w:r>
              <w:rPr>
                <w:rFonts w:ascii="Times New Roman" w:hAnsi="Times New Roman" w:cs="Times New Roman"/>
              </w:rPr>
              <w:t>3.333</w:t>
            </w:r>
          </w:p>
        </w:tc>
        <w:tc>
          <w:tcPr>
            <w:tcW w:w="711" w:type="dxa"/>
          </w:tcPr>
          <w:p w14:paraId="6237AB39">
            <w:pPr>
              <w:spacing w:after="0" w:line="240" w:lineRule="auto"/>
              <w:rPr>
                <w:rFonts w:ascii="Times New Roman" w:hAnsi="Times New Roman" w:cs="Times New Roman"/>
              </w:rPr>
            </w:pPr>
            <w:r>
              <w:rPr>
                <w:rFonts w:ascii="Times New Roman" w:hAnsi="Times New Roman" w:cs="Times New Roman"/>
              </w:rPr>
              <w:t>3.333</w:t>
            </w:r>
          </w:p>
        </w:tc>
        <w:tc>
          <w:tcPr>
            <w:tcW w:w="764" w:type="dxa"/>
          </w:tcPr>
          <w:p w14:paraId="33B64100">
            <w:pPr>
              <w:spacing w:after="0" w:line="240" w:lineRule="auto"/>
              <w:rPr>
                <w:rFonts w:ascii="Times New Roman" w:hAnsi="Times New Roman" w:cs="Times New Roman"/>
              </w:rPr>
            </w:pPr>
            <w:r>
              <w:rPr>
                <w:rFonts w:ascii="Times New Roman" w:hAnsi="Times New Roman" w:cs="Times New Roman"/>
              </w:rPr>
              <w:t>5.000</w:t>
            </w:r>
          </w:p>
        </w:tc>
        <w:tc>
          <w:tcPr>
            <w:tcW w:w="1103" w:type="dxa"/>
          </w:tcPr>
          <w:p w14:paraId="54993C1A">
            <w:pPr>
              <w:spacing w:after="0" w:line="240" w:lineRule="auto"/>
              <w:rPr>
                <w:rFonts w:ascii="Times New Roman" w:hAnsi="Times New Roman" w:cs="Times New Roman"/>
              </w:rPr>
            </w:pPr>
            <w:r>
              <w:rPr>
                <w:rFonts w:ascii="Times New Roman" w:hAnsi="Times New Roman" w:cs="Times New Roman"/>
              </w:rPr>
              <w:t>-</w:t>
            </w:r>
          </w:p>
        </w:tc>
        <w:tc>
          <w:tcPr>
            <w:tcW w:w="1211" w:type="dxa"/>
          </w:tcPr>
          <w:p w14:paraId="6C9BC48B">
            <w:pPr>
              <w:spacing w:after="0" w:line="240" w:lineRule="auto"/>
              <w:rPr>
                <w:rFonts w:ascii="Times New Roman" w:hAnsi="Times New Roman" w:cs="Times New Roman"/>
              </w:rPr>
            </w:pPr>
            <w:r>
              <w:rPr>
                <w:rFonts w:ascii="Times New Roman" w:hAnsi="Times New Roman" w:cs="Times New Roman"/>
              </w:rPr>
              <w:t>-</w:t>
            </w:r>
          </w:p>
        </w:tc>
      </w:tr>
      <w:tr w14:paraId="06F934D7">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402" w:type="dxa"/>
          </w:tcPr>
          <w:p w14:paraId="091F3CFA">
            <w:pPr>
              <w:spacing w:after="0" w:line="240" w:lineRule="auto"/>
              <w:rPr>
                <w:rFonts w:ascii="Times New Roman" w:hAnsi="Times New Roman" w:cs="Times New Roman"/>
              </w:rPr>
            </w:pPr>
            <w:r>
              <w:rPr>
                <w:rFonts w:ascii="Times New Roman" w:hAnsi="Times New Roman" w:cs="Times New Roman"/>
              </w:rPr>
              <w:t>Independence model</w:t>
            </w:r>
          </w:p>
        </w:tc>
        <w:tc>
          <w:tcPr>
            <w:tcW w:w="805" w:type="dxa"/>
          </w:tcPr>
          <w:p w14:paraId="740204AE">
            <w:pPr>
              <w:spacing w:after="0" w:line="240" w:lineRule="auto"/>
              <w:rPr>
                <w:rFonts w:ascii="Times New Roman" w:hAnsi="Times New Roman" w:cs="Times New Roman"/>
              </w:rPr>
            </w:pPr>
            <w:r>
              <w:rPr>
                <w:rFonts w:ascii="Times New Roman" w:hAnsi="Times New Roman" w:cs="Times New Roman"/>
              </w:rPr>
              <w:t>0.239</w:t>
            </w:r>
          </w:p>
        </w:tc>
        <w:tc>
          <w:tcPr>
            <w:tcW w:w="587" w:type="dxa"/>
          </w:tcPr>
          <w:p w14:paraId="39F39282">
            <w:pPr>
              <w:spacing w:after="0" w:line="240" w:lineRule="auto"/>
              <w:rPr>
                <w:rFonts w:ascii="Times New Roman" w:hAnsi="Times New Roman" w:cs="Times New Roman"/>
              </w:rPr>
            </w:pPr>
            <w:r>
              <w:rPr>
                <w:rFonts w:ascii="Times New Roman" w:hAnsi="Times New Roman" w:cs="Times New Roman"/>
              </w:rPr>
              <w:t>0.192</w:t>
            </w:r>
          </w:p>
        </w:tc>
        <w:tc>
          <w:tcPr>
            <w:tcW w:w="587" w:type="dxa"/>
          </w:tcPr>
          <w:p w14:paraId="512FDD4C">
            <w:pPr>
              <w:spacing w:after="0" w:line="240" w:lineRule="auto"/>
              <w:rPr>
                <w:rFonts w:ascii="Times New Roman" w:hAnsi="Times New Roman" w:cs="Times New Roman"/>
              </w:rPr>
            </w:pPr>
            <w:r>
              <w:rPr>
                <w:rFonts w:ascii="Times New Roman" w:hAnsi="Times New Roman" w:cs="Times New Roman"/>
              </w:rPr>
              <w:t>0.288</w:t>
            </w:r>
          </w:p>
        </w:tc>
        <w:tc>
          <w:tcPr>
            <w:tcW w:w="856" w:type="dxa"/>
          </w:tcPr>
          <w:p w14:paraId="45AD1CE4">
            <w:pPr>
              <w:spacing w:after="0" w:line="240" w:lineRule="auto"/>
              <w:rPr>
                <w:rFonts w:ascii="Times New Roman" w:hAnsi="Times New Roman" w:cs="Times New Roman"/>
              </w:rPr>
            </w:pPr>
            <w:r>
              <w:rPr>
                <w:rFonts w:ascii="Times New Roman" w:hAnsi="Times New Roman" w:cs="Times New Roman"/>
              </w:rPr>
              <w:t>0.000</w:t>
            </w:r>
          </w:p>
        </w:tc>
        <w:tc>
          <w:tcPr>
            <w:tcW w:w="769" w:type="dxa"/>
          </w:tcPr>
          <w:p w14:paraId="4DAA78DB">
            <w:pPr>
              <w:spacing w:after="0" w:line="240" w:lineRule="auto"/>
              <w:rPr>
                <w:rFonts w:ascii="Times New Roman" w:hAnsi="Times New Roman" w:cs="Times New Roman"/>
              </w:rPr>
            </w:pPr>
            <w:r>
              <w:rPr>
                <w:rFonts w:ascii="Times New Roman" w:hAnsi="Times New Roman" w:cs="Times New Roman"/>
              </w:rPr>
              <w:t>149.898</w:t>
            </w:r>
          </w:p>
        </w:tc>
        <w:tc>
          <w:tcPr>
            <w:tcW w:w="769" w:type="dxa"/>
          </w:tcPr>
          <w:p w14:paraId="17F124DD">
            <w:pPr>
              <w:spacing w:after="0" w:line="240" w:lineRule="auto"/>
              <w:rPr>
                <w:rFonts w:ascii="Times New Roman" w:hAnsi="Times New Roman" w:cs="Times New Roman"/>
              </w:rPr>
            </w:pPr>
            <w:r>
              <w:rPr>
                <w:rFonts w:ascii="Times New Roman" w:hAnsi="Times New Roman" w:cs="Times New Roman"/>
              </w:rPr>
              <w:t>159.898</w:t>
            </w:r>
          </w:p>
        </w:tc>
        <w:tc>
          <w:tcPr>
            <w:tcW w:w="769" w:type="dxa"/>
          </w:tcPr>
          <w:p w14:paraId="4F09D75A">
            <w:pPr>
              <w:spacing w:after="0" w:line="240" w:lineRule="auto"/>
              <w:rPr>
                <w:rFonts w:ascii="Times New Roman" w:hAnsi="Times New Roman" w:cs="Times New Roman"/>
              </w:rPr>
            </w:pPr>
            <w:r>
              <w:rPr>
                <w:rFonts w:ascii="Times New Roman" w:hAnsi="Times New Roman" w:cs="Times New Roman"/>
              </w:rPr>
              <w:t>165.161</w:t>
            </w:r>
          </w:p>
        </w:tc>
        <w:tc>
          <w:tcPr>
            <w:tcW w:w="769" w:type="dxa"/>
          </w:tcPr>
          <w:p w14:paraId="20F36586">
            <w:pPr>
              <w:spacing w:after="0" w:line="240" w:lineRule="auto"/>
              <w:rPr>
                <w:rFonts w:ascii="Times New Roman" w:hAnsi="Times New Roman" w:cs="Times New Roman"/>
              </w:rPr>
            </w:pPr>
            <w:r>
              <w:rPr>
                <w:rFonts w:ascii="Times New Roman" w:hAnsi="Times New Roman" w:cs="Times New Roman"/>
              </w:rPr>
              <w:t>175.161</w:t>
            </w:r>
          </w:p>
        </w:tc>
        <w:tc>
          <w:tcPr>
            <w:tcW w:w="603" w:type="dxa"/>
          </w:tcPr>
          <w:p w14:paraId="2659814D">
            <w:pPr>
              <w:spacing w:after="0" w:line="240" w:lineRule="auto"/>
              <w:rPr>
                <w:rFonts w:ascii="Times New Roman" w:hAnsi="Times New Roman" w:cs="Times New Roman"/>
              </w:rPr>
            </w:pPr>
            <w:r>
              <w:rPr>
                <w:rFonts w:ascii="Times New Roman" w:hAnsi="Times New Roman" w:cs="Times New Roman"/>
              </w:rPr>
              <w:t>4.542</w:t>
            </w:r>
          </w:p>
        </w:tc>
        <w:tc>
          <w:tcPr>
            <w:tcW w:w="591" w:type="dxa"/>
          </w:tcPr>
          <w:p w14:paraId="619F4182">
            <w:pPr>
              <w:spacing w:after="0" w:line="240" w:lineRule="auto"/>
              <w:rPr>
                <w:rFonts w:ascii="Times New Roman" w:hAnsi="Times New Roman" w:cs="Times New Roman"/>
              </w:rPr>
            </w:pPr>
            <w:r>
              <w:rPr>
                <w:rFonts w:ascii="Times New Roman" w:hAnsi="Times New Roman" w:cs="Times New Roman"/>
              </w:rPr>
              <w:t>3.623</w:t>
            </w:r>
          </w:p>
        </w:tc>
        <w:tc>
          <w:tcPr>
            <w:tcW w:w="711" w:type="dxa"/>
          </w:tcPr>
          <w:p w14:paraId="5E380CA4">
            <w:pPr>
              <w:spacing w:after="0" w:line="240" w:lineRule="auto"/>
              <w:rPr>
                <w:rFonts w:ascii="Times New Roman" w:hAnsi="Times New Roman" w:cs="Times New Roman"/>
              </w:rPr>
            </w:pPr>
            <w:r>
              <w:rPr>
                <w:rFonts w:ascii="Times New Roman" w:hAnsi="Times New Roman" w:cs="Times New Roman"/>
              </w:rPr>
              <w:t>5.693</w:t>
            </w:r>
          </w:p>
        </w:tc>
        <w:tc>
          <w:tcPr>
            <w:tcW w:w="764" w:type="dxa"/>
          </w:tcPr>
          <w:p w14:paraId="4A6308C3">
            <w:pPr>
              <w:spacing w:after="0" w:line="240" w:lineRule="auto"/>
              <w:rPr>
                <w:rFonts w:ascii="Times New Roman" w:hAnsi="Times New Roman" w:cs="Times New Roman"/>
              </w:rPr>
            </w:pPr>
            <w:r>
              <w:rPr>
                <w:rFonts w:ascii="Times New Roman" w:hAnsi="Times New Roman" w:cs="Times New Roman"/>
              </w:rPr>
              <w:t>4.845</w:t>
            </w:r>
          </w:p>
        </w:tc>
        <w:tc>
          <w:tcPr>
            <w:tcW w:w="1103" w:type="dxa"/>
          </w:tcPr>
          <w:p w14:paraId="20FCF5F9">
            <w:pPr>
              <w:spacing w:after="0" w:line="240" w:lineRule="auto"/>
              <w:rPr>
                <w:rFonts w:ascii="Times New Roman" w:hAnsi="Times New Roman" w:cs="Times New Roman"/>
              </w:rPr>
            </w:pPr>
            <w:r>
              <w:rPr>
                <w:rFonts w:ascii="Times New Roman" w:hAnsi="Times New Roman" w:cs="Times New Roman"/>
              </w:rPr>
              <w:t>16</w:t>
            </w:r>
          </w:p>
        </w:tc>
        <w:tc>
          <w:tcPr>
            <w:tcW w:w="1211" w:type="dxa"/>
          </w:tcPr>
          <w:p w14:paraId="186CF6D6">
            <w:pPr>
              <w:spacing w:after="0" w:line="240" w:lineRule="auto"/>
              <w:rPr>
                <w:rFonts w:ascii="Times New Roman" w:hAnsi="Times New Roman" w:cs="Times New Roman"/>
              </w:rPr>
            </w:pPr>
            <w:r>
              <w:rPr>
                <w:rFonts w:ascii="Times New Roman" w:hAnsi="Times New Roman" w:cs="Times New Roman"/>
              </w:rPr>
              <w:t>18</w:t>
            </w:r>
          </w:p>
        </w:tc>
      </w:tr>
    </w:tbl>
    <w:p w14:paraId="4D9431EC">
      <w:pPr>
        <w:jc w:val="both"/>
        <w:rPr>
          <w:rFonts w:ascii="Times New Roman" w:hAnsi="Times New Roman" w:cs="Times New Roman"/>
        </w:rPr>
      </w:pPr>
      <w:r>
        <w:rPr>
          <w:rFonts w:ascii="Times New Roman" w:hAnsi="Times New Roman" w:cs="Times New Roman"/>
          <w:b/>
          <w:bCs/>
        </w:rPr>
        <w:t>RMSEA:</w:t>
      </w:r>
      <w:r>
        <w:rPr>
          <w:rFonts w:ascii="Times New Roman" w:hAnsi="Times New Roman" w:cs="Times New Roman"/>
        </w:rPr>
        <w:t xml:space="preserve"> Root Mean Square Error of Approximation; </w:t>
      </w:r>
      <w:r>
        <w:rPr>
          <w:rFonts w:ascii="Times New Roman" w:hAnsi="Times New Roman" w:cs="Times New Roman"/>
          <w:b/>
          <w:bCs/>
        </w:rPr>
        <w:t>LO90:</w:t>
      </w:r>
      <w:r>
        <w:rPr>
          <w:rFonts w:ascii="Times New Roman" w:hAnsi="Times New Roman" w:cs="Times New Roman"/>
        </w:rPr>
        <w:t xml:space="preserve"> Lower bound for 90% confidence interval for RMSEA; </w:t>
      </w:r>
      <w:r>
        <w:rPr>
          <w:rFonts w:ascii="Times New Roman" w:hAnsi="Times New Roman" w:cs="Times New Roman"/>
          <w:b/>
          <w:bCs/>
        </w:rPr>
        <w:t>HI90:</w:t>
      </w:r>
      <w:r>
        <w:rPr>
          <w:rFonts w:ascii="Times New Roman" w:hAnsi="Times New Roman" w:cs="Times New Roman"/>
        </w:rPr>
        <w:t xml:space="preserve"> Upper bound for 90% confidence interval for RMSEA; </w:t>
      </w:r>
      <w:r>
        <w:rPr>
          <w:rFonts w:ascii="Times New Roman" w:hAnsi="Times New Roman" w:cs="Times New Roman"/>
          <w:b/>
          <w:bCs/>
        </w:rPr>
        <w:t>PCLOSE:</w:t>
      </w:r>
      <w:r>
        <w:rPr>
          <w:rFonts w:ascii="Times New Roman" w:hAnsi="Times New Roman" w:cs="Times New Roman"/>
        </w:rPr>
        <w:t xml:space="preserve"> A p-value associated with testing whether or not RMSEA is close to zero; typically used as an additional measure alongside other fit indices like CFI and TLI; </w:t>
      </w:r>
      <w:r>
        <w:rPr>
          <w:rFonts w:ascii="Times New Roman" w:hAnsi="Times New Roman" w:cs="Times New Roman"/>
          <w:b/>
          <w:bCs/>
        </w:rPr>
        <w:t>AIC:</w:t>
      </w:r>
      <w:r>
        <w:rPr>
          <w:rFonts w:ascii="Times New Roman" w:hAnsi="Times New Roman" w:cs="Times New Roman"/>
        </w:rPr>
        <w:t xml:space="preserve"> Akaike </w:t>
      </w:r>
      <w:r>
        <w:rPr>
          <w:rFonts w:hint="eastAsia" w:ascii="Times New Roman" w:hAnsi="Times New Roman" w:cs="Times New Roman"/>
          <w:lang w:val="en-US" w:eastAsia="zh-CN"/>
        </w:rPr>
        <w:t>i</w:t>
      </w:r>
      <w:r>
        <w:rPr>
          <w:rFonts w:ascii="Times New Roman" w:hAnsi="Times New Roman" w:cs="Times New Roman"/>
        </w:rPr>
        <w:t xml:space="preserve">nformation </w:t>
      </w:r>
      <w:r>
        <w:rPr>
          <w:rFonts w:hint="eastAsia" w:ascii="Times New Roman" w:hAnsi="Times New Roman" w:cs="Times New Roman"/>
          <w:lang w:val="en-US" w:eastAsia="zh-CN"/>
        </w:rPr>
        <w:t>c</w:t>
      </w:r>
      <w:r>
        <w:rPr>
          <w:rFonts w:ascii="Times New Roman" w:hAnsi="Times New Roman" w:cs="Times New Roman"/>
        </w:rPr>
        <w:t xml:space="preserve">riterion; </w:t>
      </w:r>
      <w:r>
        <w:rPr>
          <w:rFonts w:ascii="Times New Roman" w:hAnsi="Times New Roman" w:cs="Times New Roman"/>
          <w:b/>
          <w:bCs/>
        </w:rPr>
        <w:t>BCC:</w:t>
      </w:r>
      <w:r>
        <w:rPr>
          <w:rFonts w:ascii="Times New Roman" w:hAnsi="Times New Roman" w:cs="Times New Roman"/>
        </w:rPr>
        <w:t xml:space="preserve"> Bayesian </w:t>
      </w:r>
      <w:r>
        <w:rPr>
          <w:rFonts w:hint="eastAsia" w:ascii="Times New Roman" w:hAnsi="Times New Roman" w:cs="Times New Roman"/>
          <w:lang w:val="en-US" w:eastAsia="zh-CN"/>
        </w:rPr>
        <w:t>i</w:t>
      </w:r>
      <w:r>
        <w:rPr>
          <w:rFonts w:ascii="Times New Roman" w:hAnsi="Times New Roman" w:cs="Times New Roman"/>
        </w:rPr>
        <w:t xml:space="preserve">nformation </w:t>
      </w:r>
      <w:r>
        <w:rPr>
          <w:rFonts w:hint="eastAsia" w:ascii="Times New Roman" w:hAnsi="Times New Roman" w:cs="Times New Roman"/>
          <w:lang w:val="en-US" w:eastAsia="zh-CN"/>
        </w:rPr>
        <w:t>c</w:t>
      </w:r>
      <w:r>
        <w:rPr>
          <w:rFonts w:ascii="Times New Roman" w:hAnsi="Times New Roman" w:cs="Times New Roman"/>
        </w:rPr>
        <w:t xml:space="preserve">riterion corrected; </w:t>
      </w:r>
      <w:r>
        <w:rPr>
          <w:rFonts w:ascii="Times New Roman" w:hAnsi="Times New Roman" w:cs="Times New Roman"/>
          <w:b/>
          <w:bCs/>
        </w:rPr>
        <w:t>BIC:</w:t>
      </w:r>
      <w:r>
        <w:rPr>
          <w:rFonts w:ascii="Times New Roman" w:hAnsi="Times New Roman" w:cs="Times New Roman"/>
        </w:rPr>
        <w:t xml:space="preserve"> Bayesian information criterion; </w:t>
      </w:r>
      <w:r>
        <w:rPr>
          <w:rFonts w:ascii="Times New Roman" w:hAnsi="Times New Roman" w:cs="Times New Roman"/>
          <w:b/>
          <w:bCs/>
        </w:rPr>
        <w:t>CAIC:</w:t>
      </w:r>
      <w:r>
        <w:rPr>
          <w:rFonts w:ascii="Times New Roman" w:hAnsi="Times New Roman" w:cs="Times New Roman"/>
        </w:rPr>
        <w:t xml:space="preserve"> Consistent Akaike's information criteria; </w:t>
      </w:r>
      <w:r>
        <w:rPr>
          <w:rFonts w:ascii="Times New Roman" w:hAnsi="Times New Roman" w:cs="Times New Roman"/>
          <w:b/>
          <w:bCs/>
        </w:rPr>
        <w:t>ECVI:</w:t>
      </w:r>
      <w:r>
        <w:rPr>
          <w:rFonts w:ascii="Times New Roman" w:hAnsi="Times New Roman" w:cs="Times New Roman"/>
        </w:rPr>
        <w:t xml:space="preserve"> Expected </w:t>
      </w:r>
      <w:r>
        <w:rPr>
          <w:rFonts w:hint="eastAsia" w:ascii="Times New Roman" w:hAnsi="Times New Roman" w:cs="Times New Roman"/>
          <w:lang w:val="en-US" w:eastAsia="zh-CN"/>
        </w:rPr>
        <w:t>c</w:t>
      </w:r>
      <w:r>
        <w:rPr>
          <w:rFonts w:ascii="Times New Roman" w:hAnsi="Times New Roman" w:cs="Times New Roman"/>
        </w:rPr>
        <w:t>ross-</w:t>
      </w:r>
      <w:r>
        <w:rPr>
          <w:rFonts w:hint="eastAsia" w:ascii="Times New Roman" w:hAnsi="Times New Roman" w:cs="Times New Roman"/>
          <w:lang w:val="en-US" w:eastAsia="zh-CN"/>
        </w:rPr>
        <w:t>v</w:t>
      </w:r>
      <w:r>
        <w:rPr>
          <w:rFonts w:ascii="Times New Roman" w:hAnsi="Times New Roman" w:cs="Times New Roman"/>
        </w:rPr>
        <w:t xml:space="preserve">alidation </w:t>
      </w:r>
      <w:r>
        <w:rPr>
          <w:rFonts w:hint="eastAsia" w:ascii="Times New Roman" w:hAnsi="Times New Roman" w:cs="Times New Roman"/>
          <w:lang w:val="en-US" w:eastAsia="zh-CN"/>
        </w:rPr>
        <w:t>i</w:t>
      </w:r>
      <w:r>
        <w:rPr>
          <w:rFonts w:ascii="Times New Roman" w:hAnsi="Times New Roman" w:cs="Times New Roman"/>
        </w:rPr>
        <w:t xml:space="preserve">ndex; and </w:t>
      </w:r>
      <w:r>
        <w:rPr>
          <w:rFonts w:ascii="Times New Roman" w:hAnsi="Times New Roman" w:cs="Times New Roman"/>
          <w:b/>
          <w:bCs/>
        </w:rPr>
        <w:t>MECVI:</w:t>
      </w:r>
      <w:r>
        <w:rPr>
          <w:rFonts w:ascii="Times New Roman" w:hAnsi="Times New Roman" w:cs="Times New Roman"/>
        </w:rPr>
        <w:t xml:space="preserve"> Minimum </w:t>
      </w:r>
      <w:r>
        <w:rPr>
          <w:rFonts w:hint="eastAsia" w:ascii="Times New Roman" w:hAnsi="Times New Roman" w:cs="Times New Roman"/>
          <w:lang w:val="en-US" w:eastAsia="zh-CN"/>
        </w:rPr>
        <w:t>e</w:t>
      </w:r>
      <w:r>
        <w:rPr>
          <w:rFonts w:ascii="Times New Roman" w:hAnsi="Times New Roman" w:cs="Times New Roman"/>
        </w:rPr>
        <w:t xml:space="preserve">xpected </w:t>
      </w:r>
      <w:r>
        <w:rPr>
          <w:rFonts w:hint="eastAsia" w:ascii="Times New Roman" w:hAnsi="Times New Roman" w:cs="Times New Roman"/>
          <w:lang w:val="en-US" w:eastAsia="zh-CN"/>
        </w:rPr>
        <w:t>c</w:t>
      </w:r>
      <w:r>
        <w:rPr>
          <w:rFonts w:ascii="Times New Roman" w:hAnsi="Times New Roman" w:cs="Times New Roman"/>
        </w:rPr>
        <w:t>ross-</w:t>
      </w:r>
      <w:r>
        <w:rPr>
          <w:rFonts w:hint="eastAsia" w:ascii="Times New Roman" w:hAnsi="Times New Roman" w:cs="Times New Roman"/>
          <w:lang w:val="en-US" w:eastAsia="zh-CN"/>
        </w:rPr>
        <w:t>v</w:t>
      </w:r>
      <w:r>
        <w:rPr>
          <w:rFonts w:ascii="Times New Roman" w:hAnsi="Times New Roman" w:cs="Times New Roman"/>
        </w:rPr>
        <w:t xml:space="preserve">alidation </w:t>
      </w:r>
      <w:r>
        <w:rPr>
          <w:rFonts w:hint="eastAsia" w:ascii="Times New Roman" w:hAnsi="Times New Roman" w:cs="Times New Roman"/>
          <w:lang w:val="en-US" w:eastAsia="zh-CN"/>
        </w:rPr>
        <w:t>i</w:t>
      </w:r>
      <w:r>
        <w:rPr>
          <w:rFonts w:ascii="Times New Roman" w:hAnsi="Times New Roman" w:cs="Times New Roman"/>
        </w:rPr>
        <w:t>ndex.</w:t>
      </w:r>
    </w:p>
    <w:p w14:paraId="7AC1A9B7">
      <w:pPr>
        <w:rPr>
          <w:rFonts w:ascii="Times New Roman" w:hAnsi="Times New Roman" w:cs="Times New Roman"/>
        </w:rPr>
      </w:pPr>
    </w:p>
    <w:p w14:paraId="4D9A3732">
      <w:pPr>
        <w:rPr>
          <w:rFonts w:ascii="Times New Roman" w:hAnsi="Times New Roman" w:cs="Times New Roman"/>
          <w:b/>
          <w:bCs/>
          <w:sz w:val="18"/>
          <w:szCs w:val="18"/>
        </w:rPr>
      </w:pPr>
    </w:p>
    <w:p w14:paraId="2AA50E86">
      <w:pPr>
        <w:rPr>
          <w:rFonts w:ascii="Times New Roman" w:hAnsi="Times New Roman" w:cs="Times New Roman"/>
          <w:b/>
          <w:bCs/>
          <w:sz w:val="18"/>
          <w:szCs w:val="18"/>
          <w:lang w:val="nl-BE"/>
        </w:rPr>
      </w:pPr>
    </w:p>
    <w:p w14:paraId="0B4E3F46">
      <w:pPr>
        <w:rPr>
          <w:rFonts w:ascii="Times New Roman" w:hAnsi="Times New Roman" w:cs="Times New Roman"/>
          <w:b/>
          <w:bCs/>
          <w:sz w:val="18"/>
          <w:szCs w:val="18"/>
          <w:lang w:val="nl-BE"/>
        </w:rPr>
      </w:pPr>
    </w:p>
    <w:p w14:paraId="0F8958C8">
      <w:pPr>
        <w:spacing w:line="360" w:lineRule="auto"/>
        <w:jc w:val="both"/>
        <w:rPr>
          <w:rFonts w:ascii="Times New Roman" w:hAnsi="Times New Roman" w:cs="Times New Roman"/>
          <w:b/>
          <w:bCs/>
          <w:sz w:val="18"/>
          <w:szCs w:val="18"/>
          <w:lang w:val="nl-BE"/>
        </w:rPr>
      </w:pPr>
      <w:r>
        <w:rPr>
          <w:rFonts w:ascii="Times New Roman" w:hAnsi="Times New Roman" w:cs="Times New Roman"/>
          <w:b/>
          <w:bCs/>
          <w:sz w:val="18"/>
          <w:szCs w:val="18"/>
          <w:lang w:val="nl-BE"/>
        </w:rPr>
        <w:drawing>
          <wp:inline distT="0" distB="0" distL="0" distR="0">
            <wp:extent cx="7242175" cy="4073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cstate="screen"/>
                    <a:stretch>
                      <a:fillRect/>
                    </a:stretch>
                  </pic:blipFill>
                  <pic:spPr>
                    <a:xfrm>
                      <a:off x="0" y="0"/>
                      <a:ext cx="7242175" cy="4073525"/>
                    </a:xfrm>
                    <a:prstGeom prst="rect">
                      <a:avLst/>
                    </a:prstGeom>
                  </pic:spPr>
                </pic:pic>
              </a:graphicData>
            </a:graphic>
          </wp:inline>
        </w:drawing>
      </w:r>
      <w:r>
        <w:rPr>
          <w:rFonts w:ascii="Times New Roman" w:hAnsi="Times New Roman" w:cs="Times New Roman"/>
          <w:b/>
          <w:bCs/>
          <w:lang w:val="nl-BE"/>
        </w:rPr>
        <w:t xml:space="preserve"> Fig. S10</w:t>
      </w:r>
      <w:r>
        <w:rPr>
          <w:rFonts w:ascii="Times New Roman" w:hAnsi="Times New Roman" w:cs="Times New Roman"/>
          <w:lang w:val="nl-BE"/>
        </w:rPr>
        <w:t xml:space="preserve"> The importance of maintaining good porosity, ensuring sufficient oxygen supply, controlling leaching in retaining nutrients within the organic fertilizer, and minimizing potential environmental harm.</w:t>
      </w:r>
    </w:p>
    <w:p w14:paraId="0E20619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4C23698E">
      <w:pPr>
        <w:spacing w:line="360" w:lineRule="auto"/>
        <w:ind w:left="360" w:hanging="567"/>
        <w:jc w:val="both"/>
        <w:rPr>
          <w:rFonts w:ascii="Times New Roman" w:hAnsi="Times New Roman" w:cs="Times New Roman"/>
        </w:rPr>
      </w:pPr>
      <w:r>
        <w:rPr>
          <w:rFonts w:ascii="Times New Roman" w:hAnsi="Times New Roman" w:cs="Times New Roman"/>
        </w:rPr>
        <w:t>Adhikari, B. K., Trémier, A., Barrington, S., Martinez, J., &amp; Daumoin, M. ,2013. Gas emissions as influenced by home composting system configuration. Journal of Environmental Management, 116, 163–171. https://doi.org/10.1016/j.jenvman.2012.12.008</w:t>
      </w:r>
    </w:p>
    <w:p w14:paraId="19E70C60">
      <w:pPr>
        <w:spacing w:line="360" w:lineRule="auto"/>
        <w:ind w:left="360" w:hanging="567"/>
        <w:jc w:val="both"/>
        <w:rPr>
          <w:rFonts w:ascii="Times New Roman" w:hAnsi="Times New Roman" w:cs="Times New Roman"/>
        </w:rPr>
      </w:pPr>
      <w:r>
        <w:rPr>
          <w:rFonts w:ascii="Times New Roman" w:hAnsi="Times New Roman" w:cs="Times New Roman"/>
        </w:rPr>
        <w:t>Alarefee, H. A., Ishak, C. F., Othman, R., &amp; Karam, D. S. ,2023. Effectiveness of mixing poultry litter compost with rice husk biochar in mitigating ammonia volatilization and carbon dioxide emission. Journal of Environmental Management, 329. https://doi.org/10.1016/j.jenvman.2022.117051</w:t>
      </w:r>
    </w:p>
    <w:p w14:paraId="23D3BC27">
      <w:pPr>
        <w:spacing w:line="360" w:lineRule="auto"/>
        <w:ind w:left="360" w:hanging="567"/>
        <w:jc w:val="both"/>
        <w:rPr>
          <w:rFonts w:ascii="Times New Roman" w:hAnsi="Times New Roman" w:cs="Times New Roman"/>
        </w:rPr>
      </w:pPr>
      <w:r>
        <w:rPr>
          <w:rFonts w:ascii="Times New Roman" w:hAnsi="Times New Roman" w:cs="Times New Roman"/>
        </w:rPr>
        <w:t>Awasthi, M. K., Duan, Y., Awasthi, S. K., Liu, T., &amp; Zhang, Z. ,2020. Effect of biochar and bacterial inoculum additions on cow dung composting. Bioresource Technology, 297. https://doi.org/10.1016/j.biortech.2019.122407</w:t>
      </w:r>
    </w:p>
    <w:p w14:paraId="4B44C50F">
      <w:pPr>
        <w:spacing w:line="360" w:lineRule="auto"/>
        <w:ind w:left="360" w:hanging="567"/>
        <w:jc w:val="both"/>
        <w:rPr>
          <w:rFonts w:ascii="Times New Roman" w:hAnsi="Times New Roman" w:cs="Times New Roman"/>
        </w:rPr>
      </w:pPr>
      <w:r>
        <w:rPr>
          <w:rFonts w:ascii="Times New Roman" w:hAnsi="Times New Roman" w:cs="Times New Roman"/>
        </w:rPr>
        <w:t>Awasthi, M. K., Duan, Y., Awasthi, S. K., Liu, T., &amp; Zhang, Z. ,2020a. Influence of bamboo biochar on mitigating greenhouse gas emissions and nitrogen loss during poultry manure composting. Bioresource Technology, 303. https://doi.org/10.1016/j.biortech.2020.122952</w:t>
      </w:r>
    </w:p>
    <w:p w14:paraId="7498C72D">
      <w:pPr>
        <w:spacing w:line="360" w:lineRule="auto"/>
        <w:ind w:left="360" w:hanging="567"/>
        <w:jc w:val="both"/>
        <w:rPr>
          <w:rFonts w:ascii="Times New Roman" w:hAnsi="Times New Roman" w:cs="Times New Roman"/>
        </w:rPr>
      </w:pPr>
      <w:r>
        <w:rPr>
          <w:rFonts w:ascii="Times New Roman" w:hAnsi="Times New Roman" w:cs="Times New Roman"/>
        </w:rPr>
        <w:t>Awasthi, M. K., Wang, M., Chen, H., Wang, Q., Zhao, J., Ren, X., Li, D. Sheng, Awasthi, S. K., Shen, F., Li, R., &amp; Zhang, Z. ,2017. Heterogeneity of biochar amendment to improve the carbon and nitrogen sequestration through reduce the greenhouse gases emissions during sewage sludge composting. Bioresource Technology, 224, 428–438. https://doi.org/10.1016/j.biortech.2016.11.014</w:t>
      </w:r>
    </w:p>
    <w:p w14:paraId="71319684">
      <w:pPr>
        <w:spacing w:line="360" w:lineRule="auto"/>
        <w:ind w:left="360" w:hanging="567"/>
        <w:jc w:val="both"/>
        <w:rPr>
          <w:rFonts w:ascii="Times New Roman" w:hAnsi="Times New Roman" w:cs="Times New Roman"/>
        </w:rPr>
      </w:pPr>
      <w:r>
        <w:rPr>
          <w:rFonts w:ascii="Times New Roman" w:hAnsi="Times New Roman" w:cs="Times New Roman"/>
        </w:rPr>
        <w:t>Awasthi, M. K., Wang, Q., Awasthi, S. K., Wang, M., Chen, H., Ren, X., Zhao, J., &amp; Zhang, Z. ,2018. Influence of medical stone amendment on gaseous emissions, microbial biomass, and abundance of ammonia-oxidizing bacteria genes during biosolids composting. Bioresource Technology, 247, 970–979. https://doi.org/10.1016/j.biortech.2017.09.201</w:t>
      </w:r>
    </w:p>
    <w:p w14:paraId="081F3224">
      <w:pPr>
        <w:spacing w:line="360" w:lineRule="auto"/>
        <w:ind w:left="360" w:hanging="567"/>
        <w:jc w:val="both"/>
        <w:rPr>
          <w:rFonts w:ascii="Times New Roman" w:hAnsi="Times New Roman" w:cs="Times New Roman"/>
        </w:rPr>
      </w:pPr>
      <w:r>
        <w:rPr>
          <w:rFonts w:ascii="Times New Roman" w:hAnsi="Times New Roman" w:cs="Times New Roman"/>
        </w:rPr>
        <w:t>Bai, M., Impraim, R., Coates, T., Flesch, T., Trouvé, R., van Grinsven, H., Cao, Y., Hill, J., &amp; Chen, D. ,2020. Lignite effects on NH</w:t>
      </w:r>
      <w:r>
        <w:rPr>
          <w:rFonts w:ascii="Times New Roman" w:hAnsi="Times New Roman" w:cs="Times New Roman"/>
          <w:vertAlign w:val="subscript"/>
        </w:rPr>
        <w:t>3</w:t>
      </w:r>
      <w:r>
        <w:rPr>
          <w:rFonts w:ascii="Times New Roman" w:hAnsi="Times New Roman" w:cs="Times New Roman"/>
        </w:rPr>
        <w:t>, N</w:t>
      </w:r>
      <w:r>
        <w:rPr>
          <w:rFonts w:ascii="Times New Roman" w:hAnsi="Times New Roman" w:cs="Times New Roman"/>
          <w:vertAlign w:val="subscript"/>
        </w:rPr>
        <w:t>2</w:t>
      </w:r>
      <w:r>
        <w:rPr>
          <w:rFonts w:ascii="Times New Roman" w:hAnsi="Times New Roman" w:cs="Times New Roman"/>
        </w:rPr>
        <w:t>O, CO</w:t>
      </w:r>
      <w:r>
        <w:rPr>
          <w:rFonts w:ascii="Times New Roman" w:hAnsi="Times New Roman" w:cs="Times New Roman"/>
          <w:vertAlign w:val="subscript"/>
        </w:rPr>
        <w:t>2</w:t>
      </w:r>
      <w:r>
        <w:rPr>
          <w:rFonts w:ascii="Times New Roman" w:hAnsi="Times New Roman" w:cs="Times New Roman"/>
        </w:rPr>
        <w:t>, and CH</w:t>
      </w:r>
      <w:r>
        <w:rPr>
          <w:rFonts w:ascii="Times New Roman" w:hAnsi="Times New Roman" w:cs="Times New Roman"/>
          <w:vertAlign w:val="subscript"/>
        </w:rPr>
        <w:t xml:space="preserve">4 </w:t>
      </w:r>
      <w:r>
        <w:rPr>
          <w:rFonts w:ascii="Times New Roman" w:hAnsi="Times New Roman" w:cs="Times New Roman"/>
        </w:rPr>
        <w:t>emissions during composting of manure. Journal of Environmental Management, 271. https://doi.org/10.1016/j.jenvman.2020.110960</w:t>
      </w:r>
    </w:p>
    <w:p w14:paraId="5EAE7394">
      <w:pPr>
        <w:spacing w:line="360" w:lineRule="auto"/>
        <w:ind w:left="360" w:hanging="567"/>
        <w:jc w:val="both"/>
        <w:rPr>
          <w:rFonts w:ascii="Times New Roman" w:hAnsi="Times New Roman" w:cs="Times New Roman"/>
        </w:rPr>
      </w:pPr>
      <w:r>
        <w:rPr>
          <w:rFonts w:ascii="Times New Roman" w:hAnsi="Times New Roman" w:cs="Times New Roman"/>
        </w:rPr>
        <w:t>Bai, Y., Zhang, L., Yin, Z., &amp; Sun, X. ,2021. Beer lees and ceramsite amendments enhance the two-stage co-composting of green waste. Bioresource Technology, 335. https://doi.org/10.1016/j.biortech.2021.125288</w:t>
      </w:r>
    </w:p>
    <w:p w14:paraId="0362F83A">
      <w:pPr>
        <w:spacing w:line="360" w:lineRule="auto"/>
        <w:ind w:left="360" w:hanging="567"/>
        <w:jc w:val="both"/>
        <w:rPr>
          <w:rFonts w:ascii="Times New Roman" w:hAnsi="Times New Roman" w:cs="Times New Roman"/>
        </w:rPr>
      </w:pPr>
      <w:r>
        <w:rPr>
          <w:rFonts w:ascii="Times New Roman" w:hAnsi="Times New Roman" w:cs="Times New Roman"/>
        </w:rPr>
        <w:t>Blazy, V., de Guardia, A., Benoist, J. C., Daumoin, M., Lemasle, M., Wolbert, D., &amp; Barrington, S. ,2014. Odorous gaseous emissions as influence by process condition for the forced aeration composting of pig slaughterhouse sludge. Waste Management, 34(7), 1125–1138. https://doi.org/10.1016/j.wasman.2014.03.012</w:t>
      </w:r>
    </w:p>
    <w:p w14:paraId="43F85893">
      <w:pPr>
        <w:spacing w:line="360" w:lineRule="auto"/>
        <w:ind w:left="360" w:hanging="567"/>
        <w:jc w:val="both"/>
        <w:rPr>
          <w:rFonts w:ascii="Times New Roman" w:hAnsi="Times New Roman" w:cs="Times New Roman"/>
        </w:rPr>
      </w:pPr>
      <w:r>
        <w:rPr>
          <w:rFonts w:ascii="Times New Roman" w:hAnsi="Times New Roman" w:cs="Times New Roman"/>
        </w:rPr>
        <w:t>Cao, Y., Wang, X., Liu, L., Velthof, G. L., Misselbrook, T., Bai, Z., &amp; Ma, L. ,2020. Acidification of manure reduces gaseous emissions and nutrient losses from subsequent composting process. Journal of Environmental Management, 264. https://doi.org/10.1016/j.jenvman.2020.110454</w:t>
      </w:r>
    </w:p>
    <w:p w14:paraId="370A9895">
      <w:pPr>
        <w:spacing w:line="360" w:lineRule="auto"/>
        <w:ind w:left="360" w:hanging="567"/>
        <w:jc w:val="both"/>
        <w:rPr>
          <w:rFonts w:ascii="Times New Roman" w:hAnsi="Times New Roman" w:cs="Times New Roman"/>
        </w:rPr>
      </w:pPr>
      <w:r>
        <w:rPr>
          <w:rFonts w:ascii="Times New Roman" w:hAnsi="Times New Roman" w:cs="Times New Roman"/>
        </w:rPr>
        <w:t>Cao, Y., Wang, X., Zhang, X., Misselbrook, T. H., Bai, Z., Wang, H., &amp; Ma, L. ,2022. The effects of electric field assisted composting on ammonia and nitrous oxide emissions varied with different electrolytes. Bioresource Technology, 344. https://doi.org/10.1016/j.biortech.2021.126194</w:t>
      </w:r>
    </w:p>
    <w:p w14:paraId="46C0DA1E">
      <w:pPr>
        <w:spacing w:line="360" w:lineRule="auto"/>
        <w:ind w:left="360" w:hanging="567"/>
        <w:jc w:val="both"/>
        <w:rPr>
          <w:rFonts w:ascii="Times New Roman" w:hAnsi="Times New Roman" w:cs="Times New Roman"/>
        </w:rPr>
      </w:pPr>
      <w:r>
        <w:rPr>
          <w:rFonts w:ascii="Times New Roman" w:hAnsi="Times New Roman" w:cs="Times New Roman"/>
        </w:rPr>
        <w:t>Chen, L., Li, W., Zhao, Y., Zhou, Y., Zhang, S., &amp; Meng, L. ,2022a. Effects of compound bacterial agent on gaseous emissions and compost maturity during sewage sludge composting. Journal of Cleaner Production, 366. https://doi.org/10.1016/j.jclepro.2022.133015</w:t>
      </w:r>
    </w:p>
    <w:p w14:paraId="39CBDB78">
      <w:pPr>
        <w:spacing w:line="360" w:lineRule="auto"/>
        <w:ind w:left="360" w:hanging="567"/>
        <w:jc w:val="both"/>
        <w:rPr>
          <w:rFonts w:ascii="Times New Roman" w:hAnsi="Times New Roman" w:cs="Times New Roman"/>
        </w:rPr>
      </w:pPr>
      <w:r>
        <w:rPr>
          <w:rFonts w:ascii="Times New Roman" w:hAnsi="Times New Roman" w:cs="Times New Roman"/>
        </w:rPr>
        <w:t>Chen, P., Cheng, W., &amp; Li, S. ,2023. Optimization strategies for mitigating nitrogen loss in the aerobic composting of pig manure and microbial changes revealed by metagenomic analysis. Process Safety and Environmental Protection, 169, 270–284. https://doi.org/10.1016/j.psep.2022.11.014</w:t>
      </w:r>
    </w:p>
    <w:p w14:paraId="1C2ED877">
      <w:pPr>
        <w:spacing w:line="360" w:lineRule="auto"/>
        <w:ind w:left="360" w:hanging="567"/>
        <w:jc w:val="both"/>
        <w:rPr>
          <w:rFonts w:ascii="Times New Roman" w:hAnsi="Times New Roman" w:cs="Times New Roman"/>
        </w:rPr>
      </w:pPr>
      <w:r>
        <w:rPr>
          <w:rFonts w:ascii="Times New Roman" w:hAnsi="Times New Roman" w:cs="Times New Roman"/>
        </w:rPr>
        <w:t>Chen, P., Zheng, X., &amp; Cheng, W. ,2022. Biochar combined with ferrous sulfate reduces nitrogen and carbon losses during agricultural waste composting and enhances microbial diversity. Process Safety and Environmental Protection, 162, 531–542. https://doi.org/10.1016/j.psep.2022.04.042</w:t>
      </w:r>
    </w:p>
    <w:p w14:paraId="56626C3E">
      <w:pPr>
        <w:spacing w:line="360" w:lineRule="auto"/>
        <w:ind w:left="360" w:hanging="567"/>
        <w:jc w:val="both"/>
        <w:rPr>
          <w:rFonts w:ascii="Times New Roman" w:hAnsi="Times New Roman" w:cs="Times New Roman"/>
        </w:rPr>
      </w:pPr>
      <w:r>
        <w:rPr>
          <w:rFonts w:ascii="Times New Roman" w:hAnsi="Times New Roman" w:cs="Times New Roman"/>
        </w:rPr>
        <w:t>Chen, R., Wang, Y., Wang, W., Wei, S., Jing, Z., &amp; Lin, X. ,2015. N</w:t>
      </w:r>
      <w:r>
        <w:rPr>
          <w:rFonts w:ascii="Times New Roman" w:hAnsi="Times New Roman" w:cs="Times New Roman"/>
          <w:vertAlign w:val="subscript"/>
        </w:rPr>
        <w:t>2</w:t>
      </w:r>
      <w:r>
        <w:rPr>
          <w:rFonts w:ascii="Times New Roman" w:hAnsi="Times New Roman" w:cs="Times New Roman"/>
        </w:rPr>
        <w:t>O emissions and nitrogen transformation during windrow composting of dairy manure. Journal of Environmental Management, 160, 121–127. https://doi.org/10.1016/j.jenvman.2015.06.021</w:t>
      </w:r>
    </w:p>
    <w:p w14:paraId="101198C7">
      <w:pPr>
        <w:spacing w:line="360" w:lineRule="auto"/>
        <w:ind w:left="360" w:hanging="567"/>
        <w:jc w:val="both"/>
        <w:rPr>
          <w:rFonts w:ascii="Times New Roman" w:hAnsi="Times New Roman" w:cs="Times New Roman"/>
        </w:rPr>
      </w:pPr>
      <w:r>
        <w:rPr>
          <w:rFonts w:ascii="Times New Roman" w:hAnsi="Times New Roman" w:cs="Times New Roman"/>
        </w:rPr>
        <w:t>Chen, Z., Wu, Y., Wen, Q., Ni, H., &amp; Chai, C. ,2020. Effects of multiple antibiotics on greenhouse gas and ammonia emissions during swine manure composting. Environmental Science and Pollution Research, 27(7), 7289–7298. https://doi.org/10.1007/s11356-019-07269-2</w:t>
      </w:r>
    </w:p>
    <w:p w14:paraId="40D338DC">
      <w:pPr>
        <w:spacing w:line="360" w:lineRule="auto"/>
        <w:ind w:left="360" w:hanging="567"/>
        <w:jc w:val="both"/>
        <w:rPr>
          <w:rFonts w:ascii="Times New Roman" w:hAnsi="Times New Roman" w:cs="Times New Roman"/>
        </w:rPr>
      </w:pPr>
      <w:r>
        <w:rPr>
          <w:rFonts w:ascii="Times New Roman" w:hAnsi="Times New Roman" w:cs="Times New Roman"/>
        </w:rPr>
        <w:t>Chen, Z., Zhang, S., Li, Y., &amp; Guo, Z. ,2023. Investigating nitrous oxide emissions and mechanisms in kitchen waste composting with leachate reuse. Chemical Engineering Journal, 476. https://doi.org/10.1016/j.cej.2023.146813</w:t>
      </w:r>
    </w:p>
    <w:p w14:paraId="0FE558FD">
      <w:pPr>
        <w:spacing w:line="360" w:lineRule="auto"/>
        <w:ind w:left="360" w:hanging="567"/>
        <w:jc w:val="both"/>
        <w:rPr>
          <w:rFonts w:ascii="Times New Roman" w:hAnsi="Times New Roman" w:cs="Times New Roman"/>
        </w:rPr>
      </w:pPr>
      <w:r>
        <w:rPr>
          <w:rFonts w:ascii="Times New Roman" w:hAnsi="Times New Roman" w:cs="Times New Roman"/>
        </w:rPr>
        <w:t>Cheng, J., Gao, X., Yan, Z., Li, G., Luo, W., &amp; Xu, Z. ,2023. Intermittent aeration to reduce gaseous emission and advance humification in food waste digestate composting: Performance and mechanisms. Bioresource Technology, 371. https://doi.org/10.1016/j.biortech.2023.128644</w:t>
      </w:r>
    </w:p>
    <w:p w14:paraId="4DB7D209">
      <w:pPr>
        <w:spacing w:line="360" w:lineRule="auto"/>
        <w:ind w:left="360" w:hanging="567"/>
        <w:jc w:val="both"/>
        <w:rPr>
          <w:rFonts w:ascii="Times New Roman" w:hAnsi="Times New Roman" w:cs="Times New Roman"/>
        </w:rPr>
      </w:pPr>
      <w:r>
        <w:rPr>
          <w:rFonts w:ascii="Times New Roman" w:hAnsi="Times New Roman" w:cs="Times New Roman"/>
        </w:rPr>
        <w:t>Chowdhury, M. A., de Neergaard, A., &amp; Jensen, L. S. ,2014. Composting of solids separated from anaerobically digested animal manure: Effect of different bulking agents and mixing ratios on emissions of greenhouse gases and ammonia. Biosystems Engineering, 124, 63–77. https://doi.org/10.1016/j.biosystemseng.2014.06.003</w:t>
      </w:r>
    </w:p>
    <w:p w14:paraId="3FD9BBD9">
      <w:pPr>
        <w:spacing w:line="360" w:lineRule="auto"/>
        <w:ind w:left="360" w:hanging="567"/>
        <w:jc w:val="both"/>
        <w:rPr>
          <w:rFonts w:ascii="Times New Roman" w:hAnsi="Times New Roman" w:cs="Times New Roman"/>
        </w:rPr>
      </w:pPr>
      <w:r>
        <w:rPr>
          <w:rFonts w:ascii="Times New Roman" w:hAnsi="Times New Roman" w:cs="Times New Roman"/>
        </w:rPr>
        <w:t>Chowdhury, M. A., de Neergaard, A., &amp; Jensen, L. S. ,2014a. Potential of aeration flow rate and bio-char addition to reduce greenhouse gas and ammonia emissions during manure composting. Chemosphere, 97, 16–25. https://doi.org/10.1016/j.chemosphere.2013.10.030</w:t>
      </w:r>
    </w:p>
    <w:p w14:paraId="53DF0185">
      <w:pPr>
        <w:spacing w:line="360" w:lineRule="auto"/>
        <w:ind w:left="360" w:hanging="567"/>
        <w:jc w:val="both"/>
        <w:rPr>
          <w:rFonts w:ascii="Times New Roman" w:hAnsi="Times New Roman" w:cs="Times New Roman"/>
        </w:rPr>
      </w:pPr>
      <w:r>
        <w:rPr>
          <w:rFonts w:ascii="Times New Roman" w:hAnsi="Times New Roman" w:cs="Times New Roman"/>
        </w:rPr>
        <w:t>Chung, W. J., Chang, S. W., Chaudhary, D. K., Shin, J. Du, Kim, H., Karmegam, N., Govarthanan, M., Chandrasekaran, M., &amp; Ravindran, B. ,2022. Effect of biochar amendment on compost quality, gaseous emissions and pathogen reduction during in-vessel composting of chicken manure. Chemosphere, 283. https://doi.org/10.1016/j.chemosphere.2021.131129</w:t>
      </w:r>
    </w:p>
    <w:p w14:paraId="371FF2AD">
      <w:pPr>
        <w:spacing w:line="360" w:lineRule="auto"/>
        <w:ind w:left="360" w:hanging="567"/>
        <w:jc w:val="both"/>
        <w:rPr>
          <w:rFonts w:ascii="Times New Roman" w:hAnsi="Times New Roman" w:cs="Times New Roman"/>
        </w:rPr>
      </w:pPr>
      <w:r>
        <w:rPr>
          <w:rFonts w:ascii="Times New Roman" w:hAnsi="Times New Roman" w:cs="Times New Roman"/>
        </w:rPr>
        <w:t>Duan, Y., Awasthi, S. K., Liu, T., Zhang, Z., &amp; Awasthi, M. K. ,2019. Evaluation of integrated biochar with bacterial consortium on gaseous emissions mitigation and nutrients sequestration during pig manure composting. Bioresource Technology, 291. https://doi.org/10.1016/j.biortech.2019.121880</w:t>
      </w:r>
    </w:p>
    <w:p w14:paraId="7F794A40">
      <w:pPr>
        <w:spacing w:line="360" w:lineRule="auto"/>
        <w:ind w:left="360" w:hanging="567"/>
        <w:jc w:val="both"/>
        <w:rPr>
          <w:rFonts w:ascii="Times New Roman" w:hAnsi="Times New Roman" w:cs="Times New Roman"/>
        </w:rPr>
      </w:pPr>
      <w:r>
        <w:rPr>
          <w:rFonts w:ascii="Times New Roman" w:hAnsi="Times New Roman" w:cs="Times New Roman"/>
        </w:rPr>
        <w:t>Duan, Y., Yang, J., Guo, Y., Wu, X., Tian, Y., Li, H., &amp; Awasthi, M. K. ,2021. Pollution control in biochar-driven clean composting: Emphasize on heavy metal passivation and gaseous emissions mitigation. Journal of Hazardous Materials, 420. https://doi.org/10.1016/j.jhazmat.2021.126635</w:t>
      </w:r>
    </w:p>
    <w:p w14:paraId="1DDBE26A">
      <w:pPr>
        <w:spacing w:line="360" w:lineRule="auto"/>
        <w:ind w:left="360" w:hanging="567"/>
        <w:jc w:val="both"/>
        <w:rPr>
          <w:rFonts w:ascii="Times New Roman" w:hAnsi="Times New Roman" w:cs="Times New Roman"/>
        </w:rPr>
      </w:pPr>
      <w:r>
        <w:rPr>
          <w:rFonts w:ascii="Times New Roman" w:hAnsi="Times New Roman" w:cs="Times New Roman"/>
        </w:rPr>
        <w:t>Duan, Z., Lu, W., Mustafa, M. F., Du, J., &amp; Wen, Y. ,2022. Odorous gas emissions from sewage sludge composting windrows affected by the turning operation and associated health risks. Science of the Total Environment, 839. https://doi.org/10.1016/j.scitotenv.2022.155996</w:t>
      </w:r>
    </w:p>
    <w:p w14:paraId="330FC6D1">
      <w:pPr>
        <w:spacing w:line="360" w:lineRule="auto"/>
        <w:ind w:left="360" w:hanging="567"/>
        <w:jc w:val="both"/>
        <w:rPr>
          <w:rFonts w:ascii="Times New Roman" w:hAnsi="Times New Roman" w:cs="Times New Roman"/>
        </w:rPr>
      </w:pPr>
      <w:r>
        <w:rPr>
          <w:rFonts w:ascii="Times New Roman" w:hAnsi="Times New Roman" w:cs="Times New Roman"/>
        </w:rPr>
        <w:t>Fang, C., Yin, H., Han, L., Ma, S., He, X., &amp; Huang, G. ,2021. Effects of semi-permeable membrane covering coupled with intermittent aeration on gas emissions during aerobic composting from the solid fraction of dairy manure at industrial scale. Waste Management, 131, 1–9. https://doi.org/10.1016/j.wasman.2021.05.030</w:t>
      </w:r>
    </w:p>
    <w:p w14:paraId="25B254A7">
      <w:pPr>
        <w:spacing w:line="360" w:lineRule="auto"/>
        <w:ind w:left="360" w:hanging="567"/>
        <w:jc w:val="both"/>
        <w:rPr>
          <w:rFonts w:ascii="Times New Roman" w:hAnsi="Times New Roman" w:cs="Times New Roman"/>
        </w:rPr>
      </w:pPr>
      <w:r>
        <w:rPr>
          <w:rFonts w:ascii="Times New Roman" w:hAnsi="Times New Roman" w:cs="Times New Roman"/>
        </w:rPr>
        <w:t>Fang, C., Yuan, X., Liao, K., Qu, H., Han, L., He, X., &amp; Huang, G.,2022. Micro-aerobic conditions based on membrane-covered improves the quality of compost products: Insights into fungal community evolution and dissolved organic matter characteristics. Bioresource Technology, 362. https://doi.org/10.1016/j.biortech.2022.127849</w:t>
      </w:r>
    </w:p>
    <w:p w14:paraId="2A634A5D">
      <w:pPr>
        <w:spacing w:line="360" w:lineRule="auto"/>
        <w:ind w:left="360" w:hanging="567"/>
        <w:jc w:val="both"/>
        <w:rPr>
          <w:rFonts w:ascii="Times New Roman" w:hAnsi="Times New Roman" w:cs="Times New Roman"/>
        </w:rPr>
      </w:pPr>
      <w:r>
        <w:rPr>
          <w:rFonts w:ascii="Times New Roman" w:hAnsi="Times New Roman" w:cs="Times New Roman"/>
        </w:rPr>
        <w:t>Fillingham, M. A., VanderZaag, A. C., Burtt, S., Baldé, H., Ngwabie, N. M., Smith, W., Hakami, A., Wagner-Riddle, C., Bittman, S., &amp; MacDonald, D. ,2017. Greenhouse gas and ammonia emissions from production of compost bedding on a dairy farm. Waste Management, 70, 45–52. https://doi.org/10.1016/j.wasman.2017.09.013</w:t>
      </w:r>
    </w:p>
    <w:p w14:paraId="39484067">
      <w:pPr>
        <w:spacing w:line="360" w:lineRule="auto"/>
        <w:ind w:left="360" w:hanging="567"/>
        <w:jc w:val="both"/>
        <w:rPr>
          <w:rFonts w:ascii="Times New Roman" w:hAnsi="Times New Roman" w:cs="Times New Roman"/>
        </w:rPr>
      </w:pPr>
      <w:r>
        <w:rPr>
          <w:rFonts w:ascii="Times New Roman" w:hAnsi="Times New Roman" w:cs="Times New Roman"/>
        </w:rPr>
        <w:t>Gao, X., Xu, Z., Li, Y., Zhang, L., Li, G., Nghiem, L. D., &amp; Luo, W. ,2021. Bacterial dynamics for gaseous emission and humification in bio-augmented composting of kitchen waste. Science of the Total Environment, 801. https://doi.org/10.1016/j.scitotenv.2021.149640</w:t>
      </w:r>
    </w:p>
    <w:p w14:paraId="353FB8ED">
      <w:pPr>
        <w:spacing w:line="360" w:lineRule="auto"/>
        <w:ind w:left="360" w:hanging="567"/>
        <w:jc w:val="both"/>
        <w:rPr>
          <w:rFonts w:ascii="Times New Roman" w:hAnsi="Times New Roman" w:cs="Times New Roman"/>
        </w:rPr>
      </w:pPr>
      <w:r>
        <w:rPr>
          <w:rFonts w:ascii="Times New Roman" w:hAnsi="Times New Roman" w:cs="Times New Roman"/>
        </w:rPr>
        <w:t>Gao, X., Yang, F., Cheng, J., Xu, Z., Zang, B., Li, G., Xie, X., &amp; Luo, W. ,2022. Emission of volatile sulphur compounds during swine manure composting: Source identification, odour mitigation and assessment. Waste Management, 153, 129–137. https://doi.org/10.1016/j.wasman.2022.08.029</w:t>
      </w:r>
    </w:p>
    <w:p w14:paraId="00BA7B42">
      <w:pPr>
        <w:spacing w:line="360" w:lineRule="auto"/>
        <w:ind w:left="360" w:hanging="567"/>
        <w:jc w:val="both"/>
        <w:rPr>
          <w:rFonts w:ascii="Times New Roman" w:hAnsi="Times New Roman" w:cs="Times New Roman"/>
        </w:rPr>
      </w:pPr>
      <w:r>
        <w:rPr>
          <w:rFonts w:ascii="Times New Roman" w:hAnsi="Times New Roman" w:cs="Times New Roman"/>
        </w:rPr>
        <w:t>Gong, X., Zou, L., Wang, L., Zhang, B., &amp; Jiang, J. ,2023. Biochar improves compost humification, maturity and mitigates nitrogen loss during the vermicomposting of cattle manure-maize straw. Journal of Environmental Management, 325. https://doi.org/10.1016/j.jenvman.2022.116432</w:t>
      </w:r>
    </w:p>
    <w:p w14:paraId="449A114A">
      <w:pPr>
        <w:spacing w:line="360" w:lineRule="auto"/>
        <w:ind w:left="360" w:hanging="567"/>
        <w:jc w:val="both"/>
        <w:rPr>
          <w:rFonts w:ascii="Times New Roman" w:hAnsi="Times New Roman" w:cs="Times New Roman"/>
        </w:rPr>
      </w:pPr>
      <w:r>
        <w:rPr>
          <w:rFonts w:ascii="Times New Roman" w:hAnsi="Times New Roman" w:cs="Times New Roman"/>
        </w:rPr>
        <w:t>González, D., Colón, J., Gabriel, D., &amp; Sánchez, A. ,2019. The effect of the composting time on the gaseous emissions and the compost stability in a full-scale sewage sludge composting plant. Science of the Total Environment, 654, 311–323. https://doi.org/10.1016/j.scitotenv.2018.11.081</w:t>
      </w:r>
    </w:p>
    <w:p w14:paraId="200D3BFA">
      <w:pPr>
        <w:spacing w:line="360" w:lineRule="auto"/>
        <w:ind w:left="360" w:hanging="567"/>
        <w:jc w:val="both"/>
        <w:rPr>
          <w:rFonts w:ascii="Times New Roman" w:hAnsi="Times New Roman" w:cs="Times New Roman"/>
        </w:rPr>
      </w:pPr>
      <w:r>
        <w:rPr>
          <w:rFonts w:ascii="Times New Roman" w:hAnsi="Times New Roman" w:cs="Times New Roman"/>
        </w:rPr>
        <w:t>He, X., Han, L., &amp; Huang, G. ,2020. Analysis of regulative variables on greenhouse gas emissions and spatial pore gas concentrations with modeling during large-scale trough composting. Journal of Cleaner Production, 277. https://doi.org/10.1016/j.jclepro.2020.124066</w:t>
      </w:r>
    </w:p>
    <w:p w14:paraId="4EF87458">
      <w:pPr>
        <w:spacing w:line="360" w:lineRule="auto"/>
        <w:ind w:left="360" w:hanging="567"/>
        <w:jc w:val="both"/>
        <w:rPr>
          <w:rFonts w:ascii="Times New Roman" w:hAnsi="Times New Roman" w:cs="Times New Roman"/>
        </w:rPr>
      </w:pPr>
      <w:r>
        <w:rPr>
          <w:rFonts w:ascii="Times New Roman" w:hAnsi="Times New Roman" w:cs="Times New Roman"/>
        </w:rPr>
        <w:t>He, X., Yin, H., Fang, C., Xiong, J., Han, L., Yang, Z., &amp; Huang, G. ,2021. Metagenomic and q-PCR analysis reveals the effect of powder bamboo biochar on nitrous oxide and ammonia emissions during aerobic composting. Bioresource Technology, 323. https://doi.org/10.1016/j.biortech.2020.124567</w:t>
      </w:r>
    </w:p>
    <w:p w14:paraId="6B4E5B98">
      <w:pPr>
        <w:spacing w:line="360" w:lineRule="auto"/>
        <w:ind w:left="360" w:hanging="567"/>
        <w:jc w:val="both"/>
        <w:rPr>
          <w:rFonts w:ascii="Times New Roman" w:hAnsi="Times New Roman" w:cs="Times New Roman"/>
        </w:rPr>
      </w:pPr>
      <w:r>
        <w:rPr>
          <w:rFonts w:ascii="Times New Roman" w:hAnsi="Times New Roman" w:cs="Times New Roman"/>
        </w:rPr>
        <w:t>He, X., Yin, H., Han, L., Cui, R., Fang, C., &amp; Huang, G. ,2019. Effects of biochar size and type on gaseous emissions during pig manure/wheat straw aerobic composting: Insights into multivariate-microscale characterization and microbial mechanism. Bioresource Technology, 271, 375–382. https://doi.org/10.1016/j.biortech.2018.09.104</w:t>
      </w:r>
    </w:p>
    <w:p w14:paraId="39DA89F4">
      <w:pPr>
        <w:spacing w:line="360" w:lineRule="auto"/>
        <w:ind w:left="360" w:hanging="567"/>
        <w:jc w:val="both"/>
        <w:rPr>
          <w:rFonts w:ascii="Times New Roman" w:hAnsi="Times New Roman" w:cs="Times New Roman"/>
        </w:rPr>
      </w:pPr>
      <w:r>
        <w:rPr>
          <w:rFonts w:ascii="Times New Roman" w:hAnsi="Times New Roman" w:cs="Times New Roman"/>
        </w:rPr>
        <w:t>Hu, Y., Wang, J., Yang, Y., Li, S., Wu, Q., Nepovimova, E., Zhang, X., &amp; Kuca, K.,2024. Revolutionizing soil heavy metal remediation: Cutting-edge innovations in plant disposal technology. In Science of the Total Environment (Vol. 918). Elsevier B.V. https://doi.org/10.1016/j.scitotenv.2024.170577</w:t>
      </w:r>
    </w:p>
    <w:p w14:paraId="5C096DD2">
      <w:pPr>
        <w:spacing w:line="360" w:lineRule="auto"/>
        <w:ind w:left="360" w:hanging="567"/>
        <w:jc w:val="both"/>
        <w:rPr>
          <w:rFonts w:ascii="Times New Roman" w:hAnsi="Times New Roman" w:cs="Times New Roman"/>
        </w:rPr>
      </w:pPr>
      <w:r>
        <w:rPr>
          <w:rFonts w:ascii="Times New Roman" w:hAnsi="Times New Roman" w:cs="Times New Roman"/>
        </w:rPr>
        <w:t>Hussain, A., Huang, W. Y., Lin, C. Y., Ahsan, W. A., &amp; Lin, C.,2023. Mitigation of ammonia emissions during food waste composting through acetic acid addition: A promising strategy for sustainable waste management. Sustainable Chemistry and Pharmacy, 36. https://doi.org/10.1016/j.scp.2023.101324</w:t>
      </w:r>
    </w:p>
    <w:p w14:paraId="11793A11">
      <w:pPr>
        <w:spacing w:line="360" w:lineRule="auto"/>
        <w:ind w:left="360" w:hanging="567"/>
        <w:jc w:val="both"/>
        <w:rPr>
          <w:rFonts w:ascii="Times New Roman" w:hAnsi="Times New Roman" w:cs="Times New Roman"/>
        </w:rPr>
      </w:pPr>
      <w:r>
        <w:rPr>
          <w:rFonts w:ascii="Times New Roman" w:hAnsi="Times New Roman" w:cs="Times New Roman"/>
        </w:rPr>
        <w:t>Janczak, D., Malińska, K., Czekała, W., Cáceres, R., Lewicki, A., &amp; Dach, J. ,2017. Biochar to reduce ammonia emissions in gaseous and liquid phase during composting of poultry manure with wheat straw. Waste Management, 66, 36–45. https://doi.org/10.1016/j.wasman.2017.04.033</w:t>
      </w:r>
    </w:p>
    <w:p w14:paraId="0998914D">
      <w:pPr>
        <w:spacing w:line="360" w:lineRule="auto"/>
        <w:ind w:left="360" w:hanging="567"/>
        <w:jc w:val="both"/>
        <w:rPr>
          <w:rFonts w:ascii="Times New Roman" w:hAnsi="Times New Roman" w:cs="Times New Roman"/>
        </w:rPr>
      </w:pPr>
      <w:r>
        <w:rPr>
          <w:rFonts w:ascii="Times New Roman" w:hAnsi="Times New Roman" w:cs="Times New Roman"/>
        </w:rPr>
        <w:t>Jiang, J., Pan, Y., Yang, X., Liu, J., Miao, H., Ren, Y., Zhang, C., Yan, G., Lv, J., &amp; Li, Y. ,2019. Beneficial influences of pelelith and dicyandiamide on gaseous emissions and the fungal community during sewage sludge composting. Environmental Science and Pollution Research, 26(9), 8928–8938. https://doi.org/10.1007/s11356-019-04404-x</w:t>
      </w:r>
    </w:p>
    <w:p w14:paraId="5FC68223">
      <w:pPr>
        <w:spacing w:line="360" w:lineRule="auto"/>
        <w:ind w:left="360" w:hanging="567"/>
        <w:jc w:val="both"/>
        <w:rPr>
          <w:rFonts w:ascii="Times New Roman" w:hAnsi="Times New Roman" w:cs="Times New Roman"/>
        </w:rPr>
      </w:pPr>
      <w:r>
        <w:rPr>
          <w:rFonts w:ascii="Times New Roman" w:hAnsi="Times New Roman" w:cs="Times New Roman"/>
        </w:rPr>
        <w:t>Jiang, J., Yu, D., Wang, Y., Zhang, X., Dong, W., Zhang, X., Guo, F., Li, Y., Zhang, C., &amp; Yan, G.,2021. Use of additives in composting informed by experience from agriculture: Effects of nitrogen fertilizer synergists on gaseous nitrogen emissions and corresponding genes (</w:t>
      </w:r>
      <w:r>
        <w:rPr>
          <w:rFonts w:ascii="Times New Roman" w:hAnsi="Times New Roman" w:cs="Times New Roman"/>
          <w:i/>
          <w:iCs/>
        </w:rPr>
        <w:t>amoA</w:t>
      </w:r>
      <w:r>
        <w:rPr>
          <w:rFonts w:ascii="Times New Roman" w:hAnsi="Times New Roman" w:cs="Times New Roman"/>
        </w:rPr>
        <w:t xml:space="preserve"> and </w:t>
      </w:r>
      <w:r>
        <w:rPr>
          <w:rFonts w:ascii="Times New Roman" w:hAnsi="Times New Roman" w:cs="Times New Roman"/>
          <w:i/>
          <w:iCs/>
        </w:rPr>
        <w:t>nirS</w:t>
      </w:r>
      <w:r>
        <w:rPr>
          <w:rFonts w:ascii="Times New Roman" w:hAnsi="Times New Roman" w:cs="Times New Roman"/>
        </w:rPr>
        <w:t>). Bioresource Technology, 319. https://doi.org/10.1016/j.biortech.2020.124127</w:t>
      </w:r>
    </w:p>
    <w:p w14:paraId="46B2BE94">
      <w:pPr>
        <w:spacing w:line="360" w:lineRule="auto"/>
        <w:ind w:left="360" w:hanging="567"/>
        <w:jc w:val="both"/>
        <w:rPr>
          <w:rFonts w:ascii="Times New Roman" w:hAnsi="Times New Roman" w:cs="Times New Roman"/>
        </w:rPr>
      </w:pPr>
      <w:r>
        <w:rPr>
          <w:rFonts w:ascii="Times New Roman" w:hAnsi="Times New Roman" w:cs="Times New Roman"/>
        </w:rPr>
        <w:t>Jiang, T., Ma, X., Yang, J., Tang, Q., Yi, Z., Chen, M., &amp; Li, G. ,2016. Effect of different struvite crystallization methods on gaseous emission and the comprehensive comparison during the composting. Bioresource Technology, 217, 219–226. https://doi.org/10.1016/j.biortech.2016.02.046</w:t>
      </w:r>
    </w:p>
    <w:p w14:paraId="17DE9C54">
      <w:pPr>
        <w:spacing w:line="360" w:lineRule="auto"/>
        <w:ind w:left="360" w:hanging="567"/>
        <w:jc w:val="both"/>
        <w:rPr>
          <w:rFonts w:ascii="Times New Roman" w:hAnsi="Times New Roman" w:cs="Times New Roman"/>
        </w:rPr>
      </w:pPr>
      <w:r>
        <w:rPr>
          <w:rFonts w:ascii="Times New Roman" w:hAnsi="Times New Roman" w:cs="Times New Roman"/>
        </w:rPr>
        <w:t>Jiang, T., Schuchardt, F., Li, G. X., Guo, R., &amp; Luo, Y. M. ,2013. Gaseous emission during the composting of pig feces from Chinese Ganqinfen system. Chemosphere, 90(4), 1545–1551. https://doi.org/10.1016/j.chemosphere.2012.08.056</w:t>
      </w:r>
    </w:p>
    <w:p w14:paraId="50174FAC">
      <w:pPr>
        <w:spacing w:line="360" w:lineRule="auto"/>
        <w:ind w:left="360" w:hanging="567"/>
        <w:jc w:val="both"/>
        <w:rPr>
          <w:rFonts w:ascii="Times New Roman" w:hAnsi="Times New Roman" w:cs="Times New Roman"/>
        </w:rPr>
      </w:pPr>
      <w:r>
        <w:rPr>
          <w:rFonts w:ascii="Times New Roman" w:hAnsi="Times New Roman" w:cs="Times New Roman"/>
        </w:rPr>
        <w:t>Jiao, M., Ren, X., Zhan, X., Hu, C., Wang, J., Syed, A., Bahkali, A. H., &amp; Zhang, Z. ,2023. Exploring gaseous emissions and pivotal enzymatic activity during co-composting of branch and pig manure: The effect of particle size of bulking agents. Bioresource Technology, 382. https://doi.org/10.1016/j.biortech.2023.129199</w:t>
      </w:r>
    </w:p>
    <w:p w14:paraId="37A9F78A">
      <w:pPr>
        <w:spacing w:line="360" w:lineRule="auto"/>
        <w:ind w:left="360" w:hanging="567"/>
        <w:jc w:val="both"/>
        <w:rPr>
          <w:rFonts w:ascii="Times New Roman" w:hAnsi="Times New Roman" w:cs="Times New Roman"/>
        </w:rPr>
      </w:pPr>
      <w:r>
        <w:rPr>
          <w:rFonts w:ascii="Times New Roman" w:hAnsi="Times New Roman" w:cs="Times New Roman"/>
        </w:rPr>
        <w:t>Li, D., Manu, M. K., Varjani, S., &amp; Wong, J. W. C. ,2022. Mitigation of NH</w:t>
      </w:r>
      <w:r>
        <w:rPr>
          <w:rFonts w:ascii="Times New Roman" w:hAnsi="Times New Roman" w:cs="Times New Roman"/>
          <w:vertAlign w:val="subscript"/>
        </w:rPr>
        <w:t>3</w:t>
      </w:r>
      <w:r>
        <w:rPr>
          <w:rFonts w:ascii="Times New Roman" w:hAnsi="Times New Roman" w:cs="Times New Roman"/>
        </w:rPr>
        <w:t xml:space="preserve"> and N</w:t>
      </w:r>
      <w:r>
        <w:rPr>
          <w:rFonts w:ascii="Times New Roman" w:hAnsi="Times New Roman" w:cs="Times New Roman"/>
          <w:vertAlign w:val="subscript"/>
        </w:rPr>
        <w:t>2</w:t>
      </w:r>
      <w:r>
        <w:rPr>
          <w:rFonts w:ascii="Times New Roman" w:hAnsi="Times New Roman" w:cs="Times New Roman"/>
        </w:rPr>
        <w:t>O emissions during food waste digestate composting at C/N ratio 15 using zeolite amendment. Bioresource Technology, 359. https://doi.org/10.1016/j.biortech.2022.127465</w:t>
      </w:r>
    </w:p>
    <w:p w14:paraId="69441CD3">
      <w:pPr>
        <w:spacing w:line="360" w:lineRule="auto"/>
        <w:ind w:left="360" w:hanging="567"/>
        <w:jc w:val="both"/>
        <w:rPr>
          <w:rFonts w:ascii="Times New Roman" w:hAnsi="Times New Roman" w:cs="Times New Roman"/>
        </w:rPr>
      </w:pPr>
      <w:r>
        <w:rPr>
          <w:rFonts w:ascii="Times New Roman" w:hAnsi="Times New Roman" w:cs="Times New Roman"/>
        </w:rPr>
        <w:t>Li, D., Manu, M. K., Varjani, S., &amp; Wong, J. W. C. ,2023. Role of tobacco and bamboo biochar on food waste digestate co-composting: Nitrogen conservation, greenhouse gas emissions, and compost quality. Waste Management, 156, 44–54. https://doi.org/10.1016/j.wasman.2022.10.022</w:t>
      </w:r>
    </w:p>
    <w:p w14:paraId="6AD62981">
      <w:pPr>
        <w:spacing w:line="360" w:lineRule="auto"/>
        <w:ind w:left="360" w:hanging="567"/>
        <w:jc w:val="both"/>
        <w:rPr>
          <w:rFonts w:ascii="Times New Roman" w:hAnsi="Times New Roman" w:cs="Times New Roman"/>
        </w:rPr>
      </w:pPr>
      <w:r>
        <w:rPr>
          <w:rFonts w:ascii="Times New Roman" w:hAnsi="Times New Roman" w:cs="Times New Roman"/>
        </w:rPr>
        <w:t>Li, D., Yuan, J., Ding, J., Wang, H., Shen, Y., &amp; Li, G. ,2022. Effects of carbon/nitrogen ratio and aeration rate on the sheep manure composting process and associated gaseous emissions. Journal of Environmental Management, 323. https://doi.org/10.1016/j.jenvman.2022.116093</w:t>
      </w:r>
    </w:p>
    <w:p w14:paraId="177FCE5A">
      <w:pPr>
        <w:spacing w:line="360" w:lineRule="auto"/>
        <w:ind w:left="360" w:hanging="567"/>
        <w:jc w:val="both"/>
        <w:rPr>
          <w:rFonts w:ascii="Times New Roman" w:hAnsi="Times New Roman" w:cs="Times New Roman"/>
        </w:rPr>
      </w:pPr>
      <w:r>
        <w:rPr>
          <w:rFonts w:ascii="Times New Roman" w:hAnsi="Times New Roman" w:cs="Times New Roman"/>
        </w:rPr>
        <w:t>Li, H., Li, X., Zhang, D., &amp; Xu, Y. ,2023. Addition of exogenous microbial agents increases hydrogen sulfide emissions during aerobic composting of kitchen waste by improving bio-synergistic effects. Bioresource Technology, 384. https://doi.org/10.1016/j.biortech.2023.129334</w:t>
      </w:r>
    </w:p>
    <w:p w14:paraId="2E566AD5">
      <w:pPr>
        <w:spacing w:line="360" w:lineRule="auto"/>
        <w:ind w:left="360" w:hanging="567"/>
        <w:jc w:val="both"/>
        <w:rPr>
          <w:rFonts w:ascii="Times New Roman" w:hAnsi="Times New Roman" w:cs="Times New Roman"/>
        </w:rPr>
      </w:pPr>
      <w:r>
        <w:rPr>
          <w:rFonts w:ascii="Times New Roman" w:hAnsi="Times New Roman" w:cs="Times New Roman"/>
        </w:rPr>
        <w:t>Li, H., Tan, L., Liu, W., Li, X., Zhang, D., &amp; Xu, Y. ,2023. Unraveling the effect of added microbial inoculants on ammonia emissions during co-composting of kitchen waste and sawdust: Core microorganisms and functional genes. Science of the Total Environment, 874. https://doi.org/10.1016/j.scitotenv.2023.162522</w:t>
      </w:r>
    </w:p>
    <w:p w14:paraId="37B8730D">
      <w:pPr>
        <w:spacing w:line="360" w:lineRule="auto"/>
        <w:ind w:left="360" w:hanging="567"/>
        <w:jc w:val="both"/>
        <w:rPr>
          <w:rFonts w:ascii="Times New Roman" w:hAnsi="Times New Roman" w:cs="Times New Roman"/>
        </w:rPr>
      </w:pPr>
      <w:r>
        <w:rPr>
          <w:rFonts w:ascii="Times New Roman" w:hAnsi="Times New Roman" w:cs="Times New Roman"/>
        </w:rPr>
        <w:t>Li, L., Liu, Y., Kong, Y., Zhang, J., Shen, Y., Li, G., Wang, G., &amp; Yuan, J. ,2023. Relating bacterial dynamics and functions to greenhouse gas and odor emissions during facultative heap composting of four kinds of livestock manure. Journal of Environmental Management, 345. https://doi.org/10.1016/j.jenvman.2023.118589</w:t>
      </w:r>
    </w:p>
    <w:p w14:paraId="3A668E60">
      <w:pPr>
        <w:spacing w:line="360" w:lineRule="auto"/>
        <w:ind w:left="360" w:hanging="567"/>
        <w:jc w:val="both"/>
        <w:rPr>
          <w:rFonts w:ascii="Times New Roman" w:hAnsi="Times New Roman" w:cs="Times New Roman"/>
        </w:rPr>
      </w:pPr>
      <w:r>
        <w:rPr>
          <w:rFonts w:ascii="Times New Roman" w:hAnsi="Times New Roman" w:cs="Times New Roman"/>
        </w:rPr>
        <w:t>Li, M., Li, S., Meng, Q., Chen, S., Wang, J., Guo, X., Ding, F., &amp; Shi, L. ,2023. Feedstock optimization with rice husk chicken manure and mature compost during chicken manure composting: Quality and gaseous emissions. Bioresource Technology, 387. https://doi.org/10.1016/j.biortech.2023.129694</w:t>
      </w:r>
    </w:p>
    <w:p w14:paraId="5FCE0166">
      <w:pPr>
        <w:spacing w:line="360" w:lineRule="auto"/>
        <w:ind w:left="360" w:hanging="567"/>
        <w:jc w:val="both"/>
        <w:rPr>
          <w:rFonts w:ascii="Times New Roman" w:hAnsi="Times New Roman" w:cs="Times New Roman"/>
        </w:rPr>
      </w:pPr>
      <w:r>
        <w:rPr>
          <w:rFonts w:ascii="Times New Roman" w:hAnsi="Times New Roman" w:cs="Times New Roman"/>
        </w:rPr>
        <w:t>Li, S., Gu, X., Li, H., Li, M., Liu, Z., Xu, Z., Li, J., Luo, Y., Wang, M., &amp; Wan, X. ,2023. Effects of phosphorus-containing additives on carbon transformation during pig manure composting. Environmental Technology and Innovation, 32. https://doi.org/10.1016/j.eti.2023.103290</w:t>
      </w:r>
    </w:p>
    <w:p w14:paraId="78E4C291">
      <w:pPr>
        <w:spacing w:line="360" w:lineRule="auto"/>
        <w:ind w:left="360" w:hanging="567"/>
        <w:jc w:val="both"/>
        <w:rPr>
          <w:rFonts w:ascii="Times New Roman" w:hAnsi="Times New Roman" w:cs="Times New Roman"/>
        </w:rPr>
      </w:pPr>
      <w:r>
        <w:rPr>
          <w:rFonts w:ascii="Times New Roman" w:hAnsi="Times New Roman" w:cs="Times New Roman"/>
        </w:rPr>
        <w:t>Li, S., Li, D., Li, J., Li, Y., Li, G., Zang, B., &amp; Li, Y. ,2018. Effect of spent mushroom substrate as a bulking agent on gaseous emissions and compost quality during pig manure composting. Environmental Science and Pollution Research, 25(13), 12398–12406. https://doi.org/10.1007/s11356-018-1450-3</w:t>
      </w:r>
    </w:p>
    <w:p w14:paraId="1E23899B">
      <w:pPr>
        <w:spacing w:line="360" w:lineRule="auto"/>
        <w:ind w:left="360" w:hanging="567"/>
        <w:jc w:val="both"/>
        <w:rPr>
          <w:rFonts w:ascii="Times New Roman" w:hAnsi="Times New Roman" w:cs="Times New Roman"/>
        </w:rPr>
      </w:pPr>
      <w:r>
        <w:rPr>
          <w:rFonts w:ascii="Times New Roman" w:hAnsi="Times New Roman" w:cs="Times New Roman"/>
        </w:rPr>
        <w:t>Li, S., Li, J., Shi, L., Li, Y., &amp; Wang, Y. ,2021. Role of phosphorous additives on nitrogen conservation and maturity during pig manure composting. Environmental Science and Pollution Research. 28, 17981–17991. https://doi.org/10.1007/s11356-020-11694-z/Published</w:t>
      </w:r>
    </w:p>
    <w:p w14:paraId="68460024">
      <w:pPr>
        <w:spacing w:line="360" w:lineRule="auto"/>
        <w:ind w:left="360" w:hanging="567"/>
        <w:jc w:val="both"/>
        <w:rPr>
          <w:rFonts w:ascii="Times New Roman" w:hAnsi="Times New Roman" w:cs="Times New Roman"/>
        </w:rPr>
      </w:pPr>
      <w:r>
        <w:rPr>
          <w:rFonts w:ascii="Times New Roman" w:hAnsi="Times New Roman" w:cs="Times New Roman"/>
        </w:rPr>
        <w:t>Li, X., Zhao, Y., Xu, A., Chang, H., Lin, G., &amp; Li, R. ,2022. Conductive biochar promotes oxygen utilization to inhibit greenhouse gas emissions during electric field-assisted aerobic composting. Science of the Total Environment, 842. https://doi.org/10.1016/j.scitotenv.2022.156929</w:t>
      </w:r>
    </w:p>
    <w:p w14:paraId="45327A74">
      <w:pPr>
        <w:spacing w:line="360" w:lineRule="auto"/>
        <w:ind w:left="360" w:hanging="567"/>
        <w:jc w:val="both"/>
        <w:rPr>
          <w:rFonts w:ascii="Times New Roman" w:hAnsi="Times New Roman" w:cs="Times New Roman"/>
        </w:rPr>
      </w:pPr>
      <w:r>
        <w:rPr>
          <w:rFonts w:ascii="Times New Roman" w:hAnsi="Times New Roman" w:cs="Times New Roman"/>
        </w:rPr>
        <w:t>Li, Y., Han, Y., Zhang, Y., Fang, Y., Li, S., Li, G., &amp; Luo, W. ,2020. Factors affecting gaseous emissions, maturity, and energy efficiency in composting of livestock manure digestate. Science of the Total Environment, 731. https://doi.org/10.1016/j.scitotenv.2020.139157</w:t>
      </w:r>
    </w:p>
    <w:p w14:paraId="7CEC9736">
      <w:pPr>
        <w:spacing w:line="360" w:lineRule="auto"/>
        <w:ind w:left="360" w:hanging="567"/>
        <w:jc w:val="both"/>
        <w:rPr>
          <w:rFonts w:ascii="Times New Roman" w:hAnsi="Times New Roman" w:cs="Times New Roman"/>
        </w:rPr>
      </w:pPr>
      <w:r>
        <w:rPr>
          <w:rFonts w:ascii="Times New Roman" w:hAnsi="Times New Roman" w:cs="Times New Roman"/>
        </w:rPr>
        <w:t>Li, Y., Xu, S., Chen, Y., Zhang, X., &amp; Xie, X. ,2023. Effects of aeration rate on the cornstalks used for filtration of anaerobically digested manure centrate direct composting process: Maturity and gas emissions. Environmental Technology and Innovation, 32. https://doi.org/10.1016/j.eti.2023.103305</w:t>
      </w:r>
    </w:p>
    <w:p w14:paraId="482C8E33">
      <w:pPr>
        <w:spacing w:line="360" w:lineRule="auto"/>
        <w:ind w:left="360" w:hanging="567"/>
        <w:jc w:val="both"/>
        <w:rPr>
          <w:rFonts w:ascii="Times New Roman" w:hAnsi="Times New Roman" w:cs="Times New Roman"/>
        </w:rPr>
      </w:pPr>
      <w:r>
        <w:rPr>
          <w:rFonts w:ascii="Times New Roman" w:hAnsi="Times New Roman" w:cs="Times New Roman"/>
        </w:rPr>
        <w:t>Lin, X., Al-Dhabi, N. A., Li, F., Wang, N., Peng, H., Chen, A., Wu, G., Zhang, J., Zhang, L., Huang, H., Yan, B., Luo, L., &amp; Tang, W. ,2023. Relative contribution of ammonia-oxidizing bacteria and denitrifying fungi to N</w:t>
      </w:r>
      <w:r>
        <w:rPr>
          <w:rFonts w:ascii="Times New Roman" w:hAnsi="Times New Roman" w:cs="Times New Roman"/>
          <w:vertAlign w:val="subscript"/>
        </w:rPr>
        <w:t>2</w:t>
      </w:r>
      <w:r>
        <w:rPr>
          <w:rFonts w:ascii="Times New Roman" w:hAnsi="Times New Roman" w:cs="Times New Roman"/>
        </w:rPr>
        <w:t>O production during rice straw composting with biochar and biogas residue amendments. Bioresource Technology, 390. https://doi.org/10.1016/j.biortech.2023.129891</w:t>
      </w:r>
    </w:p>
    <w:p w14:paraId="6399EEC0">
      <w:pPr>
        <w:spacing w:line="360" w:lineRule="auto"/>
        <w:ind w:left="360" w:hanging="567"/>
        <w:jc w:val="both"/>
        <w:rPr>
          <w:rFonts w:ascii="Times New Roman" w:hAnsi="Times New Roman" w:cs="Times New Roman"/>
        </w:rPr>
      </w:pPr>
      <w:r>
        <w:rPr>
          <w:rFonts w:ascii="Times New Roman" w:hAnsi="Times New Roman" w:cs="Times New Roman"/>
        </w:rPr>
        <w:t>Lindberg, L., Ermolaev, E., Vinnerås, B., &amp; Lalander, C. ,2022. Process efficiency and greenhouse gas emissions in black soldier fly larvae composting of fruit and vegetable waste with and without pre-treatment. Journal of Cleaner Production, 338. https://doi.org/10.1016/j.jclepro.2022.130552</w:t>
      </w:r>
    </w:p>
    <w:p w14:paraId="16D40F6A">
      <w:pPr>
        <w:spacing w:line="360" w:lineRule="auto"/>
        <w:ind w:left="360" w:hanging="567"/>
        <w:jc w:val="both"/>
        <w:rPr>
          <w:rFonts w:ascii="Times New Roman" w:hAnsi="Times New Roman" w:cs="Times New Roman"/>
        </w:rPr>
      </w:pPr>
      <w:r>
        <w:rPr>
          <w:rFonts w:ascii="Times New Roman" w:hAnsi="Times New Roman" w:cs="Times New Roman"/>
        </w:rPr>
        <w:t>Liu, G., Yang, Y., Ma, R., Jiang, J., Li, G., Wang, J., Wuyun, D., &amp; Yuan, J. ,2023. Thermophilic compost inoculating promoted the maturity and mature compost inoculating reduced the gaseous emissions during co-composting of kitchen waste and pig manure. Environmental Technology and Innovation, 32. https://doi.org/10.1016/j.eti.2023.103427</w:t>
      </w:r>
    </w:p>
    <w:p w14:paraId="210FD351">
      <w:pPr>
        <w:spacing w:line="360" w:lineRule="auto"/>
        <w:ind w:left="360" w:hanging="567"/>
        <w:jc w:val="both"/>
        <w:rPr>
          <w:rFonts w:ascii="Times New Roman" w:hAnsi="Times New Roman" w:cs="Times New Roman"/>
        </w:rPr>
      </w:pPr>
      <w:r>
        <w:rPr>
          <w:rFonts w:ascii="Times New Roman" w:hAnsi="Times New Roman" w:cs="Times New Roman"/>
        </w:rPr>
        <w:t>Liu, T., Kumar Awasthi, M., Verma, S., Qin, S., Awasthi, S. K., Liu, H., Zhou, Y., &amp; Zhang, Z. ,2021. Evaluation of cornstalk as bulking agent on greenhouse gases emission and bacterial community during further composting. Bioresource Technology, 340. https://doi.org/10.1016/j.biortech.2021.125713</w:t>
      </w:r>
    </w:p>
    <w:p w14:paraId="6D36755C">
      <w:pPr>
        <w:spacing w:line="360" w:lineRule="auto"/>
        <w:ind w:left="360" w:hanging="567"/>
        <w:jc w:val="both"/>
        <w:rPr>
          <w:rFonts w:ascii="Times New Roman" w:hAnsi="Times New Roman" w:cs="Times New Roman"/>
        </w:rPr>
      </w:pPr>
      <w:r>
        <w:rPr>
          <w:rFonts w:ascii="Times New Roman" w:hAnsi="Times New Roman" w:cs="Times New Roman"/>
        </w:rPr>
        <w:t>Liu, Y., Ma, R., Li, D., Qi, C., Han, L., Chen, M., Fu, F., Yuan, J., &amp; Li, G. ,2020. Effects of calcium magnesium phosphate fertilizer, biochar and spent mushroom substrate on compost maturity and gaseous emissions during pig manure composting. Journal of Environmental Management, 267. https://doi.org/10.1016/j.jenvman.2020.110649</w:t>
      </w:r>
    </w:p>
    <w:p w14:paraId="1A8954D9">
      <w:pPr>
        <w:spacing w:line="360" w:lineRule="auto"/>
        <w:ind w:left="360" w:hanging="567"/>
        <w:jc w:val="both"/>
        <w:rPr>
          <w:rFonts w:ascii="Times New Roman" w:hAnsi="Times New Roman" w:cs="Times New Roman"/>
        </w:rPr>
      </w:pPr>
      <w:r>
        <w:rPr>
          <w:rFonts w:ascii="Times New Roman" w:hAnsi="Times New Roman" w:cs="Times New Roman"/>
        </w:rPr>
        <w:t>Liu, Y., Ma, R., Wang, J., Wang, G., Li, G., Wuyun, D., &amp; Yuan, J. ,2023. Effect of nano zero-valent iron, potassium persulphate, and biochar on maturity and gaseous emissions during multi-material co-composting. Environmental Technology and Innovation, 32. https://doi.org/10.1016/j.eti.2023.103309</w:t>
      </w:r>
    </w:p>
    <w:p w14:paraId="1330CCA2">
      <w:pPr>
        <w:spacing w:line="360" w:lineRule="auto"/>
        <w:ind w:left="360" w:hanging="567"/>
        <w:jc w:val="both"/>
        <w:rPr>
          <w:rFonts w:ascii="Times New Roman" w:hAnsi="Times New Roman" w:cs="Times New Roman"/>
        </w:rPr>
      </w:pPr>
      <w:r>
        <w:rPr>
          <w:rFonts w:ascii="Times New Roman" w:hAnsi="Times New Roman" w:cs="Times New Roman"/>
        </w:rPr>
        <w:t>Liu, Y., Wang, H., Zhang, H., Tao, Y., Chen, R., Hang, S., Ding, X., Cheng, M., Ding, G., Wei, Y., Xu, T., &amp; Li, J. ,2024. Synergistic effects of chemical additives and mature compost on reducing H</w:t>
      </w:r>
      <w:r>
        <w:rPr>
          <w:rFonts w:ascii="Times New Roman" w:hAnsi="Times New Roman" w:cs="Times New Roman"/>
          <w:vertAlign w:val="subscript"/>
        </w:rPr>
        <w:t>2</w:t>
      </w:r>
      <w:r>
        <w:rPr>
          <w:rFonts w:ascii="Times New Roman" w:hAnsi="Times New Roman" w:cs="Times New Roman"/>
        </w:rPr>
        <w:t>S emission during kitchen waste composting. Journal of Environmental Sciences (China), 139, 84–92. https://doi.org/10.1016/j.jes.2023.05.030</w:t>
      </w:r>
    </w:p>
    <w:p w14:paraId="3F146C51">
      <w:pPr>
        <w:spacing w:line="360" w:lineRule="auto"/>
        <w:ind w:left="360" w:hanging="567"/>
        <w:jc w:val="both"/>
        <w:rPr>
          <w:rFonts w:ascii="Times New Roman" w:hAnsi="Times New Roman" w:cs="Times New Roman"/>
        </w:rPr>
      </w:pPr>
      <w:r>
        <w:rPr>
          <w:rFonts w:ascii="Times New Roman" w:hAnsi="Times New Roman" w:cs="Times New Roman"/>
        </w:rPr>
        <w:t>Liu, Z., Awasthi, M. K., Zhao, J., Liu, G., Syed, A., AL-Shwaiman, H. A., &amp; Fang, J. ,2023. Unraveling impacts of inoculating novel microbial agents on nitrogen conversion during cattle manure composting: Core microorganisms and functional genes. Bioresource Technology, 390. https://doi.org/10.1016/j.biortech.2023.129887</w:t>
      </w:r>
    </w:p>
    <w:p w14:paraId="33E210E5">
      <w:pPr>
        <w:spacing w:line="360" w:lineRule="auto"/>
        <w:ind w:left="360" w:hanging="567"/>
        <w:jc w:val="both"/>
        <w:rPr>
          <w:rFonts w:ascii="Times New Roman" w:hAnsi="Times New Roman" w:cs="Times New Roman"/>
        </w:rPr>
      </w:pPr>
      <w:r>
        <w:rPr>
          <w:rFonts w:ascii="Times New Roman" w:hAnsi="Times New Roman" w:cs="Times New Roman"/>
        </w:rPr>
        <w:t>Liu, Z., Yan, Z., Liu, G., Wang, X., &amp; Fang, J. ,2023a. Impacts of adding FeSO</w:t>
      </w:r>
      <w:r>
        <w:rPr>
          <w:rFonts w:ascii="Times New Roman" w:hAnsi="Times New Roman" w:cs="Times New Roman"/>
          <w:vertAlign w:val="subscript"/>
        </w:rPr>
        <w:t>4</w:t>
      </w:r>
      <w:r>
        <w:rPr>
          <w:rFonts w:ascii="Times New Roman" w:hAnsi="Times New Roman" w:cs="Times New Roman"/>
        </w:rPr>
        <w:t xml:space="preserve"> and biochar on nitrogen loss, bacterial community and related functional genes during cattle manure composting. Bioresource Technology, 379. https://doi.org/10.1016/j.biortech.2023.129029</w:t>
      </w:r>
    </w:p>
    <w:p w14:paraId="19ECF184">
      <w:pPr>
        <w:spacing w:line="360" w:lineRule="auto"/>
        <w:ind w:left="360" w:hanging="567"/>
        <w:jc w:val="both"/>
        <w:rPr>
          <w:rFonts w:ascii="Times New Roman" w:hAnsi="Times New Roman" w:cs="Times New Roman"/>
        </w:rPr>
      </w:pPr>
      <w:r>
        <w:rPr>
          <w:rFonts w:ascii="Times New Roman" w:hAnsi="Times New Roman" w:cs="Times New Roman"/>
        </w:rPr>
        <w:t>Luo, W. H., Yuan, J., Luo, Y. M., Li, G. X., Nghiem, L. D., &amp; Price, W. E. ,2014. Effects of mixing and covering with mature compost on gaseous emissions during composting. Chemosphere, 117(1), 14–19. https://doi.org/10.1016/j.chemosphere.2014.05.043</w:t>
      </w:r>
    </w:p>
    <w:p w14:paraId="2F74304F">
      <w:pPr>
        <w:spacing w:line="360" w:lineRule="auto"/>
        <w:ind w:left="360" w:hanging="567"/>
        <w:jc w:val="both"/>
        <w:rPr>
          <w:rFonts w:ascii="Times New Roman" w:hAnsi="Times New Roman" w:cs="Times New Roman"/>
        </w:rPr>
      </w:pPr>
      <w:r>
        <w:rPr>
          <w:rFonts w:ascii="Times New Roman" w:hAnsi="Times New Roman" w:cs="Times New Roman"/>
        </w:rPr>
        <w:t>Luo, Y., Li, G., Luo, W., Schuchardt, F., Jiang, T., &amp; Xu, D. ,2013. Effect of phosphogypsum and dicyandiamide as additives on NH</w:t>
      </w:r>
      <w:r>
        <w:rPr>
          <w:rFonts w:ascii="Times New Roman" w:hAnsi="Times New Roman" w:cs="Times New Roman"/>
          <w:vertAlign w:val="subscript"/>
        </w:rPr>
        <w:t>3</w:t>
      </w:r>
      <w:r>
        <w:rPr>
          <w:rFonts w:ascii="Times New Roman" w:hAnsi="Times New Roman" w:cs="Times New Roman"/>
        </w:rPr>
        <w:t>, N</w:t>
      </w:r>
      <w:r>
        <w:rPr>
          <w:rFonts w:ascii="Times New Roman" w:hAnsi="Times New Roman" w:cs="Times New Roman"/>
          <w:vertAlign w:val="subscript"/>
        </w:rPr>
        <w:t>2</w:t>
      </w:r>
      <w:r>
        <w:rPr>
          <w:rFonts w:ascii="Times New Roman" w:hAnsi="Times New Roman" w:cs="Times New Roman"/>
        </w:rPr>
        <w:t>O and CH</w:t>
      </w:r>
      <w:r>
        <w:rPr>
          <w:rFonts w:ascii="Times New Roman" w:hAnsi="Times New Roman" w:cs="Times New Roman"/>
          <w:vertAlign w:val="subscript"/>
        </w:rPr>
        <w:t>4</w:t>
      </w:r>
      <w:r>
        <w:rPr>
          <w:rFonts w:ascii="Times New Roman" w:hAnsi="Times New Roman" w:cs="Times New Roman"/>
        </w:rPr>
        <w:t xml:space="preserve"> emissions during composting. Journal of Environmental Sciences (China), 25(7), 1338–1345. https://doi.org/10.1016/S1001-0742(12)60126-0</w:t>
      </w:r>
    </w:p>
    <w:p w14:paraId="7E82B503">
      <w:pPr>
        <w:spacing w:line="360" w:lineRule="auto"/>
        <w:ind w:left="360" w:hanging="567"/>
        <w:jc w:val="both"/>
        <w:rPr>
          <w:rFonts w:ascii="Times New Roman" w:hAnsi="Times New Roman" w:cs="Times New Roman"/>
        </w:rPr>
      </w:pPr>
      <w:r>
        <w:rPr>
          <w:rFonts w:ascii="Times New Roman" w:hAnsi="Times New Roman" w:cs="Times New Roman"/>
        </w:rPr>
        <w:t>Manu, M. K., Wang, C., Li, D., Varjani, S., &amp; Wong, J. W. C. ,2022. Impact of zeolite amendment on composting of food waste digestate. Journal of Cleaner Production, 371. https://doi.org/10.1016/j.jclepro.2022.133408</w:t>
      </w:r>
    </w:p>
    <w:p w14:paraId="05BECE09">
      <w:pPr>
        <w:spacing w:line="360" w:lineRule="auto"/>
        <w:ind w:left="360" w:hanging="567"/>
        <w:jc w:val="both"/>
        <w:rPr>
          <w:rFonts w:ascii="Times New Roman" w:hAnsi="Times New Roman" w:cs="Times New Roman"/>
        </w:rPr>
      </w:pPr>
      <w:r>
        <w:rPr>
          <w:rFonts w:ascii="Times New Roman" w:hAnsi="Times New Roman" w:cs="Times New Roman"/>
        </w:rPr>
        <w:t>Mao, H., Lv, Z., Sun, H., Li, R., Zhai, B., Wang, Z., Awasthi, M. K., Wang, Q., &amp; Zhou, L.,2018. Improvement of biochar and bacterial powder addition on gaseous emission and bacterial community in pig manure compost. Bioresource Technology, 258, 195–202. https://doi.org/10.1016/j.biortech.2018.02.082</w:t>
      </w:r>
    </w:p>
    <w:p w14:paraId="1B4075A7">
      <w:pPr>
        <w:spacing w:line="360" w:lineRule="auto"/>
        <w:ind w:left="360" w:hanging="567"/>
        <w:jc w:val="both"/>
        <w:rPr>
          <w:rFonts w:ascii="Times New Roman" w:hAnsi="Times New Roman" w:cs="Times New Roman"/>
        </w:rPr>
      </w:pPr>
      <w:r>
        <w:rPr>
          <w:rFonts w:ascii="Times New Roman" w:hAnsi="Times New Roman" w:cs="Times New Roman"/>
        </w:rPr>
        <w:t>Mao, H., Zhang, H., Fu, Q., Zhong, M., Li, R., Zhai, B., Wang, Z., &amp; Zhou, L. ,2019. Effects of four additives in pig manure composting on greenhouse gas emission reduction and bacterial community change. Bioresource Technology, 292. https://doi.org/10.1016/j.biortech.2019.121896</w:t>
      </w:r>
    </w:p>
    <w:p w14:paraId="48B798A1">
      <w:pPr>
        <w:spacing w:line="360" w:lineRule="auto"/>
        <w:ind w:left="360" w:hanging="567"/>
        <w:jc w:val="both"/>
        <w:rPr>
          <w:rFonts w:ascii="Times New Roman" w:hAnsi="Times New Roman" w:cs="Times New Roman"/>
        </w:rPr>
      </w:pPr>
      <w:r>
        <w:rPr>
          <w:rFonts w:ascii="Times New Roman" w:hAnsi="Times New Roman" w:cs="Times New Roman"/>
        </w:rPr>
        <w:t>Maulini-Duran, C., Artola, A., Font, X., &amp; Sánchez, A. ,2013. A systematic study of the gaseous emissions from biosolids composting: Raw sludge versus anaerobically digested sludge. Bioresource Technology, 147, 43–51. https://doi.org/10.1016/j.biortech.2013.07.118</w:t>
      </w:r>
    </w:p>
    <w:p w14:paraId="09798EA0">
      <w:pPr>
        <w:spacing w:line="360" w:lineRule="auto"/>
        <w:ind w:left="360" w:hanging="567"/>
        <w:jc w:val="both"/>
        <w:rPr>
          <w:rFonts w:ascii="Times New Roman" w:hAnsi="Times New Roman" w:cs="Times New Roman"/>
        </w:rPr>
      </w:pPr>
      <w:r>
        <w:rPr>
          <w:rFonts w:ascii="Times New Roman" w:hAnsi="Times New Roman" w:cs="Times New Roman"/>
        </w:rPr>
        <w:t>Maulini-Duran, C., Artola, A., Font, X., &amp; Sánchez, A. ,2014. Gaseous emissions in municipal wastes composting: Effect of the bulking agent. Bioresource Technology, 172, 260–268. https://doi.org/10.1016/j.biortech.2014.09.041</w:t>
      </w:r>
    </w:p>
    <w:p w14:paraId="166C09A7">
      <w:pPr>
        <w:spacing w:line="360" w:lineRule="auto"/>
        <w:ind w:left="360" w:hanging="567"/>
        <w:jc w:val="both"/>
        <w:rPr>
          <w:rFonts w:ascii="Times New Roman" w:hAnsi="Times New Roman" w:cs="Times New Roman"/>
        </w:rPr>
      </w:pPr>
      <w:r>
        <w:rPr>
          <w:rFonts w:ascii="Times New Roman" w:hAnsi="Times New Roman" w:cs="Times New Roman"/>
        </w:rPr>
        <w:t>Nguyen, M. K., Lin, C., Hoang, H. G., Bui, X. T., Ngo, H. H., Le, V. G., &amp; Tran, H. T. ,2023. Investigation of biochar amendments on odor reduction and their characteristics during food waste co-composting. Science of the Total Environment, 865. https://doi.org/10.1016/j.scitotenv.2022.161128</w:t>
      </w:r>
    </w:p>
    <w:p w14:paraId="1ECD8FFF">
      <w:pPr>
        <w:spacing w:line="360" w:lineRule="auto"/>
        <w:ind w:left="360" w:hanging="567"/>
        <w:jc w:val="both"/>
        <w:rPr>
          <w:rFonts w:ascii="Times New Roman" w:hAnsi="Times New Roman" w:cs="Times New Roman"/>
        </w:rPr>
      </w:pPr>
      <w:r>
        <w:rPr>
          <w:rFonts w:ascii="Times New Roman" w:hAnsi="Times New Roman" w:cs="Times New Roman"/>
        </w:rPr>
        <w:t>Nie, E., Gao, D., &amp; Zheng, G. ,2020. Effects of lactic acid on modulating the ammonia emissions in co-composts of poultry litter with slaughter sludge. Bioresource Technology, 315. https://doi.org/10.1016/j.biortech.2020.123812</w:t>
      </w:r>
    </w:p>
    <w:p w14:paraId="7E45D9C2">
      <w:pPr>
        <w:spacing w:line="360" w:lineRule="auto"/>
        <w:ind w:left="360" w:hanging="567"/>
        <w:jc w:val="both"/>
        <w:rPr>
          <w:rFonts w:ascii="Times New Roman" w:hAnsi="Times New Roman" w:cs="Times New Roman"/>
        </w:rPr>
      </w:pPr>
      <w:r>
        <w:rPr>
          <w:rFonts w:ascii="Times New Roman" w:hAnsi="Times New Roman" w:cs="Times New Roman"/>
        </w:rPr>
        <w:t>Oliveira, L. V., Higarashi, M. M., Nicoloso, R. S., &amp; Coldebella, A. ,2020. Use of Dicyandiamide to Reduce Nitrogen Loss and Nitrous Oxide Emission During Mechanically Turned Co-composting of Swine Slurry with Sawdust. Waste and Biomass Valorization, 11(6), 2567–2579. https://doi.org/10.1007/s12649-019-00616-x</w:t>
      </w:r>
    </w:p>
    <w:p w14:paraId="4786F0F8">
      <w:pPr>
        <w:spacing w:line="360" w:lineRule="auto"/>
        <w:ind w:left="360" w:hanging="567"/>
        <w:jc w:val="both"/>
        <w:rPr>
          <w:rFonts w:ascii="Times New Roman" w:hAnsi="Times New Roman" w:cs="Times New Roman"/>
        </w:rPr>
      </w:pPr>
      <w:r>
        <w:rPr>
          <w:rFonts w:ascii="Times New Roman" w:hAnsi="Times New Roman" w:cs="Times New Roman"/>
        </w:rPr>
        <w:t>Ottani, F., Parenti, M., Santunione, G., Moscatelli, G., Kahn, R., Pedrazzi, S., &amp; Allesina, G. ,2023. Effects of different gasification biochar grain size on greenhouse gases and ammonia emissions in municipal aerated composting processes. Journal of Environmental Management, 331. https://doi.org/10.1016/j.jenvman.2023.117257</w:t>
      </w:r>
    </w:p>
    <w:p w14:paraId="39574634">
      <w:pPr>
        <w:spacing w:line="360" w:lineRule="auto"/>
        <w:ind w:left="360" w:hanging="567"/>
        <w:jc w:val="both"/>
        <w:rPr>
          <w:rFonts w:ascii="Times New Roman" w:hAnsi="Times New Roman" w:cs="Times New Roman"/>
        </w:rPr>
      </w:pPr>
      <w:r>
        <w:rPr>
          <w:rFonts w:ascii="Times New Roman" w:hAnsi="Times New Roman" w:cs="Times New Roman"/>
        </w:rPr>
        <w:t>Ouyang, X., Lin, H., Hu, Z., Zheng, Y., Li, P., &amp; Huang, W. ,2022. Effect of biochar structure on H2S emissions during sludge aerobic composting: insights into microscale characterization and microbial mechanism. Biomass Conversion and Biorefinery. https://doi.org/10.1007/s13399-022-03388-y</w:t>
      </w:r>
    </w:p>
    <w:p w14:paraId="4E7A19A9">
      <w:pPr>
        <w:spacing w:line="360" w:lineRule="auto"/>
        <w:ind w:left="360" w:hanging="567"/>
        <w:jc w:val="both"/>
        <w:rPr>
          <w:rFonts w:ascii="Times New Roman" w:hAnsi="Times New Roman" w:cs="Times New Roman"/>
        </w:rPr>
      </w:pPr>
      <w:r>
        <w:rPr>
          <w:rFonts w:ascii="Times New Roman" w:hAnsi="Times New Roman" w:cs="Times New Roman"/>
        </w:rPr>
        <w:t>Patil, P., Sharara, M., Shah, S., Kulesza, S., &amp; Classen, J. ,2023. Impacts of utilizing swine lagoon sludge as a composting ingredient. Journal of Environmental Management, 327. https://doi.org/10.1016/j.jenvman.2022.116840</w:t>
      </w:r>
    </w:p>
    <w:p w14:paraId="3E56B554">
      <w:pPr>
        <w:spacing w:line="360" w:lineRule="auto"/>
        <w:ind w:left="360" w:hanging="567"/>
        <w:jc w:val="both"/>
        <w:rPr>
          <w:rFonts w:ascii="Times New Roman" w:hAnsi="Times New Roman" w:cs="Times New Roman"/>
        </w:rPr>
      </w:pPr>
      <w:r>
        <w:rPr>
          <w:rFonts w:ascii="Times New Roman" w:hAnsi="Times New Roman" w:cs="Times New Roman"/>
        </w:rPr>
        <w:t>Peng, L., Tang, R., Wang, G., Ma, R., Li, Y., Li, G., &amp; Yuan, J. ,2023. Effect of aeration rate, aeration pattern, and turning frequency on maturity and gaseous emissions during kitchen waste composting. Environmental Technology and Innovation, 29. https://doi.org/10.1016/j.eti.2022.102997</w:t>
      </w:r>
    </w:p>
    <w:p w14:paraId="493BE38C">
      <w:pPr>
        <w:spacing w:line="360" w:lineRule="auto"/>
        <w:ind w:left="360" w:hanging="567"/>
        <w:jc w:val="both"/>
        <w:rPr>
          <w:rFonts w:ascii="Times New Roman" w:hAnsi="Times New Roman" w:cs="Times New Roman"/>
        </w:rPr>
      </w:pPr>
      <w:r>
        <w:rPr>
          <w:rFonts w:ascii="Times New Roman" w:hAnsi="Times New Roman" w:cs="Times New Roman"/>
        </w:rPr>
        <w:t>Qi, C., Yin, R., Cheng, J., Xu, Z., Chen, J., Gao, X., Li, G., Nghiem, L., &amp; Luo, W. ,2022. Bacterial dynamics for gaseous emission and humification during bio-augmented composting of kitchen waste with lime addition for acidity regulation. Science of the Total Environment, 848. https://doi.org/10.1016/j.scitotenv.2022.157653</w:t>
      </w:r>
    </w:p>
    <w:p w14:paraId="7C155574">
      <w:pPr>
        <w:spacing w:line="360" w:lineRule="auto"/>
        <w:ind w:left="360" w:hanging="567"/>
        <w:jc w:val="both"/>
        <w:rPr>
          <w:rFonts w:ascii="Times New Roman" w:hAnsi="Times New Roman" w:cs="Times New Roman"/>
        </w:rPr>
      </w:pPr>
      <w:r>
        <w:rPr>
          <w:rFonts w:ascii="Times New Roman" w:hAnsi="Times New Roman" w:cs="Times New Roman"/>
        </w:rPr>
        <w:t>Ravindran, B., Awasthi, M. K., Karmegam, N., Chang, S. W., Chaudhary, D. K., Selvam, A., Nguyen, D. D., Rahman Milon, A., &amp; Munuswamy-Ramanujam, G.,2022. Co-composting of food waste and swine manure augmenting biochar and salts: Nutrient dynamics, gaseous emissions and microbial activity. Bioresource Technology, 344. https://doi.org/10.1016/j.biortech.2021.126300</w:t>
      </w:r>
    </w:p>
    <w:p w14:paraId="21CA4557">
      <w:pPr>
        <w:spacing w:line="360" w:lineRule="auto"/>
        <w:ind w:left="360" w:hanging="567"/>
        <w:jc w:val="both"/>
        <w:rPr>
          <w:rFonts w:ascii="Times New Roman" w:hAnsi="Times New Roman" w:cs="Times New Roman"/>
        </w:rPr>
      </w:pPr>
      <w:r>
        <w:rPr>
          <w:rFonts w:ascii="Times New Roman" w:hAnsi="Times New Roman" w:cs="Times New Roman"/>
        </w:rPr>
        <w:t>Ren, X., Jiao, M., Zhang, Z., Syed, A., &amp; Bahkali, A. H.,2023. The efficient solution to decline the greenhouses emission and enrich the bacterial community during pig manure composting: Regulating the particle size of cornstalk. Bioresource Technology, 387. https://doi.org/10.1016/j.biortech.2023.129596</w:t>
      </w:r>
    </w:p>
    <w:p w14:paraId="371FA320">
      <w:pPr>
        <w:spacing w:line="360" w:lineRule="auto"/>
        <w:ind w:left="360" w:hanging="567"/>
        <w:jc w:val="both"/>
        <w:rPr>
          <w:rFonts w:ascii="Times New Roman" w:hAnsi="Times New Roman" w:cs="Times New Roman"/>
        </w:rPr>
      </w:pPr>
      <w:r>
        <w:rPr>
          <w:rFonts w:ascii="Times New Roman" w:hAnsi="Times New Roman" w:cs="Times New Roman"/>
        </w:rPr>
        <w:t>Ren, X., Wang, Q., Li, R., Chang, C. C., Pan, J., &amp; Zhang, Z. ,2020. Effect of clay on greenhouse gas emissions and humification during pig manure composting as supported by spectroscopic evidence. Science of the Total Environment, 737. https://doi.org/10.1016/j.scitotenv.2020.139712</w:t>
      </w:r>
    </w:p>
    <w:p w14:paraId="4BCB01B0">
      <w:pPr>
        <w:spacing w:line="360" w:lineRule="auto"/>
        <w:ind w:left="360" w:hanging="567"/>
        <w:jc w:val="both"/>
        <w:rPr>
          <w:rFonts w:ascii="Times New Roman" w:hAnsi="Times New Roman" w:cs="Times New Roman"/>
        </w:rPr>
      </w:pPr>
      <w:r>
        <w:rPr>
          <w:rFonts w:ascii="Times New Roman" w:hAnsi="Times New Roman" w:cs="Times New Roman"/>
        </w:rPr>
        <w:t xml:space="preserve">San Martin Ruiz, M., Reiser, M., Kranert, M., 2020. Enhanced composting as a way to a climate-friendly management of coffee by-products. Environmental Science and Pollution Research 27, 24312–24319. doi:10.1007/s11356-020-08742-z </w:t>
      </w:r>
    </w:p>
    <w:p w14:paraId="231397C8">
      <w:pPr>
        <w:spacing w:line="360" w:lineRule="auto"/>
        <w:ind w:left="360" w:hanging="567"/>
        <w:jc w:val="both"/>
        <w:rPr>
          <w:rFonts w:ascii="Times New Roman" w:hAnsi="Times New Roman" w:cs="Times New Roman"/>
        </w:rPr>
      </w:pPr>
      <w:r>
        <w:rPr>
          <w:rFonts w:ascii="Times New Roman" w:hAnsi="Times New Roman" w:cs="Times New Roman"/>
        </w:rPr>
        <w:t>Sánchez-García, M., Alburquerque, J. A., Sánchez-Monedero, M. A., Roig, A., &amp; Cayuela, M. L. ,2015. Biochar accelerates organic matter degradation and enhances N mineralisation during composting of poultry manure without a relevant impact on gas emissions. Bioresource Technology, 192, 272–279. https://doi.org/10.1016/j.biortech.2015.05.003</w:t>
      </w:r>
    </w:p>
    <w:p w14:paraId="54BBBEE8">
      <w:pPr>
        <w:spacing w:line="360" w:lineRule="auto"/>
        <w:ind w:left="360" w:hanging="567"/>
        <w:jc w:val="both"/>
        <w:rPr>
          <w:rFonts w:ascii="Times New Roman" w:hAnsi="Times New Roman" w:cs="Times New Roman"/>
        </w:rPr>
      </w:pPr>
      <w:r>
        <w:rPr>
          <w:rFonts w:ascii="Times New Roman" w:hAnsi="Times New Roman" w:cs="Times New Roman"/>
        </w:rPr>
        <w:t>Santos, A., Bustamante, M. A., Tortosa, G., Moral, R., &amp; Bernal, M. P. ,2016. Gaseous emissions and process development during composting of pig slurry: The influence of the proportion of cotton gin waste. Journal of Cleaner Production, 112, 81–90. https://doi.org/10.1016/j.jclepro.2015.08.084</w:t>
      </w:r>
    </w:p>
    <w:p w14:paraId="16DED4F0">
      <w:pPr>
        <w:spacing w:line="360" w:lineRule="auto"/>
        <w:ind w:left="360" w:hanging="567"/>
        <w:jc w:val="both"/>
        <w:rPr>
          <w:rFonts w:ascii="Times New Roman" w:hAnsi="Times New Roman" w:cs="Times New Roman"/>
        </w:rPr>
      </w:pPr>
      <w:r>
        <w:rPr>
          <w:rFonts w:ascii="Times New Roman" w:hAnsi="Times New Roman" w:cs="Times New Roman"/>
        </w:rPr>
        <w:t>Santos, C., Fonseca, J., Aires, A., Coutinho, J., &amp; Trindade, H.,2017. Effect of different rates of spent coffee grounds (SCG) on composting process, gaseous emissions and quality of end-product. Waste Management, 59, 37–47. https://doi.org/10.1016/j.wasman.2016.10.020</w:t>
      </w:r>
    </w:p>
    <w:p w14:paraId="3A234D1C">
      <w:pPr>
        <w:spacing w:line="360" w:lineRule="auto"/>
        <w:ind w:left="360" w:hanging="567"/>
        <w:jc w:val="both"/>
        <w:rPr>
          <w:rFonts w:ascii="Times New Roman" w:hAnsi="Times New Roman" w:cs="Times New Roman"/>
        </w:rPr>
      </w:pPr>
      <w:r>
        <w:rPr>
          <w:rFonts w:ascii="Times New Roman" w:hAnsi="Times New Roman" w:cs="Times New Roman"/>
        </w:rPr>
        <w:t>Shan, G., Li, W., Tan, W., Bao, S., Liu, J., Wang, S., Zhu, L., Chen, L., &amp; Xi, B. ,2023. Effect of the aqueous phase from the hydrothermal carbonization of sewage sludge as a moisture regulator on nitrogen retention and humification during chicken manure composting. Chemical Engineering Journal, 470. https://doi.org/10.1016/j.cej.2023.144398</w:t>
      </w:r>
    </w:p>
    <w:p w14:paraId="1DC0DC98">
      <w:pPr>
        <w:spacing w:line="360" w:lineRule="auto"/>
        <w:ind w:left="360" w:hanging="567"/>
        <w:jc w:val="both"/>
        <w:rPr>
          <w:rFonts w:ascii="Times New Roman" w:hAnsi="Times New Roman" w:cs="Times New Roman"/>
        </w:rPr>
      </w:pPr>
      <w:r>
        <w:rPr>
          <w:rFonts w:ascii="Times New Roman" w:hAnsi="Times New Roman" w:cs="Times New Roman"/>
        </w:rPr>
        <w:t>Shen, Y., Zhou, H., Meng, H., Guo, R., Zheng, G., &amp; Chen, T.,2020. Generation and emission of ammonia during the full-scale composting of sewage sludge. Waste and Biomass Valorization, 11(9), 4757–4766. https://doi.org/10.1007/s12649-019-00791-x</w:t>
      </w:r>
    </w:p>
    <w:p w14:paraId="62CCE35D">
      <w:pPr>
        <w:spacing w:line="360" w:lineRule="auto"/>
        <w:ind w:left="360" w:hanging="567"/>
        <w:jc w:val="both"/>
        <w:rPr>
          <w:rFonts w:ascii="Times New Roman" w:hAnsi="Times New Roman" w:cs="Times New Roman"/>
        </w:rPr>
      </w:pPr>
      <w:r>
        <w:rPr>
          <w:rFonts w:ascii="Times New Roman" w:hAnsi="Times New Roman" w:cs="Times New Roman"/>
        </w:rPr>
        <w:t>Spencer, J. L., &amp; Van Heyst, B. J.,2013. Effect of different intermediate amendments on pH and ammonia emissions of composted poultry mortalities. Journal of Applied Poultry Research, 22(4), 700–714. https://doi.org/10.3382/japr.2012-00632</w:t>
      </w:r>
    </w:p>
    <w:p w14:paraId="42EAC2B2">
      <w:pPr>
        <w:spacing w:line="360" w:lineRule="auto"/>
        <w:ind w:left="360" w:hanging="567"/>
        <w:jc w:val="both"/>
        <w:rPr>
          <w:rFonts w:ascii="Times New Roman" w:hAnsi="Times New Roman" w:cs="Times New Roman"/>
        </w:rPr>
      </w:pPr>
      <w:r>
        <w:rPr>
          <w:rFonts w:ascii="Times New Roman" w:hAnsi="Times New Roman" w:cs="Times New Roman"/>
        </w:rPr>
        <w:t>Sun, B., Bai, Z., Li, Y., Li, R., Song, M., Xu, S., Zhang, H., &amp; Zhuang, X.,2022. Emission mitigation of CH</w:t>
      </w:r>
      <w:r>
        <w:rPr>
          <w:rFonts w:ascii="Times New Roman" w:hAnsi="Times New Roman" w:cs="Times New Roman"/>
          <w:vertAlign w:val="subscript"/>
        </w:rPr>
        <w:t>4</w:t>
      </w:r>
      <w:r>
        <w:rPr>
          <w:rFonts w:ascii="Times New Roman" w:hAnsi="Times New Roman" w:cs="Times New Roman"/>
        </w:rPr>
        <w:t xml:space="preserve"> and N</w:t>
      </w:r>
      <w:r>
        <w:rPr>
          <w:rFonts w:ascii="Times New Roman" w:hAnsi="Times New Roman" w:cs="Times New Roman"/>
          <w:vertAlign w:val="subscript"/>
        </w:rPr>
        <w:t>2</w:t>
      </w:r>
      <w:r>
        <w:rPr>
          <w:rFonts w:ascii="Times New Roman" w:hAnsi="Times New Roman" w:cs="Times New Roman"/>
        </w:rPr>
        <w:t>O during semi-permeable membrane covered hyperthermophilic aerobic composting of livestock manure. Journal of Cleaner Production, 379. https://doi.org/10.1016/j.jclepro.2022.134850</w:t>
      </w:r>
    </w:p>
    <w:p w14:paraId="49CD08C8">
      <w:pPr>
        <w:spacing w:line="360" w:lineRule="auto"/>
        <w:ind w:left="360" w:hanging="567"/>
        <w:jc w:val="both"/>
        <w:rPr>
          <w:rFonts w:ascii="Times New Roman" w:hAnsi="Times New Roman" w:cs="Times New Roman"/>
        </w:rPr>
      </w:pPr>
      <w:r>
        <w:rPr>
          <w:rFonts w:ascii="Times New Roman" w:hAnsi="Times New Roman" w:cs="Times New Roman"/>
        </w:rPr>
        <w:t>Sun, J., Wang, G., Liu, H., Zhang, Y., Sun, H., &amp; Dai, X. ,2022a. Influence of thermally activated peroxodisulfate pretreatment on gaseous emission, dissolved organic matter and maturity evolution during spiramycin fermentation residue composting. Bioresource Technology, 363. https://doi.org/10.1016/j.biortech.2022.127964</w:t>
      </w:r>
    </w:p>
    <w:p w14:paraId="24327485">
      <w:pPr>
        <w:spacing w:line="360" w:lineRule="auto"/>
        <w:ind w:left="360" w:hanging="567"/>
        <w:jc w:val="both"/>
        <w:rPr>
          <w:rFonts w:ascii="Times New Roman" w:hAnsi="Times New Roman" w:cs="Times New Roman"/>
        </w:rPr>
      </w:pPr>
      <w:r>
        <w:rPr>
          <w:rFonts w:ascii="Times New Roman" w:hAnsi="Times New Roman" w:cs="Times New Roman"/>
        </w:rPr>
        <w:t>Sun, X. P., Lu, P., Jiang, T., Schuchardt, F., &amp; Li, G. X. ,2014. Influence of bulking agents on CH</w:t>
      </w:r>
      <w:r>
        <w:rPr>
          <w:rFonts w:ascii="Times New Roman" w:hAnsi="Times New Roman" w:cs="Times New Roman"/>
          <w:vertAlign w:val="subscript"/>
        </w:rPr>
        <w:t>4</w:t>
      </w:r>
      <w:r>
        <w:rPr>
          <w:rFonts w:ascii="Times New Roman" w:hAnsi="Times New Roman" w:cs="Times New Roman"/>
        </w:rPr>
        <w:t>, N</w:t>
      </w:r>
      <w:r>
        <w:rPr>
          <w:rFonts w:ascii="Times New Roman" w:hAnsi="Times New Roman" w:cs="Times New Roman"/>
          <w:vertAlign w:val="subscript"/>
        </w:rPr>
        <w:t>2</w:t>
      </w:r>
      <w:r>
        <w:rPr>
          <w:rFonts w:ascii="Times New Roman" w:hAnsi="Times New Roman" w:cs="Times New Roman"/>
        </w:rPr>
        <w:t xml:space="preserve">O, and NH </w:t>
      </w:r>
      <w:r>
        <w:rPr>
          <w:rFonts w:ascii="Times New Roman" w:hAnsi="Times New Roman" w:cs="Times New Roman"/>
          <w:vertAlign w:val="subscript"/>
        </w:rPr>
        <w:t>3</w:t>
      </w:r>
      <w:r>
        <w:rPr>
          <w:rFonts w:ascii="Times New Roman" w:hAnsi="Times New Roman" w:cs="Times New Roman"/>
        </w:rPr>
        <w:t xml:space="preserve"> emissions during rapid composting of pig manure from the Chinese Ganqinfen system. Journal of Zhejiang University: Science B, 15(4), 353–364. https://doi.org/10.1631/jzus.B13a0271</w:t>
      </w:r>
    </w:p>
    <w:p w14:paraId="7D7D14E5">
      <w:pPr>
        <w:spacing w:line="360" w:lineRule="auto"/>
        <w:ind w:left="360" w:hanging="567"/>
        <w:jc w:val="both"/>
        <w:rPr>
          <w:rFonts w:ascii="Times New Roman" w:hAnsi="Times New Roman" w:cs="Times New Roman"/>
        </w:rPr>
      </w:pPr>
      <w:r>
        <w:rPr>
          <w:rFonts w:ascii="Times New Roman" w:hAnsi="Times New Roman" w:cs="Times New Roman"/>
        </w:rPr>
        <w:t>Sun, X., Li, Z., Li, J., Li, Z., Ma, Y., Zhou, Z., Liu, Y., Zeng, J., Xu, L., &amp; Li, L. ,2023. Dynamic composting actuated by a Caldibacillus thermoamylovorans isolate enables biodecomposability and reusability of Cinnamomum camphora garden wastes. Bioresource Technology, 376. https://doi.org/10.1016/j.biortech.2023.128852</w:t>
      </w:r>
    </w:p>
    <w:p w14:paraId="04076C64">
      <w:pPr>
        <w:spacing w:line="360" w:lineRule="auto"/>
        <w:ind w:left="360" w:hanging="567"/>
        <w:jc w:val="both"/>
        <w:rPr>
          <w:rFonts w:ascii="Times New Roman" w:hAnsi="Times New Roman" w:cs="Times New Roman"/>
        </w:rPr>
      </w:pPr>
      <w:r>
        <w:rPr>
          <w:rFonts w:ascii="Times New Roman" w:hAnsi="Times New Roman" w:cs="Times New Roman"/>
        </w:rPr>
        <w:t>Tang, R., Liu, Y., Ma, R., Zhang, L., Li, Y., Li, G., Dingmei Wang, Lin, J., Li, Q., &amp; Yuan, J. ,2023. Effect of moisture content, aeration rate, and C/N on maturity and gaseous emissions during kitchen waste rapid composting. Journal of Environmental Management, 326. https://doi.org/10.1016/j.jenvman.2022.116662</w:t>
      </w:r>
    </w:p>
    <w:p w14:paraId="7CFF024D">
      <w:pPr>
        <w:spacing w:line="360" w:lineRule="auto"/>
        <w:ind w:left="360" w:hanging="567"/>
        <w:jc w:val="both"/>
        <w:rPr>
          <w:rFonts w:ascii="Times New Roman" w:hAnsi="Times New Roman" w:cs="Times New Roman"/>
        </w:rPr>
      </w:pPr>
      <w:r>
        <w:rPr>
          <w:rFonts w:ascii="Times New Roman" w:hAnsi="Times New Roman" w:cs="Times New Roman"/>
        </w:rPr>
        <w:t>Thomas, A. R., Arulraj, P. R., Kranert, M., &amp; Philip, L. ,2020. Investigation on greenhouse gas emissions and compost dynamics during in-vessel co-composting of septage and mixed organic wastes. International Journal of Environmental Science and Technology, 17(3), 1675–1690. https://doi.org/10.1007/s13762-019-02450-z</w:t>
      </w:r>
    </w:p>
    <w:p w14:paraId="0EC80E60">
      <w:pPr>
        <w:spacing w:line="360" w:lineRule="auto"/>
        <w:ind w:left="360" w:hanging="567"/>
        <w:jc w:val="both"/>
        <w:rPr>
          <w:rFonts w:ascii="Times New Roman" w:hAnsi="Times New Roman" w:cs="Times New Roman"/>
        </w:rPr>
      </w:pPr>
      <w:r>
        <w:rPr>
          <w:rFonts w:ascii="Times New Roman" w:hAnsi="Times New Roman" w:cs="Times New Roman"/>
        </w:rPr>
        <w:t>Tian, H., Liu, J., Zhang, Y., &amp; Yue, P.,2023. A novel integrated industrial-scale biological reactor for odor control in a sewage sludge composting facility: Performance, pollutant transformation, and bioaerosol emission mechanism. Waste Management, 164, 9–19. https://doi.org/10.1016/j.wasman.2023.03.021</w:t>
      </w:r>
    </w:p>
    <w:p w14:paraId="63E5E466">
      <w:pPr>
        <w:spacing w:line="360" w:lineRule="auto"/>
        <w:ind w:left="360" w:hanging="567"/>
        <w:jc w:val="both"/>
        <w:rPr>
          <w:rFonts w:ascii="Times New Roman" w:hAnsi="Times New Roman" w:cs="Times New Roman"/>
        </w:rPr>
      </w:pPr>
      <w:r>
        <w:rPr>
          <w:rFonts w:ascii="Times New Roman" w:hAnsi="Times New Roman" w:cs="Times New Roman"/>
        </w:rPr>
        <w:t>Wang, B., Zhang, P., Guo, X., Bao, X., Tian, J., Li, G., &amp; Zhang, J.,2024. Contribution of zeolite to nitrogen retention in chicken manure and straw compost: Reduction of NH3 and N2O emissions and increase of nitrate. Bioresource Technology, 391. https://doi.org/10.1016/j.biortech.2023.129981</w:t>
      </w:r>
    </w:p>
    <w:p w14:paraId="5FE1BA8D">
      <w:pPr>
        <w:spacing w:line="360" w:lineRule="auto"/>
        <w:ind w:left="360" w:hanging="567"/>
        <w:jc w:val="both"/>
        <w:rPr>
          <w:rFonts w:ascii="Times New Roman" w:hAnsi="Times New Roman" w:cs="Times New Roman"/>
        </w:rPr>
      </w:pPr>
      <w:r>
        <w:rPr>
          <w:rFonts w:ascii="Times New Roman" w:hAnsi="Times New Roman" w:cs="Times New Roman"/>
        </w:rPr>
        <w:t>Wang, C., Wu, M., Peng, C., Yan, F., Jia, Y., Li, X., Li, M., Wu, B., Xu, H., &amp; Qiu, Z. ,2022. Bacterial dynamics and functions driven by a novel microbial agent to promote kitchen waste composting and reduce environmental burden. Journal of Cleaner Production, 337. https://doi.org/10.1016/j.jclepro.2022.130491</w:t>
      </w:r>
    </w:p>
    <w:p w14:paraId="04A80092">
      <w:pPr>
        <w:spacing w:line="360" w:lineRule="auto"/>
        <w:ind w:left="360" w:hanging="567"/>
        <w:jc w:val="both"/>
        <w:rPr>
          <w:rFonts w:ascii="Times New Roman" w:hAnsi="Times New Roman" w:cs="Times New Roman"/>
        </w:rPr>
      </w:pPr>
      <w:r>
        <w:rPr>
          <w:rFonts w:ascii="Times New Roman" w:hAnsi="Times New Roman" w:cs="Times New Roman"/>
        </w:rPr>
        <w:t>Wang, M., Awasthi, M. K., Wang, Q., Chen, H., Ren, X., Zhao, J., Li, R., &amp; Zhang, Z. ,2017. Comparison of additives amendment for mitigation of greenhouse gases and ammonia emission during sewage sludge co-composting based on correlation analysis. Bioresource Technology, 243, 520–527. https://doi.org/10.1016/j.biortech.2017.06.158</w:t>
      </w:r>
    </w:p>
    <w:p w14:paraId="636C1C65">
      <w:pPr>
        <w:spacing w:line="360" w:lineRule="auto"/>
        <w:ind w:left="360" w:hanging="567"/>
        <w:jc w:val="both"/>
        <w:rPr>
          <w:rFonts w:ascii="Times New Roman" w:hAnsi="Times New Roman" w:cs="Times New Roman"/>
        </w:rPr>
      </w:pPr>
      <w:r>
        <w:rPr>
          <w:rFonts w:ascii="Times New Roman" w:hAnsi="Times New Roman" w:cs="Times New Roman"/>
        </w:rPr>
        <w:t>Wang, N., Awasthi, M. K., Pan, J., Jiang, S., Wan, F., Lin, X., Yan, B., Zhang, J., Zhang, L., Huang, H., &amp; Li, H.,2022. Effects of biochar and biogas residue amendments on N</w:t>
      </w:r>
      <w:r>
        <w:rPr>
          <w:rFonts w:ascii="Times New Roman" w:hAnsi="Times New Roman" w:cs="Times New Roman"/>
          <w:vertAlign w:val="subscript"/>
        </w:rPr>
        <w:t>2</w:t>
      </w:r>
      <w:r>
        <w:rPr>
          <w:rFonts w:ascii="Times New Roman" w:hAnsi="Times New Roman" w:cs="Times New Roman"/>
        </w:rPr>
        <w:t>O emission, enzyme activities and functional genes related with nitrification and denitrification during rice straw composting. Bioresource Technology, 357. https://doi.org/10.1016/j.biortech.2022.127359</w:t>
      </w:r>
    </w:p>
    <w:p w14:paraId="280521BB">
      <w:pPr>
        <w:spacing w:line="360" w:lineRule="auto"/>
        <w:ind w:left="360" w:hanging="567"/>
        <w:jc w:val="both"/>
        <w:rPr>
          <w:rFonts w:ascii="Times New Roman" w:hAnsi="Times New Roman" w:cs="Times New Roman"/>
        </w:rPr>
      </w:pPr>
      <w:r>
        <w:rPr>
          <w:rFonts w:ascii="Times New Roman" w:hAnsi="Times New Roman" w:cs="Times New Roman"/>
        </w:rPr>
        <w:t>Wang, X., Bai, Z., Yao, Y., Gao, B., Chadwick, D., Chen, Q., Hu, C., &amp; Ma, L.,2018. Composting with negative pressure aeration for the mitigation of ammonia emissions and global warming potential. Journal of Cleaner Production, 195, 448–457. https://doi.org/10.1016/j.jclepro.2018.05.146</w:t>
      </w:r>
    </w:p>
    <w:p w14:paraId="2741AB92">
      <w:pPr>
        <w:spacing w:line="360" w:lineRule="auto"/>
        <w:ind w:left="360" w:hanging="567"/>
        <w:jc w:val="both"/>
        <w:rPr>
          <w:rFonts w:ascii="Times New Roman" w:hAnsi="Times New Roman" w:cs="Times New Roman"/>
        </w:rPr>
      </w:pPr>
      <w:r>
        <w:rPr>
          <w:rFonts w:ascii="Times New Roman" w:hAnsi="Times New Roman" w:cs="Times New Roman"/>
        </w:rPr>
        <w:t>Wang, X., Zheng, W., Ma, Y., Ma, J., Gao, Y. Ming, Zhang, X., &amp; Li, J.,2020. Gasification filter cake reduces the emissions of ammonia and enriches the concentration of phosphorous in Caragana microphylla residue compost. Bioresource Technology, 315. https://doi.org/10.1016/j.biortech.2020.123832</w:t>
      </w:r>
    </w:p>
    <w:p w14:paraId="197A0D04">
      <w:pPr>
        <w:spacing w:line="360" w:lineRule="auto"/>
        <w:ind w:left="360" w:hanging="567"/>
        <w:jc w:val="both"/>
        <w:rPr>
          <w:rFonts w:ascii="Times New Roman" w:hAnsi="Times New Roman" w:cs="Times New Roman"/>
        </w:rPr>
      </w:pPr>
      <w:r>
        <w:rPr>
          <w:rFonts w:ascii="Times New Roman" w:hAnsi="Times New Roman" w:cs="Times New Roman"/>
        </w:rPr>
        <w:t>Wang, Z., Xu, Y., Yang, T., Liu, Y., Zheng, T., &amp; Zheng, C. .2023. Effects of biochar carried microbial agent on compost quality, greenhouse gas emission and bacterial community during sheep manure composting. Biochar, 5(1). https://doi.org/10.1007/s42773-022-00202-w</w:t>
      </w:r>
    </w:p>
    <w:p w14:paraId="0C61EC59">
      <w:pPr>
        <w:spacing w:line="360" w:lineRule="auto"/>
        <w:ind w:left="360" w:hanging="567"/>
        <w:jc w:val="both"/>
        <w:rPr>
          <w:rFonts w:ascii="Times New Roman" w:hAnsi="Times New Roman" w:cs="Times New Roman"/>
        </w:rPr>
      </w:pPr>
      <w:r>
        <w:rPr>
          <w:rFonts w:ascii="Times New Roman" w:hAnsi="Times New Roman" w:cs="Times New Roman"/>
        </w:rPr>
        <w:t>Wu, J. P., Li, M. L., Wang, Y., Lin, S., Hu, R. G., &amp; Xiang, R. B. ,2023. Impact of bentonite on greenhouse gas emissions during pig manure composting and its subsequent application. Journal of Environmental Management, 344. https://doi.org/10.1016/j.jenvman.2023.118453</w:t>
      </w:r>
    </w:p>
    <w:p w14:paraId="7E2926CF">
      <w:pPr>
        <w:spacing w:line="360" w:lineRule="auto"/>
        <w:ind w:left="360" w:hanging="567"/>
        <w:jc w:val="both"/>
        <w:rPr>
          <w:rFonts w:ascii="Times New Roman" w:hAnsi="Times New Roman" w:cs="Times New Roman"/>
        </w:rPr>
      </w:pPr>
      <w:r>
        <w:rPr>
          <w:rFonts w:ascii="Times New Roman" w:hAnsi="Times New Roman" w:cs="Times New Roman"/>
        </w:rPr>
        <w:t>Xie, T., Zhang, Z., Zhang, D., Wei, C., Lin, Y., Feng, R., Nan, J., &amp; Feng, Y.,2023. Effect of hydrothermal pretreatment and compound microbial agents on compost maturity and gaseous emissions during aerobic composting of kitchen waste. Science of the Total Environment, 854. https://doi.org/10.1016/j.scitotenv.2022.158712</w:t>
      </w:r>
    </w:p>
    <w:p w14:paraId="64CE2C0F">
      <w:pPr>
        <w:spacing w:line="360" w:lineRule="auto"/>
        <w:ind w:left="360" w:hanging="567"/>
        <w:jc w:val="both"/>
        <w:rPr>
          <w:rFonts w:ascii="Times New Roman" w:hAnsi="Times New Roman" w:cs="Times New Roman"/>
        </w:rPr>
      </w:pPr>
      <w:r>
        <w:rPr>
          <w:rFonts w:ascii="Times New Roman" w:hAnsi="Times New Roman" w:cs="Times New Roman"/>
        </w:rPr>
        <w:t>Xiong, J., Su, Y., He, X., Han, L., &amp; Huang, G. ,2023. Effects of functional membrane coverings on carbon and nitrogen evolution during aerobic composting: Insight into the succession of bacterial and fungal communities. Bioresource Technology, 369. https://doi.org/10.1016/j.biortech.2022.128463</w:t>
      </w:r>
    </w:p>
    <w:p w14:paraId="1E8B9F35">
      <w:pPr>
        <w:spacing w:line="360" w:lineRule="auto"/>
        <w:ind w:left="360" w:hanging="567"/>
        <w:jc w:val="both"/>
        <w:rPr>
          <w:rFonts w:ascii="Times New Roman" w:hAnsi="Times New Roman" w:cs="Times New Roman"/>
        </w:rPr>
      </w:pPr>
      <w:r>
        <w:rPr>
          <w:rFonts w:ascii="Times New Roman" w:hAnsi="Times New Roman" w:cs="Times New Roman"/>
        </w:rPr>
        <w:t>Xiong, J., Zhuo, Q., Su, Y., Qu, H., He, X., Han, L., &amp; Huang, G.,2023a. Nitrogen evolution during membrane-covered aerobic composting: Interconversion between nitrogen forms and migration pathways. Journal of Environmental Management, 345. https://doi.org/10.1016/j.jenvman.2023.118727</w:t>
      </w:r>
    </w:p>
    <w:p w14:paraId="42A64515">
      <w:pPr>
        <w:spacing w:line="360" w:lineRule="auto"/>
        <w:ind w:left="360" w:hanging="567"/>
        <w:rPr>
          <w:rFonts w:ascii="Times New Roman" w:hAnsi="Times New Roman" w:cs="Times New Roman"/>
        </w:rPr>
      </w:pPr>
      <w:r>
        <w:rPr>
          <w:rFonts w:ascii="Times New Roman" w:hAnsi="Times New Roman" w:cs="Times New Roman"/>
        </w:rPr>
        <w:t>Xu, Z., Li, G., Huda, N., Zhang, B., Wang, M., &amp; Luo, W.,2020. Effects of moisture and carbon/nitrogen ratio on gaseous emissions and maturity during direct composting of cornstalks used for filtration of anaerobically digested manure centrate. Bioresource Technology, 298. https://doi.org/10.1016/j.biortech.2019.122503</w:t>
      </w:r>
    </w:p>
    <w:p w14:paraId="3491F942">
      <w:pPr>
        <w:spacing w:line="360" w:lineRule="auto"/>
        <w:ind w:left="360" w:hanging="567"/>
        <w:rPr>
          <w:rFonts w:ascii="Times New Roman" w:hAnsi="Times New Roman" w:cs="Times New Roman"/>
        </w:rPr>
      </w:pPr>
      <w:r>
        <w:rPr>
          <w:rFonts w:ascii="Times New Roman" w:hAnsi="Times New Roman" w:cs="Times New Roman"/>
        </w:rPr>
        <w:t>Xu, Z., Ma, Y., Zhang, L., Han, Y., Yuan, J., Li, G., &amp; Luo, W. ,2021. Relating bacterial dynamics and functions to gaseous emissions during composting of kitchen and garden wastes. Science of the Total Environment, 767. https://doi.org/10.1016/j.scitotenv.2020.144210</w:t>
      </w:r>
    </w:p>
    <w:p w14:paraId="22C59F85">
      <w:pPr>
        <w:spacing w:line="360" w:lineRule="auto"/>
        <w:ind w:left="360" w:hanging="567"/>
        <w:rPr>
          <w:rFonts w:ascii="Times New Roman" w:hAnsi="Times New Roman" w:cs="Times New Roman"/>
        </w:rPr>
      </w:pPr>
      <w:r>
        <w:rPr>
          <w:rFonts w:ascii="Times New Roman" w:hAnsi="Times New Roman" w:cs="Times New Roman"/>
        </w:rPr>
        <w:t>Xu, Z., Qi, C., Zhang, L., Ma, Y., Li, G., Nghiem, L. D., &amp; Luo, W. ,2021a. Regulating bacterial dynamics by lime addition to enhance kitchen waste composting. Bioresource Technology, 341. https://doi.org/10.1016/j.biortech.2021.125749</w:t>
      </w:r>
    </w:p>
    <w:p w14:paraId="104D10EF">
      <w:pPr>
        <w:spacing w:line="360" w:lineRule="auto"/>
        <w:ind w:left="360" w:hanging="567"/>
        <w:rPr>
          <w:rFonts w:ascii="Times New Roman" w:hAnsi="Times New Roman" w:cs="Times New Roman"/>
        </w:rPr>
      </w:pPr>
      <w:r>
        <w:rPr>
          <w:rFonts w:ascii="Times New Roman" w:hAnsi="Times New Roman" w:cs="Times New Roman"/>
        </w:rPr>
        <w:t>Xu, Z., Qi, C., Zhang, L., Ma, Y., Li, J., Li, G., &amp; Luo, W. ,2021b. Bacterial dynamics and functions for gaseous emissions and humification in response to aeration intensities during kitchen waste composting. Bioresource Technology, 337. https://doi.org/10.1016/j.biortech.2021.125369</w:t>
      </w:r>
    </w:p>
    <w:p w14:paraId="16A04E85">
      <w:pPr>
        <w:spacing w:line="360" w:lineRule="auto"/>
        <w:ind w:left="360" w:hanging="567"/>
        <w:jc w:val="both"/>
        <w:rPr>
          <w:rFonts w:ascii="Times New Roman" w:hAnsi="Times New Roman" w:cs="Times New Roman"/>
        </w:rPr>
      </w:pPr>
      <w:r>
        <w:rPr>
          <w:rFonts w:ascii="Times New Roman" w:hAnsi="Times New Roman" w:cs="Times New Roman"/>
        </w:rPr>
        <w:t>Xu, Z., Xu, W., Zhang, L., Ma, Y., Li, Y., Li, G., Nghiem, L. D., &amp; Luo, W. ,2021c. Bacterial dynamics and functions driven by bulking agents to mitigate gaseous emissions in kitchen waste composting. Bioresource Technology, 332. https://doi.org/10.1016/j.biortech.2021.125028</w:t>
      </w:r>
    </w:p>
    <w:p w14:paraId="6742EA85">
      <w:pPr>
        <w:spacing w:line="360" w:lineRule="auto"/>
        <w:ind w:left="360" w:hanging="567"/>
        <w:jc w:val="both"/>
        <w:rPr>
          <w:rFonts w:ascii="Times New Roman" w:hAnsi="Times New Roman" w:cs="Times New Roman"/>
        </w:rPr>
      </w:pPr>
      <w:r>
        <w:rPr>
          <w:rFonts w:ascii="Times New Roman" w:hAnsi="Times New Roman" w:cs="Times New Roman"/>
        </w:rPr>
        <w:t>Xue, S., Zhou, L., Zhong, M., Kumar Awasthi, M., &amp; Mao, H. ,2021. Bacterial agents affected bacterial community structure to mitigate greenhouse gas emissions during sewage sludge composting. Bioresource Technology, 337. https://doi.org/10.1016/j.biortech.2021.125397</w:t>
      </w:r>
    </w:p>
    <w:p w14:paraId="05821A89">
      <w:pPr>
        <w:spacing w:line="360" w:lineRule="auto"/>
        <w:ind w:left="360" w:hanging="567"/>
        <w:jc w:val="both"/>
        <w:rPr>
          <w:rFonts w:ascii="Times New Roman" w:hAnsi="Times New Roman" w:cs="Times New Roman"/>
        </w:rPr>
      </w:pPr>
      <w:r>
        <w:rPr>
          <w:rFonts w:ascii="Times New Roman" w:hAnsi="Times New Roman" w:cs="Times New Roman"/>
        </w:rPr>
        <w:t>Yang, B., Ma, Y., &amp; Xiong, Z. ,2019. Effects of different composting strategies on methane, nitrous oxide, and carbon dioxide emissions and nutrient loss during small-scale anaerobic composting. Environmental Science and Pollution Research, 26(1), 446–455. https://doi.org/10.1007/s11356-018-3646-y</w:t>
      </w:r>
    </w:p>
    <w:p w14:paraId="2245E54D">
      <w:pPr>
        <w:spacing w:line="360" w:lineRule="auto"/>
        <w:ind w:left="360" w:hanging="567"/>
        <w:jc w:val="both"/>
        <w:rPr>
          <w:rFonts w:ascii="Times New Roman" w:hAnsi="Times New Roman" w:cs="Times New Roman"/>
        </w:rPr>
      </w:pPr>
      <w:r>
        <w:rPr>
          <w:rFonts w:ascii="Times New Roman" w:hAnsi="Times New Roman" w:cs="Times New Roman"/>
        </w:rPr>
        <w:t>Yang, F., Li, G. X., Yang, Q. Y., &amp; Luo, W. H. ,2013. Effect of bulking agents on maturity and gaseous emissions during kitchen waste composting. Chemosphere, 93(7), 1393–1399. https://doi.org/10.1016/j.chemosphere.2013.07.002</w:t>
      </w:r>
    </w:p>
    <w:p w14:paraId="55D51D27">
      <w:pPr>
        <w:spacing w:line="360" w:lineRule="auto"/>
        <w:ind w:left="360" w:hanging="567"/>
        <w:jc w:val="both"/>
        <w:rPr>
          <w:rFonts w:ascii="Times New Roman" w:hAnsi="Times New Roman" w:cs="Times New Roman"/>
        </w:rPr>
      </w:pPr>
      <w:r>
        <w:rPr>
          <w:rFonts w:ascii="Times New Roman" w:hAnsi="Times New Roman" w:cs="Times New Roman"/>
        </w:rPr>
        <w:t>Yang, F., Li, G., Shi, H., &amp; Wang, Y. ,2015. Effects of phosphogypsum and superphosphate on compost maturity and gaseous emissions during kitchen waste composting. Waste Management, 36, 70–76. https://doi.org/10.1016/j.wasman.2014.11.012</w:t>
      </w:r>
    </w:p>
    <w:p w14:paraId="41942FBE">
      <w:pPr>
        <w:spacing w:line="360" w:lineRule="auto"/>
        <w:ind w:left="360" w:hanging="567"/>
        <w:jc w:val="both"/>
        <w:rPr>
          <w:rFonts w:ascii="Times New Roman" w:hAnsi="Times New Roman" w:cs="Times New Roman"/>
        </w:rPr>
      </w:pPr>
      <w:r>
        <w:rPr>
          <w:rFonts w:ascii="Times New Roman" w:hAnsi="Times New Roman" w:cs="Times New Roman"/>
        </w:rPr>
        <w:t>Yang, F., Li, Y., Han, Y., Qian, W., Li, G., &amp; Luo, W. ,2019. Performance of mature compost to control gaseous emissions in kitchen waste composting. Science of the Total Environment, 657, 262–269. https://doi.org/10.1016/j.scitotenv.2018.12.030</w:t>
      </w:r>
    </w:p>
    <w:p w14:paraId="4B3E3DEF">
      <w:pPr>
        <w:spacing w:line="360" w:lineRule="auto"/>
        <w:ind w:left="360" w:hanging="567"/>
        <w:jc w:val="both"/>
        <w:rPr>
          <w:rFonts w:ascii="Times New Roman" w:hAnsi="Times New Roman" w:cs="Times New Roman"/>
        </w:rPr>
      </w:pPr>
      <w:r>
        <w:rPr>
          <w:rFonts w:ascii="Times New Roman" w:hAnsi="Times New Roman" w:cs="Times New Roman"/>
        </w:rPr>
        <w:t>Yang, X., Duan, P., Cao, Y., Wang, K., &amp; Li, D. ,2023. Mechanisms of mitigating nitrous oxide emission during composting by biochar and calcium carbonate addition. Bioresource Technology, 388. https://doi.org/10.1016/j.biortech.2023.129772</w:t>
      </w:r>
    </w:p>
    <w:p w14:paraId="103A383C">
      <w:pPr>
        <w:spacing w:line="360" w:lineRule="auto"/>
        <w:ind w:left="360" w:hanging="567"/>
        <w:jc w:val="both"/>
        <w:rPr>
          <w:rFonts w:ascii="Times New Roman" w:hAnsi="Times New Roman" w:cs="Times New Roman"/>
        </w:rPr>
      </w:pPr>
      <w:r>
        <w:rPr>
          <w:rFonts w:ascii="Times New Roman" w:hAnsi="Times New Roman" w:cs="Times New Roman"/>
        </w:rPr>
        <w:t>Yang, X., Duan, P., Liu, Q., Wang, K., &amp; Li, D. ,2024. Addition of cellulose and hemicellulose degrading microorganisms intensified nitrous oxide emission during composting. Bioresource Technology, 393. https://doi.org/10.1016/j.biortech.2023.130100</w:t>
      </w:r>
    </w:p>
    <w:p w14:paraId="5A7AB599">
      <w:pPr>
        <w:spacing w:line="360" w:lineRule="auto"/>
        <w:ind w:left="360" w:hanging="567"/>
        <w:jc w:val="both"/>
        <w:rPr>
          <w:rFonts w:ascii="Times New Roman" w:hAnsi="Times New Roman" w:cs="Times New Roman"/>
        </w:rPr>
      </w:pPr>
      <w:r>
        <w:rPr>
          <w:rFonts w:ascii="Times New Roman" w:hAnsi="Times New Roman" w:cs="Times New Roman"/>
        </w:rPr>
        <w:t>Yang, X., Mazarji, M., Li, M., Li, A., Li, R., Zhang, Z., &amp; Pan, J. ,2024a. Mechanism of magnetite-assisted aerobic composting on the nitrogen cycle in pig manure. Bioresource Technology, 391. https://doi.org/10.1016/j.biortech.2023.129985</w:t>
      </w:r>
    </w:p>
    <w:p w14:paraId="1BD47D58">
      <w:pPr>
        <w:spacing w:line="360" w:lineRule="auto"/>
        <w:ind w:left="360" w:hanging="567"/>
        <w:jc w:val="both"/>
        <w:rPr>
          <w:rFonts w:ascii="Times New Roman" w:hAnsi="Times New Roman" w:cs="Times New Roman"/>
        </w:rPr>
      </w:pPr>
      <w:r>
        <w:rPr>
          <w:rFonts w:ascii="Times New Roman" w:hAnsi="Times New Roman" w:cs="Times New Roman"/>
        </w:rPr>
        <w:t>Yang, Y., Kumar Awasthi, M., Du, W., Ren, X., Lei, T., &amp; Lv, J. ,2020. Compost supplementation with nitrogen loss and greenhouse gas emissions during pig manure composting. Bioresource Technology, 297. https://doi.org/10.1016/j.biortech.2019.122435</w:t>
      </w:r>
    </w:p>
    <w:p w14:paraId="359E59B9">
      <w:pPr>
        <w:spacing w:line="360" w:lineRule="auto"/>
        <w:ind w:left="360" w:hanging="567"/>
        <w:jc w:val="both"/>
        <w:rPr>
          <w:rFonts w:ascii="Times New Roman" w:hAnsi="Times New Roman" w:cs="Times New Roman"/>
        </w:rPr>
      </w:pPr>
      <w:r>
        <w:rPr>
          <w:rFonts w:ascii="Times New Roman" w:hAnsi="Times New Roman" w:cs="Times New Roman"/>
        </w:rPr>
        <w:t>Yang, Y., Kumar Awasthi, M., Wu, L., Yan, Y., &amp; Lv, J. ,2020a. Microbial driving mechanism of biochar and bean dregs on NH</w:t>
      </w:r>
      <w:r>
        <w:rPr>
          <w:rFonts w:ascii="Times New Roman" w:hAnsi="Times New Roman" w:cs="Times New Roman"/>
          <w:vertAlign w:val="subscript"/>
        </w:rPr>
        <w:t>3</w:t>
      </w:r>
      <w:r>
        <w:rPr>
          <w:rFonts w:ascii="Times New Roman" w:hAnsi="Times New Roman" w:cs="Times New Roman"/>
        </w:rPr>
        <w:t xml:space="preserve"> and N</w:t>
      </w:r>
      <w:r>
        <w:rPr>
          <w:rFonts w:ascii="Times New Roman" w:hAnsi="Times New Roman" w:cs="Times New Roman"/>
          <w:vertAlign w:val="subscript"/>
        </w:rPr>
        <w:t>2</w:t>
      </w:r>
      <w:r>
        <w:rPr>
          <w:rFonts w:ascii="Times New Roman" w:hAnsi="Times New Roman" w:cs="Times New Roman"/>
        </w:rPr>
        <w:t>O emissions during composting. Bioresource Technology, 315. https://doi.org/10.1016/j.biortech.2020.123829</w:t>
      </w:r>
    </w:p>
    <w:p w14:paraId="51A3E9F8">
      <w:pPr>
        <w:spacing w:line="360" w:lineRule="auto"/>
        <w:ind w:left="360" w:hanging="567"/>
        <w:jc w:val="both"/>
        <w:rPr>
          <w:rFonts w:ascii="Times New Roman" w:hAnsi="Times New Roman" w:cs="Times New Roman"/>
        </w:rPr>
      </w:pPr>
      <w:r>
        <w:rPr>
          <w:rFonts w:ascii="Times New Roman" w:hAnsi="Times New Roman" w:cs="Times New Roman"/>
        </w:rPr>
        <w:t>Yang, Y., Yin, Z., Li, L., Li, Y., Liu, Y., Luo, Y., Li, G., &amp; Yuan, J. ,2022. Effects of dicyandiamide, phosphogypsum, and superphosphate on greenhouse gas emissions during pig manure composting. Science of the Total Environment, 846. https://doi.org/10.1016/j.scitotenv.2022.157487</w:t>
      </w:r>
    </w:p>
    <w:p w14:paraId="0DB0521E">
      <w:pPr>
        <w:spacing w:line="360" w:lineRule="auto"/>
        <w:ind w:left="360" w:hanging="567"/>
        <w:jc w:val="both"/>
        <w:rPr>
          <w:rFonts w:ascii="Times New Roman" w:hAnsi="Times New Roman" w:cs="Times New Roman"/>
        </w:rPr>
      </w:pPr>
      <w:r>
        <w:rPr>
          <w:rFonts w:ascii="Times New Roman" w:hAnsi="Times New Roman" w:cs="Times New Roman"/>
        </w:rPr>
        <w:t>Yuan, J., Chadwick, D., Zhang, D., Li, G., Chen, S., Luo, W., Du, L., He, S., &amp; Peng, S.,2016. Effects of aeration rate on maturity and gaseous emissions during sewage sludge composting. Waste Management, 56, 403–410. https://doi.org/10.1016/j.wasman.2016.07.017</w:t>
      </w:r>
    </w:p>
    <w:p w14:paraId="5EA0653A">
      <w:pPr>
        <w:spacing w:line="360" w:lineRule="auto"/>
        <w:ind w:left="360" w:hanging="567"/>
        <w:jc w:val="both"/>
        <w:rPr>
          <w:rFonts w:ascii="Times New Roman" w:hAnsi="Times New Roman" w:cs="Times New Roman"/>
        </w:rPr>
      </w:pPr>
      <w:r>
        <w:rPr>
          <w:rFonts w:ascii="Times New Roman" w:hAnsi="Times New Roman" w:cs="Times New Roman"/>
        </w:rPr>
        <w:t>Yuan, J., Li, Y., Chen, S., Li, D., Tang, H., Chadwick, D., Li, S., Li, W., &amp; Li, G.,2018. Effects of phosphogypsum, superphosphate, and dicyandiamide on gaseous emission and compost quality during sewage sludge composting. Bioresource Technology, 270, 368–376. https://doi.org/10.1016/j.biortech.2018.09.023</w:t>
      </w:r>
    </w:p>
    <w:p w14:paraId="73EC0C39">
      <w:pPr>
        <w:spacing w:line="360" w:lineRule="auto"/>
        <w:ind w:left="360" w:hanging="567"/>
        <w:jc w:val="both"/>
        <w:rPr>
          <w:rFonts w:ascii="Times New Roman" w:hAnsi="Times New Roman" w:cs="Times New Roman"/>
        </w:rPr>
      </w:pPr>
      <w:r>
        <w:rPr>
          <w:rFonts w:ascii="Times New Roman" w:hAnsi="Times New Roman" w:cs="Times New Roman"/>
        </w:rPr>
        <w:t>Zhang, B., Xu, Z., Jiang, T., Huda, N., Li, G., &amp; Luo, W.,2020. Gaseous emission and maturity in composting of livestock manure and tobacco wastes: Effects of aeration intensities and mitigation by physiochemical additives. Environmental Technology and Innovation, 19. https://doi.org/10.1016/j.eti.2020.100899</w:t>
      </w:r>
    </w:p>
    <w:p w14:paraId="3BDD413A">
      <w:pPr>
        <w:spacing w:line="360" w:lineRule="auto"/>
        <w:ind w:left="360" w:hanging="567"/>
        <w:jc w:val="both"/>
        <w:rPr>
          <w:rFonts w:ascii="Times New Roman" w:hAnsi="Times New Roman" w:cs="Times New Roman"/>
        </w:rPr>
      </w:pPr>
      <w:r>
        <w:rPr>
          <w:rFonts w:ascii="Times New Roman" w:hAnsi="Times New Roman" w:cs="Times New Roman"/>
        </w:rPr>
        <w:t>Zhang, D., Luo, W., Li, Y., Wang, G., &amp; Li, G.,2018. Performance of co-composting sewage sludge and organic fraction of municipal solid waste at different proportions. Bioresource Technology, 250, 853–859. https://doi.org/10.1016/j.biortech.2017.08.136</w:t>
      </w:r>
    </w:p>
    <w:p w14:paraId="4FB12908">
      <w:pPr>
        <w:spacing w:line="360" w:lineRule="auto"/>
        <w:ind w:left="360" w:hanging="567"/>
        <w:jc w:val="both"/>
        <w:rPr>
          <w:rFonts w:ascii="Times New Roman" w:hAnsi="Times New Roman" w:cs="Times New Roman"/>
        </w:rPr>
      </w:pPr>
      <w:r>
        <w:rPr>
          <w:rFonts w:ascii="Times New Roman" w:hAnsi="Times New Roman" w:cs="Times New Roman"/>
        </w:rPr>
        <w:t>Zhang, D., Luo, W., Yuan, J., Li, G., &amp; Luo, Y.,2017. Effects of woody peat and superphosphate on compost maturity and gaseous emissions during pig manure composting. Waste Management, 68, 56–63. https://doi.org/10.1016/j.wasman.2017.05.042</w:t>
      </w:r>
    </w:p>
    <w:p w14:paraId="6871A3F6">
      <w:pPr>
        <w:spacing w:line="360" w:lineRule="auto"/>
        <w:ind w:left="360" w:hanging="567"/>
        <w:jc w:val="both"/>
        <w:rPr>
          <w:rFonts w:ascii="Times New Roman" w:hAnsi="Times New Roman" w:cs="Times New Roman"/>
        </w:rPr>
      </w:pPr>
      <w:r>
        <w:rPr>
          <w:rFonts w:ascii="Times New Roman" w:hAnsi="Times New Roman" w:cs="Times New Roman"/>
        </w:rPr>
        <w:t>Zhang, L., Gao, X., Li, Y., Li, G., Luo, W., &amp; Xu, Z.,2023. Optimization of free air space to regulate bacterial succession and functions for alleviating gaseous emissions during kitchen waste composting. Bioresource Technology, 387. https://doi.org/10.1016/j.biortech.2023.129682</w:t>
      </w:r>
    </w:p>
    <w:p w14:paraId="4FE7767B">
      <w:pPr>
        <w:spacing w:line="360" w:lineRule="auto"/>
        <w:ind w:left="360" w:hanging="567"/>
        <w:jc w:val="both"/>
        <w:rPr>
          <w:rFonts w:ascii="Times New Roman" w:hAnsi="Times New Roman" w:cs="Times New Roman"/>
        </w:rPr>
      </w:pPr>
      <w:r>
        <w:rPr>
          <w:rFonts w:ascii="Times New Roman" w:hAnsi="Times New Roman" w:cs="Times New Roman"/>
        </w:rPr>
        <w:t>Zhang, L., Gao, X., Shi, T., Xu, Z., Li, G., &amp; Luo, W. ,2023. Regulating aeration intensity to simultaneously improve humification and mitigate gaseous emissions in food waste digestate composting: Performance and bacterial dynamics. Science of the Total Environment, 889. https://doi.org/10.1016/j.scitotenv.2023.164239</w:t>
      </w:r>
    </w:p>
    <w:p w14:paraId="26F07BD4">
      <w:pPr>
        <w:spacing w:line="360" w:lineRule="auto"/>
        <w:ind w:left="360" w:hanging="567"/>
        <w:jc w:val="both"/>
        <w:rPr>
          <w:rFonts w:ascii="Times New Roman" w:hAnsi="Times New Roman" w:cs="Times New Roman"/>
        </w:rPr>
      </w:pPr>
      <w:r>
        <w:rPr>
          <w:rFonts w:ascii="Times New Roman" w:hAnsi="Times New Roman" w:cs="Times New Roman"/>
        </w:rPr>
        <w:t>Zhang, L., Shi, T., Xu, Z., Bao, Z., Li, J., Li, G., &amp; Yuan, J. ,2023a. Effect of lime and calcium magnesium phosphate on gaseous emissions, maturity, and bacterial dynamics during food waste composting. Environmental Technology and Innovation, 32. https://doi.org/10.1016/j.eti.2023.103306</w:t>
      </w:r>
    </w:p>
    <w:p w14:paraId="1AF77CC3">
      <w:pPr>
        <w:spacing w:line="360" w:lineRule="auto"/>
        <w:ind w:left="360" w:hanging="567"/>
        <w:jc w:val="both"/>
        <w:rPr>
          <w:rFonts w:ascii="Times New Roman" w:hAnsi="Times New Roman" w:cs="Times New Roman"/>
        </w:rPr>
      </w:pPr>
      <w:r>
        <w:rPr>
          <w:rFonts w:ascii="Times New Roman" w:hAnsi="Times New Roman" w:cs="Times New Roman"/>
        </w:rPr>
        <w:t>Zhao, J., Sun, X., Awasthi, M. K., Wang, Q., Ren, X., Li, R., Chen, H., Wang, M., Liu, T., &amp; Zhang, Z. ,2018. Performance evaluation of gaseous emissions and Zn speciation during Zn-rich antibiotic manufacturing wastes and pig manure composting. Bioresource Technology, 267, 688–695. https://doi.org/10.1016/j.biortech.2018.07.088</w:t>
      </w:r>
    </w:p>
    <w:p w14:paraId="6C179705">
      <w:pPr>
        <w:spacing w:line="360" w:lineRule="auto"/>
        <w:ind w:left="360" w:hanging="567"/>
        <w:jc w:val="both"/>
        <w:rPr>
          <w:rFonts w:ascii="Times New Roman" w:hAnsi="Times New Roman" w:cs="Times New Roman"/>
        </w:rPr>
      </w:pPr>
      <w:r>
        <w:rPr>
          <w:rFonts w:ascii="Times New Roman" w:hAnsi="Times New Roman" w:cs="Times New Roman"/>
        </w:rPr>
        <w:t>Zheng, G., Cheng, Y., Zhu, Y., Yang, J., Wang, L., &amp; Chen, T. , 2022. Correlation of microbial dynamics to odor production and emission in full-scale sewage sludge composting. Bioresource Technology, 360. https://doi.org/10.1016/j.biortech.2022.127597</w:t>
      </w:r>
    </w:p>
    <w:p w14:paraId="54AA2485">
      <w:pPr>
        <w:spacing w:line="360" w:lineRule="auto"/>
        <w:ind w:left="360" w:hanging="567"/>
        <w:jc w:val="both"/>
        <w:rPr>
          <w:rFonts w:ascii="Times New Roman" w:hAnsi="Times New Roman" w:cs="Times New Roman"/>
        </w:rPr>
      </w:pPr>
      <w:r>
        <w:rPr>
          <w:rFonts w:ascii="Times New Roman" w:hAnsi="Times New Roman" w:cs="Times New Roman"/>
        </w:rPr>
        <w:t>Zheng, J., Liu, J., Han, S., Wang, Y., &amp; Wei, Y. , 2020. N</w:t>
      </w:r>
      <w:r>
        <w:rPr>
          <w:rFonts w:ascii="Times New Roman" w:hAnsi="Times New Roman" w:cs="Times New Roman"/>
          <w:vertAlign w:val="subscript"/>
        </w:rPr>
        <w:t>2</w:t>
      </w:r>
      <w:r>
        <w:rPr>
          <w:rFonts w:ascii="Times New Roman" w:hAnsi="Times New Roman" w:cs="Times New Roman"/>
        </w:rPr>
        <w:t>O emission factors of full-scale animal manure windrow composting in cold and warm seasons. Bioresource Technology, 316. https://doi.org/10.1016/j.biortech.2020.123905</w:t>
      </w:r>
    </w:p>
    <w:p w14:paraId="65B84031">
      <w:pPr>
        <w:spacing w:line="360" w:lineRule="auto"/>
        <w:ind w:left="360" w:hanging="567"/>
        <w:jc w:val="both"/>
        <w:rPr>
          <w:rFonts w:ascii="Times New Roman" w:hAnsi="Times New Roman" w:cs="Times New Roman"/>
        </w:rPr>
      </w:pPr>
      <w:r>
        <w:rPr>
          <w:rFonts w:ascii="Times New Roman" w:hAnsi="Times New Roman" w:cs="Times New Roman"/>
        </w:rPr>
        <w:t>Zhou, S., Wen, X., Cao, Z., Cheng, R., Qian, Y., Mi, J., Wang, Y., Liao, X., Ma, B., Zou, Y., &amp; Wu, Y., 2021. Modified cornstalk biochar can reduce ammonia emissions from compost by increasing the number of ammonia-oxidizing bacteria and decreasing urease activity. Bioresource Technology, 319. https://doi.org/10.1016/j.biortech.2020.124120</w:t>
      </w:r>
    </w:p>
    <w:sectPr>
      <w:footerReference r:id="rId5" w:type="default"/>
      <w:pgSz w:w="14400" w:h="17280"/>
      <w:pgMar w:top="1440" w:right="1440" w:bottom="1800" w:left="1555" w:header="720" w:footer="720" w:gutter="0"/>
      <w:lnNumType w:countBy="1" w:restart="continuous"/>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harisSIL">
    <w:altName w:val="Cambria"/>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6327337"/>
      <w:docPartObj>
        <w:docPartGallery w:val="autotext"/>
      </w:docPartObj>
    </w:sdtPr>
    <w:sdtContent>
      <w:p w14:paraId="5BFBB8D0">
        <w:pPr>
          <w:pStyle w:val="5"/>
          <w:jc w:val="center"/>
        </w:pPr>
        <w:r>
          <w:fldChar w:fldCharType="begin"/>
        </w:r>
        <w:r>
          <w:instrText xml:space="preserve"> PAGE   \* MERGEFORMAT </w:instrText>
        </w:r>
        <w:r>
          <w:fldChar w:fldCharType="separate"/>
        </w:r>
        <w:r>
          <w:t>1</w:t>
        </w:r>
        <w:r>
          <w:fldChar w:fldCharType="end"/>
        </w:r>
      </w:p>
    </w:sdtContent>
  </w:sdt>
  <w:p w14:paraId="0CF9B5B3">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hideGrammaticalErrors/>
  <w:trackRevisions w:val="1"/>
  <w:documentProtection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zNbYwMbU0NTQ3NjdU0lEKTi0uzszPAykwNKoFAGA9lV8tAAAA"/>
  </w:docVars>
  <w:rsids>
    <w:rsidRoot w:val="009E7A3B"/>
    <w:rsid w:val="00004D9E"/>
    <w:rsid w:val="00006BF1"/>
    <w:rsid w:val="0002327F"/>
    <w:rsid w:val="0002638E"/>
    <w:rsid w:val="00026BBD"/>
    <w:rsid w:val="00030049"/>
    <w:rsid w:val="0003039A"/>
    <w:rsid w:val="00031E2C"/>
    <w:rsid w:val="00035C40"/>
    <w:rsid w:val="00036EB2"/>
    <w:rsid w:val="00041541"/>
    <w:rsid w:val="00041678"/>
    <w:rsid w:val="000418AF"/>
    <w:rsid w:val="0004390D"/>
    <w:rsid w:val="00044D5E"/>
    <w:rsid w:val="0004687D"/>
    <w:rsid w:val="000468AA"/>
    <w:rsid w:val="00047DE4"/>
    <w:rsid w:val="000518C2"/>
    <w:rsid w:val="00052FC1"/>
    <w:rsid w:val="0005370D"/>
    <w:rsid w:val="000563FE"/>
    <w:rsid w:val="000565F6"/>
    <w:rsid w:val="00057F7D"/>
    <w:rsid w:val="00062308"/>
    <w:rsid w:val="00067581"/>
    <w:rsid w:val="00067962"/>
    <w:rsid w:val="00072FC5"/>
    <w:rsid w:val="00074B17"/>
    <w:rsid w:val="000855D8"/>
    <w:rsid w:val="000860AD"/>
    <w:rsid w:val="0008695E"/>
    <w:rsid w:val="00092323"/>
    <w:rsid w:val="0009713A"/>
    <w:rsid w:val="000A1DCE"/>
    <w:rsid w:val="000A4577"/>
    <w:rsid w:val="000A699B"/>
    <w:rsid w:val="000A7D4E"/>
    <w:rsid w:val="000B553A"/>
    <w:rsid w:val="000B793F"/>
    <w:rsid w:val="000B7DA3"/>
    <w:rsid w:val="000C678B"/>
    <w:rsid w:val="000D06E8"/>
    <w:rsid w:val="000D0B58"/>
    <w:rsid w:val="000D2937"/>
    <w:rsid w:val="000D3CF1"/>
    <w:rsid w:val="000E03D4"/>
    <w:rsid w:val="000E3200"/>
    <w:rsid w:val="000F1346"/>
    <w:rsid w:val="000F5E06"/>
    <w:rsid w:val="000F621D"/>
    <w:rsid w:val="001016DB"/>
    <w:rsid w:val="001057E5"/>
    <w:rsid w:val="00107BC6"/>
    <w:rsid w:val="00111F5D"/>
    <w:rsid w:val="00113415"/>
    <w:rsid w:val="00115313"/>
    <w:rsid w:val="0011651C"/>
    <w:rsid w:val="001169ED"/>
    <w:rsid w:val="0012278C"/>
    <w:rsid w:val="00124978"/>
    <w:rsid w:val="00127851"/>
    <w:rsid w:val="00135237"/>
    <w:rsid w:val="0013759F"/>
    <w:rsid w:val="00141DEB"/>
    <w:rsid w:val="00144186"/>
    <w:rsid w:val="00146419"/>
    <w:rsid w:val="0014720D"/>
    <w:rsid w:val="001539ED"/>
    <w:rsid w:val="00157C1F"/>
    <w:rsid w:val="001633D9"/>
    <w:rsid w:val="00163D61"/>
    <w:rsid w:val="00165CFE"/>
    <w:rsid w:val="001660B5"/>
    <w:rsid w:val="00167F6B"/>
    <w:rsid w:val="00173889"/>
    <w:rsid w:val="00175427"/>
    <w:rsid w:val="00175DDC"/>
    <w:rsid w:val="00181215"/>
    <w:rsid w:val="00184020"/>
    <w:rsid w:val="00185158"/>
    <w:rsid w:val="00186530"/>
    <w:rsid w:val="00197742"/>
    <w:rsid w:val="00197CE0"/>
    <w:rsid w:val="001B0A29"/>
    <w:rsid w:val="001B3F84"/>
    <w:rsid w:val="001C7D9D"/>
    <w:rsid w:val="001D034E"/>
    <w:rsid w:val="001D1170"/>
    <w:rsid w:val="001D554D"/>
    <w:rsid w:val="001D5753"/>
    <w:rsid w:val="001E0CA9"/>
    <w:rsid w:val="001E115D"/>
    <w:rsid w:val="001E4281"/>
    <w:rsid w:val="001E6CBF"/>
    <w:rsid w:val="001E71C9"/>
    <w:rsid w:val="001F3088"/>
    <w:rsid w:val="001F3091"/>
    <w:rsid w:val="001F4C3C"/>
    <w:rsid w:val="002031AA"/>
    <w:rsid w:val="00206191"/>
    <w:rsid w:val="00210E86"/>
    <w:rsid w:val="00216238"/>
    <w:rsid w:val="002212DC"/>
    <w:rsid w:val="002267D8"/>
    <w:rsid w:val="00227172"/>
    <w:rsid w:val="00227A21"/>
    <w:rsid w:val="00231C89"/>
    <w:rsid w:val="002352A4"/>
    <w:rsid w:val="0023597B"/>
    <w:rsid w:val="00236ECE"/>
    <w:rsid w:val="002375F3"/>
    <w:rsid w:val="00243E59"/>
    <w:rsid w:val="00245C75"/>
    <w:rsid w:val="00253E97"/>
    <w:rsid w:val="00254C38"/>
    <w:rsid w:val="00257C2D"/>
    <w:rsid w:val="00263A5C"/>
    <w:rsid w:val="00270BF9"/>
    <w:rsid w:val="00274477"/>
    <w:rsid w:val="0027741E"/>
    <w:rsid w:val="002777D3"/>
    <w:rsid w:val="00281378"/>
    <w:rsid w:val="002836AD"/>
    <w:rsid w:val="00287EED"/>
    <w:rsid w:val="00290835"/>
    <w:rsid w:val="00291887"/>
    <w:rsid w:val="002A0318"/>
    <w:rsid w:val="002A3634"/>
    <w:rsid w:val="002A4626"/>
    <w:rsid w:val="002A6356"/>
    <w:rsid w:val="002A7EE8"/>
    <w:rsid w:val="002B3A1A"/>
    <w:rsid w:val="002B5231"/>
    <w:rsid w:val="002C02AA"/>
    <w:rsid w:val="002C5986"/>
    <w:rsid w:val="002D455D"/>
    <w:rsid w:val="002D57DD"/>
    <w:rsid w:val="002E16AB"/>
    <w:rsid w:val="002E1B04"/>
    <w:rsid w:val="002F0239"/>
    <w:rsid w:val="002F2042"/>
    <w:rsid w:val="00305404"/>
    <w:rsid w:val="00306A27"/>
    <w:rsid w:val="0030714C"/>
    <w:rsid w:val="0031325C"/>
    <w:rsid w:val="003171C6"/>
    <w:rsid w:val="003225F1"/>
    <w:rsid w:val="00322B8B"/>
    <w:rsid w:val="00332C40"/>
    <w:rsid w:val="00333CDF"/>
    <w:rsid w:val="0033548A"/>
    <w:rsid w:val="00340F77"/>
    <w:rsid w:val="003472AC"/>
    <w:rsid w:val="0035116C"/>
    <w:rsid w:val="00351DAD"/>
    <w:rsid w:val="00355585"/>
    <w:rsid w:val="00356146"/>
    <w:rsid w:val="0036222F"/>
    <w:rsid w:val="0036348B"/>
    <w:rsid w:val="00363E7D"/>
    <w:rsid w:val="003643FD"/>
    <w:rsid w:val="003669E7"/>
    <w:rsid w:val="00367710"/>
    <w:rsid w:val="00371A0E"/>
    <w:rsid w:val="00371D76"/>
    <w:rsid w:val="003722B5"/>
    <w:rsid w:val="003739F7"/>
    <w:rsid w:val="00376323"/>
    <w:rsid w:val="00377A61"/>
    <w:rsid w:val="00386D8B"/>
    <w:rsid w:val="003874F7"/>
    <w:rsid w:val="003925DC"/>
    <w:rsid w:val="00393076"/>
    <w:rsid w:val="003938A3"/>
    <w:rsid w:val="00394D8D"/>
    <w:rsid w:val="003A32AD"/>
    <w:rsid w:val="003A5440"/>
    <w:rsid w:val="003A5FEF"/>
    <w:rsid w:val="003A6E2D"/>
    <w:rsid w:val="003B3FC1"/>
    <w:rsid w:val="003C212F"/>
    <w:rsid w:val="003C270B"/>
    <w:rsid w:val="003C3EF2"/>
    <w:rsid w:val="003C4499"/>
    <w:rsid w:val="003C489B"/>
    <w:rsid w:val="003D1BE0"/>
    <w:rsid w:val="003D4D7A"/>
    <w:rsid w:val="003D5C71"/>
    <w:rsid w:val="003D661C"/>
    <w:rsid w:val="003E2F3F"/>
    <w:rsid w:val="003E5948"/>
    <w:rsid w:val="003E6CD8"/>
    <w:rsid w:val="003F24CF"/>
    <w:rsid w:val="003F3D87"/>
    <w:rsid w:val="004003F4"/>
    <w:rsid w:val="00404E78"/>
    <w:rsid w:val="0040569F"/>
    <w:rsid w:val="004062A5"/>
    <w:rsid w:val="004064A8"/>
    <w:rsid w:val="004071E0"/>
    <w:rsid w:val="004073C9"/>
    <w:rsid w:val="00407F9C"/>
    <w:rsid w:val="0041105E"/>
    <w:rsid w:val="00413C2C"/>
    <w:rsid w:val="00414C25"/>
    <w:rsid w:val="00415EF4"/>
    <w:rsid w:val="0042159C"/>
    <w:rsid w:val="004248BD"/>
    <w:rsid w:val="00426670"/>
    <w:rsid w:val="00426A47"/>
    <w:rsid w:val="00427D3E"/>
    <w:rsid w:val="00430522"/>
    <w:rsid w:val="00431396"/>
    <w:rsid w:val="00431DE6"/>
    <w:rsid w:val="00432CB9"/>
    <w:rsid w:val="004342E4"/>
    <w:rsid w:val="00434993"/>
    <w:rsid w:val="004352D8"/>
    <w:rsid w:val="0043646F"/>
    <w:rsid w:val="00437879"/>
    <w:rsid w:val="00441D18"/>
    <w:rsid w:val="00442CF4"/>
    <w:rsid w:val="00444DA5"/>
    <w:rsid w:val="0045174C"/>
    <w:rsid w:val="004530CB"/>
    <w:rsid w:val="00462210"/>
    <w:rsid w:val="0046290F"/>
    <w:rsid w:val="004672BD"/>
    <w:rsid w:val="00472AC3"/>
    <w:rsid w:val="00472F1B"/>
    <w:rsid w:val="004760EF"/>
    <w:rsid w:val="00480107"/>
    <w:rsid w:val="004807A3"/>
    <w:rsid w:val="00486385"/>
    <w:rsid w:val="004867E4"/>
    <w:rsid w:val="004931D8"/>
    <w:rsid w:val="00493601"/>
    <w:rsid w:val="0049734A"/>
    <w:rsid w:val="004A47E4"/>
    <w:rsid w:val="004B013D"/>
    <w:rsid w:val="004B0B7D"/>
    <w:rsid w:val="004C2FB5"/>
    <w:rsid w:val="004D2520"/>
    <w:rsid w:val="004D4DBE"/>
    <w:rsid w:val="004D506B"/>
    <w:rsid w:val="004D7236"/>
    <w:rsid w:val="004E07E6"/>
    <w:rsid w:val="004E6CD2"/>
    <w:rsid w:val="004E71F7"/>
    <w:rsid w:val="004F0466"/>
    <w:rsid w:val="004F0D05"/>
    <w:rsid w:val="004F475A"/>
    <w:rsid w:val="004F6714"/>
    <w:rsid w:val="00502F9E"/>
    <w:rsid w:val="005073B8"/>
    <w:rsid w:val="0050771B"/>
    <w:rsid w:val="00511C79"/>
    <w:rsid w:val="0051338D"/>
    <w:rsid w:val="0051614B"/>
    <w:rsid w:val="005202E3"/>
    <w:rsid w:val="00525F12"/>
    <w:rsid w:val="00526F34"/>
    <w:rsid w:val="00527462"/>
    <w:rsid w:val="00530D3A"/>
    <w:rsid w:val="005326DB"/>
    <w:rsid w:val="0053464F"/>
    <w:rsid w:val="0053622F"/>
    <w:rsid w:val="00536F84"/>
    <w:rsid w:val="00544F42"/>
    <w:rsid w:val="0055188B"/>
    <w:rsid w:val="00552D50"/>
    <w:rsid w:val="00554DA8"/>
    <w:rsid w:val="00556F2E"/>
    <w:rsid w:val="0055771C"/>
    <w:rsid w:val="00561411"/>
    <w:rsid w:val="00561C51"/>
    <w:rsid w:val="005635E0"/>
    <w:rsid w:val="005659DD"/>
    <w:rsid w:val="00567994"/>
    <w:rsid w:val="00567E3F"/>
    <w:rsid w:val="00581A1F"/>
    <w:rsid w:val="005820C4"/>
    <w:rsid w:val="005834BD"/>
    <w:rsid w:val="00583C87"/>
    <w:rsid w:val="00587FDA"/>
    <w:rsid w:val="00592275"/>
    <w:rsid w:val="005941AE"/>
    <w:rsid w:val="00597788"/>
    <w:rsid w:val="005A281F"/>
    <w:rsid w:val="005A3176"/>
    <w:rsid w:val="005A6B92"/>
    <w:rsid w:val="005B00BA"/>
    <w:rsid w:val="005B500E"/>
    <w:rsid w:val="005B6D3B"/>
    <w:rsid w:val="005C037E"/>
    <w:rsid w:val="005C1D91"/>
    <w:rsid w:val="005C469B"/>
    <w:rsid w:val="005C6292"/>
    <w:rsid w:val="005D08A5"/>
    <w:rsid w:val="005D0EB0"/>
    <w:rsid w:val="005D42EF"/>
    <w:rsid w:val="005E09DE"/>
    <w:rsid w:val="005E7853"/>
    <w:rsid w:val="005F25AF"/>
    <w:rsid w:val="005F4296"/>
    <w:rsid w:val="005F5545"/>
    <w:rsid w:val="005F6E40"/>
    <w:rsid w:val="005F7216"/>
    <w:rsid w:val="005F72CF"/>
    <w:rsid w:val="006010FF"/>
    <w:rsid w:val="00606CD8"/>
    <w:rsid w:val="006112EE"/>
    <w:rsid w:val="006116A3"/>
    <w:rsid w:val="00613010"/>
    <w:rsid w:val="00623EB9"/>
    <w:rsid w:val="00630CDD"/>
    <w:rsid w:val="00634074"/>
    <w:rsid w:val="00635122"/>
    <w:rsid w:val="00637BCF"/>
    <w:rsid w:val="00637E4F"/>
    <w:rsid w:val="00651E62"/>
    <w:rsid w:val="00656145"/>
    <w:rsid w:val="00656414"/>
    <w:rsid w:val="00663535"/>
    <w:rsid w:val="00672666"/>
    <w:rsid w:val="00673ACE"/>
    <w:rsid w:val="00674C66"/>
    <w:rsid w:val="00683505"/>
    <w:rsid w:val="0068562E"/>
    <w:rsid w:val="006870DE"/>
    <w:rsid w:val="0069006E"/>
    <w:rsid w:val="006A7F35"/>
    <w:rsid w:val="006B0891"/>
    <w:rsid w:val="006B1EDC"/>
    <w:rsid w:val="006B3C77"/>
    <w:rsid w:val="006B7F85"/>
    <w:rsid w:val="006C50C2"/>
    <w:rsid w:val="006C608B"/>
    <w:rsid w:val="006D43A2"/>
    <w:rsid w:val="006D4517"/>
    <w:rsid w:val="006D5217"/>
    <w:rsid w:val="006D59A1"/>
    <w:rsid w:val="006D5EF8"/>
    <w:rsid w:val="006E4F14"/>
    <w:rsid w:val="006F1EA5"/>
    <w:rsid w:val="006F333F"/>
    <w:rsid w:val="006F4A96"/>
    <w:rsid w:val="006F5335"/>
    <w:rsid w:val="006F5C1F"/>
    <w:rsid w:val="00704AA8"/>
    <w:rsid w:val="00710061"/>
    <w:rsid w:val="00713221"/>
    <w:rsid w:val="00714D0C"/>
    <w:rsid w:val="00715C7B"/>
    <w:rsid w:val="00720E00"/>
    <w:rsid w:val="00723B55"/>
    <w:rsid w:val="0072746A"/>
    <w:rsid w:val="00730672"/>
    <w:rsid w:val="00732D16"/>
    <w:rsid w:val="00736093"/>
    <w:rsid w:val="0074536C"/>
    <w:rsid w:val="00745AB6"/>
    <w:rsid w:val="00753B61"/>
    <w:rsid w:val="007620F3"/>
    <w:rsid w:val="00762858"/>
    <w:rsid w:val="00763DDF"/>
    <w:rsid w:val="00764941"/>
    <w:rsid w:val="007740B4"/>
    <w:rsid w:val="00777722"/>
    <w:rsid w:val="00777D88"/>
    <w:rsid w:val="007820E6"/>
    <w:rsid w:val="00782596"/>
    <w:rsid w:val="00787905"/>
    <w:rsid w:val="007A13FD"/>
    <w:rsid w:val="007A36F3"/>
    <w:rsid w:val="007A762F"/>
    <w:rsid w:val="007B191E"/>
    <w:rsid w:val="007B2E12"/>
    <w:rsid w:val="007B3376"/>
    <w:rsid w:val="007B40CE"/>
    <w:rsid w:val="007B729E"/>
    <w:rsid w:val="007B7FBA"/>
    <w:rsid w:val="007C1D70"/>
    <w:rsid w:val="007C6C90"/>
    <w:rsid w:val="007D0850"/>
    <w:rsid w:val="007D1336"/>
    <w:rsid w:val="007E0B97"/>
    <w:rsid w:val="007E3D52"/>
    <w:rsid w:val="007E6933"/>
    <w:rsid w:val="007E7157"/>
    <w:rsid w:val="007E7945"/>
    <w:rsid w:val="007E7FA2"/>
    <w:rsid w:val="007F0724"/>
    <w:rsid w:val="007F1428"/>
    <w:rsid w:val="007F1B5B"/>
    <w:rsid w:val="00811F69"/>
    <w:rsid w:val="00813DC9"/>
    <w:rsid w:val="008160C0"/>
    <w:rsid w:val="0081628D"/>
    <w:rsid w:val="00823043"/>
    <w:rsid w:val="00824984"/>
    <w:rsid w:val="00825216"/>
    <w:rsid w:val="00825E9B"/>
    <w:rsid w:val="00825FE1"/>
    <w:rsid w:val="008413D5"/>
    <w:rsid w:val="00845D39"/>
    <w:rsid w:val="00857D4F"/>
    <w:rsid w:val="0086194A"/>
    <w:rsid w:val="00867384"/>
    <w:rsid w:val="00871765"/>
    <w:rsid w:val="008721EF"/>
    <w:rsid w:val="00872894"/>
    <w:rsid w:val="00873836"/>
    <w:rsid w:val="0087634E"/>
    <w:rsid w:val="00880F89"/>
    <w:rsid w:val="00883873"/>
    <w:rsid w:val="00886BDC"/>
    <w:rsid w:val="00893B94"/>
    <w:rsid w:val="00895566"/>
    <w:rsid w:val="00897A34"/>
    <w:rsid w:val="008A0A9E"/>
    <w:rsid w:val="008A386E"/>
    <w:rsid w:val="008A47D0"/>
    <w:rsid w:val="008B2DC8"/>
    <w:rsid w:val="008B448F"/>
    <w:rsid w:val="008C1253"/>
    <w:rsid w:val="008C4DEA"/>
    <w:rsid w:val="008C5BF5"/>
    <w:rsid w:val="008D0068"/>
    <w:rsid w:val="008E0F0F"/>
    <w:rsid w:val="008E1401"/>
    <w:rsid w:val="008E2E0E"/>
    <w:rsid w:val="008E4C6A"/>
    <w:rsid w:val="008E7B2A"/>
    <w:rsid w:val="008F2771"/>
    <w:rsid w:val="008F2FBB"/>
    <w:rsid w:val="008F530D"/>
    <w:rsid w:val="00900438"/>
    <w:rsid w:val="009008BE"/>
    <w:rsid w:val="009032EE"/>
    <w:rsid w:val="00912974"/>
    <w:rsid w:val="00914080"/>
    <w:rsid w:val="00914719"/>
    <w:rsid w:val="00914F6C"/>
    <w:rsid w:val="00916755"/>
    <w:rsid w:val="00922023"/>
    <w:rsid w:val="00924BFA"/>
    <w:rsid w:val="00925676"/>
    <w:rsid w:val="00931B97"/>
    <w:rsid w:val="009353F9"/>
    <w:rsid w:val="009426B9"/>
    <w:rsid w:val="00950852"/>
    <w:rsid w:val="00951067"/>
    <w:rsid w:val="009623D8"/>
    <w:rsid w:val="009657ED"/>
    <w:rsid w:val="00967DB1"/>
    <w:rsid w:val="0097083C"/>
    <w:rsid w:val="009747E5"/>
    <w:rsid w:val="009749B5"/>
    <w:rsid w:val="0097564F"/>
    <w:rsid w:val="009807C4"/>
    <w:rsid w:val="00981F44"/>
    <w:rsid w:val="009919B5"/>
    <w:rsid w:val="00993E3B"/>
    <w:rsid w:val="009A0495"/>
    <w:rsid w:val="009A12DF"/>
    <w:rsid w:val="009A61D6"/>
    <w:rsid w:val="009B435E"/>
    <w:rsid w:val="009B58BC"/>
    <w:rsid w:val="009C0734"/>
    <w:rsid w:val="009C5D11"/>
    <w:rsid w:val="009D6573"/>
    <w:rsid w:val="009E2278"/>
    <w:rsid w:val="009E253C"/>
    <w:rsid w:val="009E2CF0"/>
    <w:rsid w:val="009E33BB"/>
    <w:rsid w:val="009E7A3B"/>
    <w:rsid w:val="009F0134"/>
    <w:rsid w:val="009F039D"/>
    <w:rsid w:val="009F062E"/>
    <w:rsid w:val="00A02967"/>
    <w:rsid w:val="00A10836"/>
    <w:rsid w:val="00A12362"/>
    <w:rsid w:val="00A15962"/>
    <w:rsid w:val="00A16BE6"/>
    <w:rsid w:val="00A20A2D"/>
    <w:rsid w:val="00A252BE"/>
    <w:rsid w:val="00A277F9"/>
    <w:rsid w:val="00A309BB"/>
    <w:rsid w:val="00A32A81"/>
    <w:rsid w:val="00A33D84"/>
    <w:rsid w:val="00A36BB2"/>
    <w:rsid w:val="00A432C0"/>
    <w:rsid w:val="00A437A6"/>
    <w:rsid w:val="00A4716F"/>
    <w:rsid w:val="00A52622"/>
    <w:rsid w:val="00A67E27"/>
    <w:rsid w:val="00A71BA0"/>
    <w:rsid w:val="00A71CFB"/>
    <w:rsid w:val="00A76AC2"/>
    <w:rsid w:val="00A76DD2"/>
    <w:rsid w:val="00A77B59"/>
    <w:rsid w:val="00A853A7"/>
    <w:rsid w:val="00A85497"/>
    <w:rsid w:val="00A85EE2"/>
    <w:rsid w:val="00A86ABD"/>
    <w:rsid w:val="00AA1ECB"/>
    <w:rsid w:val="00AA2A33"/>
    <w:rsid w:val="00AB4B22"/>
    <w:rsid w:val="00AC464C"/>
    <w:rsid w:val="00AC5A51"/>
    <w:rsid w:val="00AC7189"/>
    <w:rsid w:val="00AD3D88"/>
    <w:rsid w:val="00AD5788"/>
    <w:rsid w:val="00AD6A22"/>
    <w:rsid w:val="00AD6C77"/>
    <w:rsid w:val="00AE11AD"/>
    <w:rsid w:val="00AE3C0A"/>
    <w:rsid w:val="00AE5320"/>
    <w:rsid w:val="00AE5942"/>
    <w:rsid w:val="00AE5F6A"/>
    <w:rsid w:val="00AF35A4"/>
    <w:rsid w:val="00B00151"/>
    <w:rsid w:val="00B04AEE"/>
    <w:rsid w:val="00B12078"/>
    <w:rsid w:val="00B13691"/>
    <w:rsid w:val="00B16DD8"/>
    <w:rsid w:val="00B21B3E"/>
    <w:rsid w:val="00B22583"/>
    <w:rsid w:val="00B22673"/>
    <w:rsid w:val="00B258F1"/>
    <w:rsid w:val="00B25F32"/>
    <w:rsid w:val="00B26C2A"/>
    <w:rsid w:val="00B27881"/>
    <w:rsid w:val="00B27999"/>
    <w:rsid w:val="00B3190A"/>
    <w:rsid w:val="00B337BB"/>
    <w:rsid w:val="00B3645A"/>
    <w:rsid w:val="00B42232"/>
    <w:rsid w:val="00B466A5"/>
    <w:rsid w:val="00B5116C"/>
    <w:rsid w:val="00B5682C"/>
    <w:rsid w:val="00B575BF"/>
    <w:rsid w:val="00B610C6"/>
    <w:rsid w:val="00B617DD"/>
    <w:rsid w:val="00B731E5"/>
    <w:rsid w:val="00B733BF"/>
    <w:rsid w:val="00B7495F"/>
    <w:rsid w:val="00B830D1"/>
    <w:rsid w:val="00B86E09"/>
    <w:rsid w:val="00B909EF"/>
    <w:rsid w:val="00B93325"/>
    <w:rsid w:val="00B93DA5"/>
    <w:rsid w:val="00B97A4E"/>
    <w:rsid w:val="00BA0B7F"/>
    <w:rsid w:val="00BA1FE1"/>
    <w:rsid w:val="00BB0DFC"/>
    <w:rsid w:val="00BB1272"/>
    <w:rsid w:val="00BB2678"/>
    <w:rsid w:val="00BB2D62"/>
    <w:rsid w:val="00BB6431"/>
    <w:rsid w:val="00BC6923"/>
    <w:rsid w:val="00BD0033"/>
    <w:rsid w:val="00BD07B2"/>
    <w:rsid w:val="00BD39EE"/>
    <w:rsid w:val="00BD3A24"/>
    <w:rsid w:val="00BD43B7"/>
    <w:rsid w:val="00BD4945"/>
    <w:rsid w:val="00BD6F91"/>
    <w:rsid w:val="00BE0E0C"/>
    <w:rsid w:val="00BE3354"/>
    <w:rsid w:val="00BE7BD8"/>
    <w:rsid w:val="00BF2667"/>
    <w:rsid w:val="00BF3347"/>
    <w:rsid w:val="00BF491A"/>
    <w:rsid w:val="00BF72B5"/>
    <w:rsid w:val="00C00565"/>
    <w:rsid w:val="00C0174E"/>
    <w:rsid w:val="00C028D0"/>
    <w:rsid w:val="00C051C5"/>
    <w:rsid w:val="00C077B2"/>
    <w:rsid w:val="00C10E30"/>
    <w:rsid w:val="00C11A46"/>
    <w:rsid w:val="00C16727"/>
    <w:rsid w:val="00C1689C"/>
    <w:rsid w:val="00C17E1B"/>
    <w:rsid w:val="00C2095D"/>
    <w:rsid w:val="00C23F60"/>
    <w:rsid w:val="00C27439"/>
    <w:rsid w:val="00C30611"/>
    <w:rsid w:val="00C32D67"/>
    <w:rsid w:val="00C425A1"/>
    <w:rsid w:val="00C43675"/>
    <w:rsid w:val="00C4388D"/>
    <w:rsid w:val="00C45E61"/>
    <w:rsid w:val="00C473C0"/>
    <w:rsid w:val="00C50AD1"/>
    <w:rsid w:val="00C62009"/>
    <w:rsid w:val="00C640FD"/>
    <w:rsid w:val="00C6737E"/>
    <w:rsid w:val="00C714A2"/>
    <w:rsid w:val="00C755DB"/>
    <w:rsid w:val="00C756CD"/>
    <w:rsid w:val="00C811E5"/>
    <w:rsid w:val="00C86C87"/>
    <w:rsid w:val="00CA3280"/>
    <w:rsid w:val="00CA3E25"/>
    <w:rsid w:val="00CA53EA"/>
    <w:rsid w:val="00CB158F"/>
    <w:rsid w:val="00CB7C5D"/>
    <w:rsid w:val="00CC14FF"/>
    <w:rsid w:val="00CC23A8"/>
    <w:rsid w:val="00CD1A45"/>
    <w:rsid w:val="00CD2379"/>
    <w:rsid w:val="00CE0ED0"/>
    <w:rsid w:val="00CE1612"/>
    <w:rsid w:val="00CF0537"/>
    <w:rsid w:val="00CF0FC9"/>
    <w:rsid w:val="00D047C1"/>
    <w:rsid w:val="00D051CF"/>
    <w:rsid w:val="00D0543E"/>
    <w:rsid w:val="00D06E6D"/>
    <w:rsid w:val="00D07881"/>
    <w:rsid w:val="00D13F3E"/>
    <w:rsid w:val="00D145DD"/>
    <w:rsid w:val="00D16043"/>
    <w:rsid w:val="00D20608"/>
    <w:rsid w:val="00D21FED"/>
    <w:rsid w:val="00D24026"/>
    <w:rsid w:val="00D2477E"/>
    <w:rsid w:val="00D276FE"/>
    <w:rsid w:val="00D325EC"/>
    <w:rsid w:val="00D343D5"/>
    <w:rsid w:val="00D37EEF"/>
    <w:rsid w:val="00D45652"/>
    <w:rsid w:val="00D4620E"/>
    <w:rsid w:val="00D4626C"/>
    <w:rsid w:val="00D51FA7"/>
    <w:rsid w:val="00D5647E"/>
    <w:rsid w:val="00D57523"/>
    <w:rsid w:val="00D65783"/>
    <w:rsid w:val="00D84314"/>
    <w:rsid w:val="00D86D7B"/>
    <w:rsid w:val="00D8770E"/>
    <w:rsid w:val="00D91F79"/>
    <w:rsid w:val="00D9256F"/>
    <w:rsid w:val="00D94EF7"/>
    <w:rsid w:val="00D94F32"/>
    <w:rsid w:val="00D973A2"/>
    <w:rsid w:val="00DA01FC"/>
    <w:rsid w:val="00DA17FB"/>
    <w:rsid w:val="00DA2088"/>
    <w:rsid w:val="00DA5FFD"/>
    <w:rsid w:val="00DA7FC9"/>
    <w:rsid w:val="00DB1A0D"/>
    <w:rsid w:val="00DB6032"/>
    <w:rsid w:val="00DB75B8"/>
    <w:rsid w:val="00DC4284"/>
    <w:rsid w:val="00DD0033"/>
    <w:rsid w:val="00DD3B09"/>
    <w:rsid w:val="00DE0685"/>
    <w:rsid w:val="00DE541A"/>
    <w:rsid w:val="00DF002B"/>
    <w:rsid w:val="00DF169A"/>
    <w:rsid w:val="00DF1AE4"/>
    <w:rsid w:val="00DF66DC"/>
    <w:rsid w:val="00DF68F6"/>
    <w:rsid w:val="00E00013"/>
    <w:rsid w:val="00E06A7C"/>
    <w:rsid w:val="00E14190"/>
    <w:rsid w:val="00E15739"/>
    <w:rsid w:val="00E1593F"/>
    <w:rsid w:val="00E175D3"/>
    <w:rsid w:val="00E21CAB"/>
    <w:rsid w:val="00E25327"/>
    <w:rsid w:val="00E255B4"/>
    <w:rsid w:val="00E264BC"/>
    <w:rsid w:val="00E275E6"/>
    <w:rsid w:val="00E345D3"/>
    <w:rsid w:val="00E35127"/>
    <w:rsid w:val="00E35558"/>
    <w:rsid w:val="00E3634C"/>
    <w:rsid w:val="00E363BF"/>
    <w:rsid w:val="00E41278"/>
    <w:rsid w:val="00E42248"/>
    <w:rsid w:val="00E45A4C"/>
    <w:rsid w:val="00E47EAF"/>
    <w:rsid w:val="00E61D02"/>
    <w:rsid w:val="00E64FBD"/>
    <w:rsid w:val="00E67159"/>
    <w:rsid w:val="00E713C9"/>
    <w:rsid w:val="00E71A12"/>
    <w:rsid w:val="00E71E95"/>
    <w:rsid w:val="00E7748C"/>
    <w:rsid w:val="00E82944"/>
    <w:rsid w:val="00E850BD"/>
    <w:rsid w:val="00E86655"/>
    <w:rsid w:val="00E87905"/>
    <w:rsid w:val="00E9232D"/>
    <w:rsid w:val="00E929B0"/>
    <w:rsid w:val="00E976C1"/>
    <w:rsid w:val="00EA26C1"/>
    <w:rsid w:val="00EA4851"/>
    <w:rsid w:val="00EA6433"/>
    <w:rsid w:val="00EA7A53"/>
    <w:rsid w:val="00EB14AF"/>
    <w:rsid w:val="00EC34ED"/>
    <w:rsid w:val="00ED0C6B"/>
    <w:rsid w:val="00ED3A86"/>
    <w:rsid w:val="00ED446A"/>
    <w:rsid w:val="00ED6644"/>
    <w:rsid w:val="00EE37EA"/>
    <w:rsid w:val="00EE38AA"/>
    <w:rsid w:val="00EE549A"/>
    <w:rsid w:val="00EF091C"/>
    <w:rsid w:val="00EF1072"/>
    <w:rsid w:val="00EF36F6"/>
    <w:rsid w:val="00EF652B"/>
    <w:rsid w:val="00EF6701"/>
    <w:rsid w:val="00EF7748"/>
    <w:rsid w:val="00F006EA"/>
    <w:rsid w:val="00F02CAF"/>
    <w:rsid w:val="00F1216B"/>
    <w:rsid w:val="00F1419E"/>
    <w:rsid w:val="00F14A69"/>
    <w:rsid w:val="00F21708"/>
    <w:rsid w:val="00F306F7"/>
    <w:rsid w:val="00F34462"/>
    <w:rsid w:val="00F3541B"/>
    <w:rsid w:val="00F408A7"/>
    <w:rsid w:val="00F4246C"/>
    <w:rsid w:val="00F45F3F"/>
    <w:rsid w:val="00F46517"/>
    <w:rsid w:val="00F47D7E"/>
    <w:rsid w:val="00F518FF"/>
    <w:rsid w:val="00F53648"/>
    <w:rsid w:val="00F53B6F"/>
    <w:rsid w:val="00F546D8"/>
    <w:rsid w:val="00F5770A"/>
    <w:rsid w:val="00F57E1B"/>
    <w:rsid w:val="00F60089"/>
    <w:rsid w:val="00F6192C"/>
    <w:rsid w:val="00F63095"/>
    <w:rsid w:val="00F6368C"/>
    <w:rsid w:val="00F65C07"/>
    <w:rsid w:val="00F674DD"/>
    <w:rsid w:val="00F7043A"/>
    <w:rsid w:val="00F81BF8"/>
    <w:rsid w:val="00F84774"/>
    <w:rsid w:val="00F93BA8"/>
    <w:rsid w:val="00FA0331"/>
    <w:rsid w:val="00FA071A"/>
    <w:rsid w:val="00FA1FEA"/>
    <w:rsid w:val="00FA22A2"/>
    <w:rsid w:val="00FB038F"/>
    <w:rsid w:val="00FB14D7"/>
    <w:rsid w:val="00FB49C2"/>
    <w:rsid w:val="00FB5048"/>
    <w:rsid w:val="00FB6905"/>
    <w:rsid w:val="00FC15CC"/>
    <w:rsid w:val="00FC2623"/>
    <w:rsid w:val="00FC3AFC"/>
    <w:rsid w:val="00FC4004"/>
    <w:rsid w:val="00FC6620"/>
    <w:rsid w:val="00FD2784"/>
    <w:rsid w:val="00FD511C"/>
    <w:rsid w:val="00FD727F"/>
    <w:rsid w:val="00FE03D5"/>
    <w:rsid w:val="00FE50D4"/>
    <w:rsid w:val="00FE5F30"/>
    <w:rsid w:val="00FF106B"/>
    <w:rsid w:val="00FF1646"/>
    <w:rsid w:val="00FF206C"/>
    <w:rsid w:val="00FF4059"/>
    <w:rsid w:val="050C71C5"/>
    <w:rsid w:val="16EE31B2"/>
    <w:rsid w:val="406628BE"/>
    <w:rsid w:val="7041722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cs="Arial" w:asciiTheme="minorHAnsi" w:hAnsiTheme="minorHAnsi" w:eastAsiaTheme="minorEastAsia"/>
      <w:sz w:val="22"/>
      <w:szCs w:val="22"/>
      <w:lang w:val="en-US" w:eastAsia="zh-CN" w:bidi="ar-SA"/>
    </w:rPr>
  </w:style>
  <w:style w:type="paragraph" w:styleId="2">
    <w:name w:val="heading 1"/>
    <w:basedOn w:val="1"/>
    <w:next w:val="1"/>
    <w:link w:val="25"/>
    <w:qFormat/>
    <w:uiPriority w:val="9"/>
    <w:pPr>
      <w:keepNext/>
      <w:keepLines/>
      <w:spacing w:before="240" w:after="0" w:line="259" w:lineRule="auto"/>
      <w:outlineLvl w:val="0"/>
    </w:pPr>
    <w:rPr>
      <w:rFonts w:asciiTheme="majorHAnsi" w:hAnsiTheme="majorHAnsi" w:eastAsiaTheme="majorEastAsia" w:cstheme="majorBidi"/>
      <w:color w:val="376092" w:themeColor="accent1" w:themeShade="BF"/>
      <w:sz w:val="32"/>
      <w:szCs w:val="32"/>
      <w:lang w:eastAsia="en-US"/>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3"/>
    <w:semiHidden/>
    <w:unhideWhenUsed/>
    <w:qFormat/>
    <w:uiPriority w:val="99"/>
    <w:pPr>
      <w:spacing w:after="0" w:line="240" w:lineRule="auto"/>
    </w:pPr>
    <w:rPr>
      <w:rFonts w:ascii="Tahoma" w:hAnsi="Tahoma" w:cs="Tahoma"/>
      <w:sz w:val="16"/>
      <w:szCs w:val="16"/>
    </w:rPr>
  </w:style>
  <w:style w:type="paragraph" w:styleId="5">
    <w:name w:val="footer"/>
    <w:basedOn w:val="1"/>
    <w:link w:val="15"/>
    <w:unhideWhenUsed/>
    <w:qFormat/>
    <w:uiPriority w:val="99"/>
    <w:pPr>
      <w:tabs>
        <w:tab w:val="center" w:pos="4680"/>
        <w:tab w:val="right" w:pos="9360"/>
      </w:tabs>
      <w:spacing w:after="0" w:line="240" w:lineRule="auto"/>
    </w:pPr>
  </w:style>
  <w:style w:type="paragraph" w:styleId="6">
    <w:name w:val="header"/>
    <w:basedOn w:val="1"/>
    <w:link w:val="14"/>
    <w:unhideWhenUsed/>
    <w:qFormat/>
    <w:uiPriority w:val="99"/>
    <w:pPr>
      <w:tabs>
        <w:tab w:val="center" w:pos="4680"/>
        <w:tab w:val="right" w:pos="9360"/>
      </w:tabs>
      <w:spacing w:after="0" w:line="240" w:lineRule="auto"/>
    </w:pPr>
  </w:style>
  <w:style w:type="table" w:styleId="8">
    <w:name w:val="Table Grid"/>
    <w:basedOn w:val="7"/>
    <w:qFormat/>
    <w:uiPriority w:val="59"/>
    <w:pPr>
      <w:spacing w:after="0" w:line="240" w:lineRule="auto"/>
    </w:pPr>
    <w:rPr>
      <w:rFonts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semiHidden/>
    <w:unhideWhenUsed/>
    <w:qFormat/>
    <w:uiPriority w:val="99"/>
    <w:rPr>
      <w:color w:val="800080"/>
      <w:u w:val="single"/>
    </w:rPr>
  </w:style>
  <w:style w:type="character" w:styleId="11">
    <w:name w:val="line number"/>
    <w:basedOn w:val="9"/>
    <w:semiHidden/>
    <w:unhideWhenUsed/>
    <w:qFormat/>
    <w:uiPriority w:val="99"/>
  </w:style>
  <w:style w:type="character" w:styleId="12">
    <w:name w:val="Hyperlink"/>
    <w:basedOn w:val="9"/>
    <w:unhideWhenUsed/>
    <w:qFormat/>
    <w:uiPriority w:val="99"/>
    <w:rPr>
      <w:color w:val="0000FF"/>
      <w:u w:val="single"/>
    </w:rPr>
  </w:style>
  <w:style w:type="character" w:customStyle="1" w:styleId="13">
    <w:name w:val="Balloon Text Char"/>
    <w:basedOn w:val="9"/>
    <w:link w:val="4"/>
    <w:semiHidden/>
    <w:qFormat/>
    <w:uiPriority w:val="99"/>
    <w:rPr>
      <w:rFonts w:ascii="Tahoma" w:hAnsi="Tahoma" w:cs="Tahoma"/>
      <w:sz w:val="16"/>
      <w:szCs w:val="16"/>
    </w:rPr>
  </w:style>
  <w:style w:type="character" w:customStyle="1" w:styleId="14">
    <w:name w:val="Header Char"/>
    <w:basedOn w:val="9"/>
    <w:link w:val="6"/>
    <w:qFormat/>
    <w:uiPriority w:val="99"/>
    <w:rPr>
      <w:rFonts w:cs="Arial"/>
    </w:rPr>
  </w:style>
  <w:style w:type="character" w:customStyle="1" w:styleId="15">
    <w:name w:val="Footer Char"/>
    <w:basedOn w:val="9"/>
    <w:link w:val="5"/>
    <w:qFormat/>
    <w:uiPriority w:val="99"/>
    <w:rPr>
      <w:rFonts w:cs="Arial"/>
    </w:rPr>
  </w:style>
  <w:style w:type="paragraph" w:customStyle="1" w:styleId="16">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GB"/>
    </w:rPr>
  </w:style>
  <w:style w:type="paragraph" w:customStyle="1" w:styleId="17">
    <w:name w:val="xl65"/>
    <w:basedOn w:val="1"/>
    <w:qFormat/>
    <w:uiPriority w:val="0"/>
    <w:pPr>
      <w:spacing w:before="100" w:beforeAutospacing="1" w:after="100" w:afterAutospacing="1" w:line="240" w:lineRule="auto"/>
    </w:pPr>
    <w:rPr>
      <w:rFonts w:ascii="Times New Roman" w:hAnsi="Times New Roman" w:eastAsia="Times New Roman" w:cs="Times New Roman"/>
      <w:b/>
      <w:bCs/>
      <w:sz w:val="24"/>
      <w:szCs w:val="24"/>
      <w:lang w:val="en-GB"/>
    </w:rPr>
  </w:style>
  <w:style w:type="paragraph" w:customStyle="1" w:styleId="18">
    <w:name w:val="xl66"/>
    <w:basedOn w:val="1"/>
    <w:qFormat/>
    <w:uiPriority w:val="0"/>
    <w:pPr>
      <w:spacing w:before="100" w:beforeAutospacing="1" w:after="100" w:afterAutospacing="1" w:line="240" w:lineRule="auto"/>
    </w:pPr>
    <w:rPr>
      <w:rFonts w:ascii="CharisSIL" w:hAnsi="CharisSIL" w:eastAsia="Times New Roman" w:cs="Times New Roman"/>
      <w:color w:val="000000"/>
      <w:sz w:val="24"/>
      <w:szCs w:val="24"/>
      <w:lang w:val="en-GB"/>
    </w:rPr>
  </w:style>
  <w:style w:type="paragraph" w:customStyle="1" w:styleId="19">
    <w:name w:val="xl67"/>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GB"/>
    </w:rPr>
  </w:style>
  <w:style w:type="paragraph" w:customStyle="1" w:styleId="20">
    <w:name w:val="xl68"/>
    <w:basedOn w:val="1"/>
    <w:qFormat/>
    <w:uiPriority w:val="0"/>
    <w:pPr>
      <w:shd w:val="clear" w:color="000000" w:fill="FFFFFF"/>
      <w:spacing w:before="100" w:beforeAutospacing="1" w:after="100" w:afterAutospacing="1" w:line="240" w:lineRule="auto"/>
    </w:pPr>
    <w:rPr>
      <w:rFonts w:ascii="Times New Roman" w:hAnsi="Times New Roman" w:eastAsia="Times New Roman" w:cs="Times New Roman"/>
      <w:sz w:val="24"/>
      <w:szCs w:val="24"/>
      <w:lang w:val="en-GB"/>
    </w:rPr>
  </w:style>
  <w:style w:type="paragraph" w:customStyle="1" w:styleId="21">
    <w:name w:val="xl69"/>
    <w:basedOn w:val="1"/>
    <w:qFormat/>
    <w:uiPriority w:val="0"/>
    <w:pPr>
      <w:spacing w:before="100" w:beforeAutospacing="1" w:after="100" w:afterAutospacing="1" w:line="240" w:lineRule="auto"/>
    </w:pPr>
    <w:rPr>
      <w:rFonts w:ascii="Times New Roman" w:hAnsi="Times New Roman" w:eastAsia="Times New Roman" w:cs="Times New Roman"/>
      <w:sz w:val="20"/>
      <w:szCs w:val="20"/>
      <w:lang w:val="en-GB"/>
    </w:rPr>
  </w:style>
  <w:style w:type="paragraph" w:customStyle="1" w:styleId="22">
    <w:name w:val="xl70"/>
    <w:basedOn w:val="1"/>
    <w:qFormat/>
    <w:uiPriority w:val="0"/>
    <w:pPr>
      <w:spacing w:before="100" w:beforeAutospacing="1" w:after="100" w:afterAutospacing="1" w:line="240" w:lineRule="auto"/>
    </w:pPr>
    <w:rPr>
      <w:rFonts w:ascii="Times New Roman" w:hAnsi="Times New Roman" w:eastAsia="Times New Roman" w:cs="Times New Roman"/>
      <w:color w:val="000000"/>
      <w:sz w:val="20"/>
      <w:szCs w:val="20"/>
      <w:lang w:val="en-GB"/>
    </w:rPr>
  </w:style>
  <w:style w:type="paragraph" w:customStyle="1" w:styleId="23">
    <w:name w:val="xl71"/>
    <w:basedOn w:val="1"/>
    <w:qFormat/>
    <w:uiPriority w:val="0"/>
    <w:pPr>
      <w:spacing w:before="100" w:beforeAutospacing="1" w:after="100" w:afterAutospacing="1" w:line="240" w:lineRule="auto"/>
    </w:pPr>
    <w:rPr>
      <w:rFonts w:ascii="Times New Roman" w:hAnsi="Times New Roman" w:eastAsia="Times New Roman" w:cs="Times New Roman"/>
      <w:color w:val="000000"/>
      <w:sz w:val="24"/>
      <w:szCs w:val="24"/>
      <w:lang w:val="en-GB"/>
    </w:rPr>
  </w:style>
  <w:style w:type="paragraph" w:customStyle="1" w:styleId="24">
    <w:name w:val="xl72"/>
    <w:basedOn w:val="1"/>
    <w:qFormat/>
    <w:uiPriority w:val="0"/>
    <w:pPr>
      <w:spacing w:before="100" w:beforeAutospacing="1" w:after="100" w:afterAutospacing="1" w:line="240" w:lineRule="auto"/>
    </w:pPr>
    <w:rPr>
      <w:rFonts w:ascii="Times New Roman" w:hAnsi="Times New Roman" w:eastAsia="Times New Roman" w:cs="Times New Roman"/>
      <w:color w:val="231F20"/>
      <w:sz w:val="24"/>
      <w:szCs w:val="24"/>
      <w:lang w:val="en-GB"/>
    </w:rPr>
  </w:style>
  <w:style w:type="character" w:customStyle="1" w:styleId="25">
    <w:name w:val="Heading 1 Char"/>
    <w:basedOn w:val="9"/>
    <w:link w:val="2"/>
    <w:qFormat/>
    <w:uiPriority w:val="9"/>
    <w:rPr>
      <w:rFonts w:asciiTheme="majorHAnsi" w:hAnsiTheme="majorHAnsi" w:eastAsiaTheme="majorEastAsia" w:cstheme="majorBidi"/>
      <w:color w:val="376092" w:themeColor="accent1" w:themeShade="BF"/>
      <w:sz w:val="32"/>
      <w:szCs w:val="32"/>
      <w:lang w:eastAsia="en-US"/>
    </w:rPr>
  </w:style>
  <w:style w:type="character" w:styleId="26">
    <w:name w:val="Placeholder Text"/>
    <w:basedOn w:val="9"/>
    <w:semiHidden/>
    <w:qFormat/>
    <w:uiPriority w:val="99"/>
    <w:rPr>
      <w:color w:val="808080"/>
    </w:rPr>
  </w:style>
  <w:style w:type="paragraph" w:styleId="27">
    <w:name w:val="List Paragraph"/>
    <w:basedOn w:val="1"/>
    <w:qFormat/>
    <w:uiPriority w:val="34"/>
    <w:pPr>
      <w:spacing w:after="160" w:line="259" w:lineRule="auto"/>
      <w:ind w:left="720"/>
      <w:contextualSpacing/>
    </w:pPr>
    <w:rPr>
      <w:rFonts w:cstheme="minorBidi"/>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jpe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tiff"/><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tiff"/><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8E1F1-912D-4912-B156-980E5131C303}">
  <ds:schemaRefs/>
</ds:datastoreItem>
</file>

<file path=docProps/app.xml><?xml version="1.0" encoding="utf-8"?>
<Properties xmlns="http://schemas.openxmlformats.org/officeDocument/2006/extended-properties" xmlns:vt="http://schemas.openxmlformats.org/officeDocument/2006/docPropsVTypes">
  <Template>Normal</Template>
  <Pages>45</Pages>
  <Words>788</Words>
  <Characters>4758</Characters>
  <Lines>1506</Lines>
  <Paragraphs>401</Paragraphs>
  <TotalTime>30</TotalTime>
  <ScaleCrop>false</ScaleCrop>
  <LinksUpToDate>false</LinksUpToDate>
  <CharactersWithSpaces>5513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2022-01-03T06:32:00Z</dcterms:created>
  <dc:creator>plankton</dc:creator>
  <cp:lastModifiedBy>plankton</cp:lastModifiedBy>
  <dcterms:modified xsi:type="dcterms:W3CDTF">2025-12-26T07:29:15Z</dcterms:modified>
  <cp:revision>632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0f3e83e8cf5c234240b20f919dfaa203010ba984fcef5823bcc8af8871e0d371</vt:lpwstr>
  </property>
  <property fmtid="{D5CDD505-2E9C-101B-9397-08002B2CF9AE}" pid="3" name="KSOProductBuildVer">
    <vt:lpwstr>2052-12.1.0.24034</vt:lpwstr>
  </property>
  <property fmtid="{D5CDD505-2E9C-101B-9397-08002B2CF9AE}" pid="4" name="ICV">
    <vt:lpwstr>0371FD848C434154BBCC06BDD216B312_13</vt:lpwstr>
  </property>
  <property fmtid="{D5CDD505-2E9C-101B-9397-08002B2CF9AE}" pid="5" name="KSOTemplateDocerSaveRecord">
    <vt:lpwstr>eyJoZGlkIjoiMzEwNTM5NzYwMDRjMzkwZTVkZjY2ODkwMGIxNGU0OTUiLCJ1c2VySWQiOiI0MzUyNTAyNTUifQ==</vt:lpwstr>
  </property>
</Properties>
</file>