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6CC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eastAsiaTheme="majorEastAsia"/>
          <w:b/>
          <w:bCs/>
          <w:sz w:val="24"/>
          <w:szCs w:val="24"/>
          <w:lang w:val="en-US" w:eastAsia="zh-CN"/>
        </w:rPr>
      </w:pPr>
      <w:r>
        <w:rPr>
          <w:rFonts w:hint="eastAsia" w:cs="Times New Roman"/>
          <w:b/>
          <w:bCs/>
          <w:sz w:val="24"/>
          <w:szCs w:val="24"/>
          <w:lang w:val="en-US" w:eastAsia="zh-CN"/>
        </w:rPr>
        <w:t xml:space="preserve">Supplementary File 1: </w:t>
      </w:r>
      <w:r>
        <w:rPr>
          <w:rFonts w:hint="default" w:ascii="Times New Roman" w:hAnsi="Times New Roman" w:cs="Times New Roman"/>
          <w:b w:val="0"/>
          <w:bCs w:val="0"/>
          <w:sz w:val="24"/>
          <w:szCs w:val="24"/>
        </w:rPr>
        <w:t xml:space="preserve">Methods for </w:t>
      </w:r>
      <w:r>
        <w:rPr>
          <w:rFonts w:hint="eastAsia" w:cs="Times New Roman"/>
          <w:b w:val="0"/>
          <w:bCs w:val="0"/>
          <w:sz w:val="24"/>
          <w:szCs w:val="24"/>
          <w:lang w:val="en-US" w:eastAsia="zh-CN"/>
        </w:rPr>
        <w:t>d</w:t>
      </w:r>
      <w:r>
        <w:rPr>
          <w:rFonts w:hint="default" w:ascii="Times New Roman" w:hAnsi="Times New Roman" w:cs="Times New Roman"/>
          <w:b w:val="0"/>
          <w:bCs w:val="0"/>
          <w:sz w:val="24"/>
          <w:szCs w:val="24"/>
        </w:rPr>
        <w:t xml:space="preserve">etermining </w:t>
      </w:r>
      <w:r>
        <w:rPr>
          <w:rFonts w:hint="eastAsia" w:cs="Times New Roman"/>
          <w:b w:val="0"/>
          <w:bCs w:val="0"/>
          <w:sz w:val="24"/>
          <w:szCs w:val="24"/>
          <w:lang w:val="en-US" w:eastAsia="zh-CN"/>
        </w:rPr>
        <w:t>s</w:t>
      </w:r>
      <w:r>
        <w:rPr>
          <w:rFonts w:hint="default" w:ascii="Times New Roman" w:hAnsi="Times New Roman" w:cs="Times New Roman"/>
          <w:b w:val="0"/>
          <w:bCs w:val="0"/>
          <w:sz w:val="24"/>
          <w:szCs w:val="24"/>
        </w:rPr>
        <w:t xml:space="preserve">oil </w:t>
      </w:r>
      <w:r>
        <w:rPr>
          <w:rFonts w:hint="eastAsia" w:cs="Times New Roman"/>
          <w:b w:val="0"/>
          <w:bCs w:val="0"/>
          <w:sz w:val="24"/>
          <w:szCs w:val="24"/>
          <w:lang w:val="en-US" w:eastAsia="zh-CN"/>
        </w:rPr>
        <w:t>p</w:t>
      </w:r>
      <w:r>
        <w:rPr>
          <w:rFonts w:hint="default" w:ascii="Times New Roman" w:hAnsi="Times New Roman" w:cs="Times New Roman"/>
          <w:b w:val="0"/>
          <w:bCs w:val="0"/>
          <w:sz w:val="24"/>
          <w:szCs w:val="24"/>
        </w:rPr>
        <w:t xml:space="preserve">hysicochemical </w:t>
      </w:r>
      <w:r>
        <w:rPr>
          <w:rFonts w:hint="eastAsia" w:cs="Times New Roman"/>
          <w:b w:val="0"/>
          <w:bCs w:val="0"/>
          <w:sz w:val="24"/>
          <w:szCs w:val="24"/>
          <w:lang w:val="en-US" w:eastAsia="zh-CN"/>
        </w:rPr>
        <w:t>p</w:t>
      </w:r>
      <w:r>
        <w:rPr>
          <w:rFonts w:hint="default" w:ascii="Times New Roman" w:hAnsi="Times New Roman" w:cs="Times New Roman"/>
          <w:b w:val="0"/>
          <w:bCs w:val="0"/>
          <w:sz w:val="24"/>
          <w:szCs w:val="24"/>
        </w:rPr>
        <w:t>roperties</w:t>
      </w:r>
      <w:r>
        <w:rPr>
          <w:rFonts w:hint="eastAsia" w:cs="Times New Roman"/>
          <w:b w:val="0"/>
          <w:bCs w:val="0"/>
          <w:sz w:val="24"/>
          <w:szCs w:val="24"/>
          <w:lang w:val="en-US" w:eastAsia="zh-CN"/>
        </w:rPr>
        <w:t>.</w:t>
      </w:r>
    </w:p>
    <w:p w14:paraId="32F83BE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b/>
          <w:bCs/>
          <w:sz w:val="24"/>
          <w:szCs w:val="24"/>
          <w:lang w:val="en-US" w:eastAsia="zh-CN"/>
        </w:rPr>
      </w:pPr>
    </w:p>
    <w:p w14:paraId="57C3611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24"/>
        </w:rPr>
      </w:pPr>
    </w:p>
    <w:p w14:paraId="15E004C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2.3 Methods for Determining Soil Physicochemical Properties</w:t>
      </w:r>
    </w:p>
    <w:p w14:paraId="5E53E94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The methods used for determining the chemical properties of soil adhere to national standards, specifically following the "Methods of Agricultural Chemical Analysis of Soils". The pH value was measured using the potentiometric method (pHS-25 model, soil-to-water ratio of 1g:</w:t>
      </w:r>
      <w:r>
        <w:rPr>
          <w:rFonts w:hint="eastAsia" w:cs="Times New Roman"/>
          <w:lang w:val="en-US" w:eastAsia="zh-CN"/>
        </w:rPr>
        <w:t xml:space="preserve"> </w:t>
      </w:r>
      <w:r>
        <w:rPr>
          <w:rFonts w:hint="default" w:ascii="Times New Roman" w:hAnsi="Times New Roman" w:cs="Times New Roman"/>
        </w:rPr>
        <w:t>2.5mL). Soil organic carbon was determined using the potassium dichromate titration method (with external heating), which involves the thermal oxidation of organic matter when potassium dichromate is mixed with concentrated sulfuric acid (LY/T 1237-1999). Total nitrogen in the soil was measured using an elemental analyzer method, where soil samples were mixed with sulfuric acid and heated to dissolve (LY/T 1228-2015). Total phosphorus was determined using the HClO</w:t>
      </w:r>
      <w:r>
        <w:rPr>
          <w:rFonts w:hint="default" w:ascii="Times New Roman" w:hAnsi="Times New Roman" w:cs="Times New Roman"/>
          <w:vertAlign w:val="subscript"/>
        </w:rPr>
        <w:t>4</w:t>
      </w:r>
      <w:r>
        <w:rPr>
          <w:rFonts w:hint="default" w:ascii="Times New Roman" w:hAnsi="Times New Roman" w:cs="Times New Roman"/>
        </w:rPr>
        <w:t>-H</w:t>
      </w:r>
      <w:r>
        <w:rPr>
          <w:rFonts w:hint="default" w:ascii="Times New Roman" w:hAnsi="Times New Roman" w:cs="Times New Roman"/>
          <w:vertAlign w:val="subscript"/>
        </w:rPr>
        <w:t>2</w:t>
      </w:r>
      <w:r>
        <w:rPr>
          <w:rFonts w:hint="default" w:ascii="Times New Roman" w:hAnsi="Times New Roman" w:cs="Times New Roman"/>
        </w:rPr>
        <w:t>SO</w:t>
      </w:r>
      <w:r>
        <w:rPr>
          <w:rFonts w:hint="default" w:ascii="Times New Roman" w:hAnsi="Times New Roman" w:cs="Times New Roman"/>
          <w:vertAlign w:val="subscript"/>
        </w:rPr>
        <w:t>4</w:t>
      </w:r>
      <w:r>
        <w:rPr>
          <w:rFonts w:hint="default" w:ascii="Times New Roman" w:hAnsi="Times New Roman" w:cs="Times New Roman"/>
        </w:rPr>
        <w:t xml:space="preserve"> molybdenum-antimony colorimetric method. Total potassium was measured via ammonium acetate extraction followed by inductively coupled plasma emission spectrometry (LY/T 1232-2015). Nitrate and ammonium nitrogen were extracted using 2 mol/L KCl and measured using the indophenol colorimetric method. Available phosphorus was determined using sodium bicarbonate (0.5 mol/L) extraction followed by the molybdenum-antimony colorimetric method. Soil available potassium was assessed using neutral acetate extraction (1 mol/L) and flame photometry.</w:t>
      </w:r>
    </w:p>
    <w:p w14:paraId="5F10FD3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rPr>
      </w:pPr>
      <w:r>
        <w:rPr>
          <w:rFonts w:hint="default" w:ascii="Times New Roman" w:hAnsi="Times New Roman" w:cs="Times New Roman"/>
          <w:b/>
          <w:bCs/>
        </w:rPr>
        <w:t>2.3.1 Measurement of Soil pH</w:t>
      </w:r>
    </w:p>
    <w:p w14:paraId="6D0EA9A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 10 g sample of air-dried soil, passed through a 2 mm sieve, was placed in a 50 mL beaker. Then, 25 mL of CO₂-free ultrapure water or the corresponding extraction solution (1 mol/L KCl for acidic soils, 0.01 mol/L CaCl₂ for neutral and alkaline soils) was added. A magnetic stirrer was included, and the mixture was stirred for 1 minute and allowed to stand for 30 minutes. For samples from the litter or peat layers, 5 g was mixed with 50 mL of extraction solution. Standard samples and reagent blanks were prepared simultaneously.</w:t>
      </w:r>
    </w:p>
    <w:p w14:paraId="476C4DC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The pH electrode was preheated for 30 minutes and calibrated using standard buffer solutions at pH 4.00, 6.86, and 9.18, recording the slope (which should be between 90-110%) and the zero potential. After standing, the electrode was inserted into the supernatant to measure the pH value, and the results were recorded.</w:t>
      </w:r>
    </w:p>
    <w:p w14:paraId="653F406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rPr>
      </w:pPr>
      <w:r>
        <w:rPr>
          <w:rFonts w:hint="default" w:ascii="Times New Roman" w:hAnsi="Times New Roman" w:cs="Times New Roman"/>
          <w:b/>
          <w:bCs/>
        </w:rPr>
        <w:t>2.3.2 Determination of Soil Organic Carbon</w:t>
      </w:r>
    </w:p>
    <w:p w14:paraId="703597A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Weigh 0.1–0.5 g (to four decimal places) of air-dried soil samples (sieved through a 0.149 mm mesh) that have been dried at 65 °C to a constant weight, and place them into a hard glass test tube. Add 5 mL of 0.8000 mol/L 1/6 K₂Cr₂O₇ solution and 5 mL of concentrated sulfuric acid, and mix thoroughly. Cover the tube with a small funnel. Heat the sample in an oil bath at 170–180 °C for 5 minutes, then remove and allow to cool. If the solution appears green, this indicates insufficient oxidant, and the procedure should be repeated with a reduced sample size.</w:t>
      </w:r>
    </w:p>
    <w:p w14:paraId="1D09552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After the reaction, if the solution is orange-yellow or yellow-green, transfer it to a 60–80 mL volumetric flask after cooling. Add 3-4 drops of phenanthroline indicator and titrate with 0.2 mol/L FeSO₄ until a brick-red color is achieved. Record the volume used (V). A blank control should be measured in parallel (V₀) to calculate the organic matter content.</w:t>
      </w:r>
    </w:p>
    <w:p w14:paraId="797F37E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rPr>
      </w:pPr>
      <w:r>
        <w:rPr>
          <w:rFonts w:hint="default" w:ascii="Times New Roman" w:hAnsi="Times New Roman" w:cs="Times New Roman"/>
          <w:b/>
          <w:bCs/>
        </w:rPr>
        <w:t>2.3.3 Determination of Total Nitrogen in Soil</w:t>
      </w:r>
    </w:p>
    <w:p w14:paraId="0176056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Total nitrogen content in the soil was determined using an elemental analyzer (Elementar Vario MAX CN). The sample was combusted at high temperatures in the presence of a catalyst, converting nitrogen into NOₓ, which was then reduced to N₂. The total nitrogen content was calculated based on measurements from a thermal conductivity detector.</w:t>
      </w:r>
    </w:p>
    <w:p w14:paraId="100E55F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Weigh 1–2 g of air-dried soil samples that have been sieved through a 0.149 mm mesh, and dry them at 65 °C for 24 hours. After cooling, weigh 0.8 g (to two decimal places) and place it in a crucible for analysis. The total nitrogen content (Wₙ) is calculated based on the signal measured by the instrument and the moisture content conversion factor (k₁).</w:t>
      </w:r>
    </w:p>
    <w:p w14:paraId="44E0ECE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rPr>
      </w:pPr>
      <w:r>
        <w:rPr>
          <w:rFonts w:hint="default" w:ascii="Times New Roman" w:hAnsi="Times New Roman" w:cs="Times New Roman"/>
          <w:b/>
          <w:bCs/>
        </w:rPr>
        <w:t>2.3.4 Determination of Total Phosphorus, Potassium, and Sulfur in Soil</w:t>
      </w:r>
    </w:p>
    <w:p w14:paraId="5C9E232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Total phosphorus content in the soil was determined using the HF–HClO₄ digestion method. Hydrofluoric acid decomposes silicates to form volatile silicon fluoride, while perchloric acid acts as a strong oxidizing agent to decompose organic matter and remove excess HF.</w:t>
      </w:r>
    </w:p>
    <w:p w14:paraId="2E3EE24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Weigh 0.1 g (to four decimal places) of air-dried soil samples that have been sieved through a 0.149 mm mesh and place it in a polytetrafluoroethylene digestion tube. Sequentially add 3 mL of nitric acid, 1 mL of perchloric acid, and 5 mL of hydrofluoric acid, and heat on a graphite hot plate to 200 °C until nearly dry. Repeat the addition of HF and HClO₄ twice to continue digestion.</w:t>
      </w:r>
    </w:p>
    <w:p w14:paraId="36759E7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After cooling, add 5 mL of 3 mol/L hydrochloric acid and heat for 3 minutes at residual temperature. Allow to cool and dilute to a final volume of 50 mL, mixing thoroughly. The phosphorus content in the solution is then determined using ICP-AES, and relevant indicators are calculated accordingly.</w:t>
      </w:r>
    </w:p>
    <w:p w14:paraId="5F14115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rPr>
      </w:pPr>
      <w:r>
        <w:rPr>
          <w:rFonts w:hint="default" w:ascii="Times New Roman" w:hAnsi="Times New Roman" w:cs="Times New Roman"/>
          <w:b/>
          <w:bCs/>
        </w:rPr>
        <w:t>2.3.5 Determination of Ammonium Nitrogen and Nitrate Nitrogen in Soil</w:t>
      </w:r>
    </w:p>
    <w:p w14:paraId="2C649B9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rPr>
      </w:pPr>
      <w:r>
        <w:rPr>
          <w:rFonts w:hint="default" w:ascii="Times New Roman" w:hAnsi="Times New Roman" w:cs="Times New Roman"/>
          <w:b w:val="0"/>
          <w:bCs w:val="0"/>
        </w:rPr>
        <w:t>Principle of Measurement:</w:t>
      </w:r>
    </w:p>
    <w:p w14:paraId="3764D25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Nitrate Nitrogen (NO₃⁻-N): Soil samples are extracted using a 2 mol/L KCl solution. Under alkaline conditions, nitrate nitrogen is reduced to nitrite nitrogen (NO₂⁻-N) using hydrazine sulfate and copper as catalysts. The nitrite then reacts with sulfanilamide to form a diazonium salt, which subsequently couples with N-(1-naphthyl)ethylenediamine to produce a pink compound. The absorbance is measured at a wavelength of 550 nm.</w:t>
      </w:r>
    </w:p>
    <w:p w14:paraId="45302F0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Ammonium Nitrogen (NH₄⁺-N): Following extraction with 2 mol/L KCl, ammonium nitrogen reacts with sodium salicylate and sodium dichloroisocyanurate in the presence of sodium nitroprusside to form a blue compound. The absorbance is measured at a wavelength of 660 nm.</w:t>
      </w:r>
    </w:p>
    <w:p w14:paraId="2A91386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Procedure:</w:t>
      </w:r>
    </w:p>
    <w:p w14:paraId="2EDB18A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Weigh 10.00 g of fresh soil sample that has passed through a 2 mm sieve and add it to 50 mL of 2 mol/L KCl solution. Shake the mixture for 1 hour, then filter to obtain the solution for analysis. If the analysis cannot be performed within 24 hours, the sample must be stored at low temperature (4 °C).</w:t>
      </w:r>
    </w:p>
    <w:p w14:paraId="55F54C3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Preparation of Standard Solutions and Calibration Curve:</w:t>
      </w:r>
    </w:p>
    <w:p w14:paraId="397DC08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Mixed Standard Stock Solution (100 mg/L): Combine 5 mL each of 1000 mg/L NO₃⁻-N and NH₄⁺-N standard solutions in a 100 mL volumetric flask, then dilute to volume with KCl extract and store at 4 °C.</w:t>
      </w:r>
    </w:p>
    <w:p w14:paraId="288D444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Standard Curve:</w:t>
      </w:r>
      <w:r>
        <w:rPr>
          <w:rFonts w:hint="eastAsia" w:cs="Times New Roman"/>
          <w:lang w:val="en-US" w:eastAsia="zh-CN"/>
        </w:rPr>
        <w:t xml:space="preserve"> </w:t>
      </w:r>
      <w:r>
        <w:rPr>
          <w:rFonts w:hint="default" w:ascii="Times New Roman" w:hAnsi="Times New Roman" w:cs="Times New Roman"/>
        </w:rPr>
        <w:t>Transfer different volumes of the stock solution using a 5 mL pipette into a 50 mL volumetric flask, and dilute to volume with KCl extract. Mix thoroughly.</w:t>
      </w:r>
    </w:p>
    <w:p w14:paraId="79DC2DC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The prepared reagents are then analyzed using the appropriate apparatus to determine the concentrations of nitrate nitrogen and ammonium nitrogen in the extract, and calculate the contents of nitrate nitrogen and ammonium nitrogen in the soil samples.</w:t>
      </w:r>
    </w:p>
    <w:p w14:paraId="005A0B1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rPr>
      </w:pPr>
      <w:r>
        <w:rPr>
          <w:rFonts w:hint="default" w:ascii="Times New Roman" w:hAnsi="Times New Roman" w:cs="Times New Roman"/>
          <w:b/>
          <w:bCs/>
        </w:rPr>
        <w:t>2.3.6 Determination of Available Phosphorus in Soil</w:t>
      </w:r>
    </w:p>
    <w:p w14:paraId="70B72A0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Principle of Determination:</w:t>
      </w:r>
    </w:p>
    <w:p w14:paraId="5749A50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Acidic Soils:</w:t>
      </w:r>
      <w:r>
        <w:rPr>
          <w:rFonts w:hint="eastAsia" w:cs="Times New Roman"/>
          <w:lang w:val="en-US" w:eastAsia="zh-CN"/>
        </w:rPr>
        <w:t xml:space="preserve"> </w:t>
      </w:r>
      <w:r>
        <w:rPr>
          <w:rFonts w:hint="default" w:ascii="Times New Roman" w:hAnsi="Times New Roman" w:cs="Times New Roman"/>
        </w:rPr>
        <w:t>Available phosphorus is extracted using ammonium fluoride and hydrochloric acid. In this process, phosphorus is released through the complexation of fluoride ions (F⁻) with iron ions (Fe³⁺) and aluminum ions (Al³⁺). The concentration of available phosphorus is subsequently measured using the molybdenum-antimony colorimetric method at a wavelength of 660 nm.</w:t>
      </w:r>
    </w:p>
    <w:p w14:paraId="43ED7E4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Neutral or Alkaline Soils: Extraction is performed using a 0.5 mol/L sodium bicarbonate solution (pH 8.5), which precipitates calcium ions (Ca²⁺) as calcium carbonate and releases calcium-bound phosphorus (Ca-P). Simultaneously, iron-bound phosphorus (Fe-P) and aluminum-bound phosphorus (Al-P) are hydrolyzed, releasing phosphorus.</w:t>
      </w:r>
    </w:p>
    <w:p w14:paraId="5168B83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Procedure:</w:t>
      </w:r>
    </w:p>
    <w:p w14:paraId="75B3C65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For Acidic Soils:</w:t>
      </w:r>
      <w:r>
        <w:rPr>
          <w:rFonts w:hint="eastAsia" w:cs="Times New Roman"/>
          <w:lang w:val="en-US" w:eastAsia="zh-CN"/>
        </w:rPr>
        <w:t xml:space="preserve"> </w:t>
      </w:r>
      <w:r>
        <w:rPr>
          <w:rFonts w:hint="default" w:ascii="Times New Roman" w:hAnsi="Times New Roman" w:cs="Times New Roman"/>
        </w:rPr>
        <w:t>Weigh 5.00 g of air-dried soil and add 50 mL of the ammonium fluoride-hydrochloric acid extraction solution. Shake at 20–25 °C and 160 r/min for 5 minutes, then filter the mixture. If the filtrate is too dark, decolorize it using phosphorus-free activated carbon.</w:t>
      </w:r>
    </w:p>
    <w:p w14:paraId="1655486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For Neutral/Alkaline Soils:</w:t>
      </w:r>
      <w:r>
        <w:rPr>
          <w:rFonts w:hint="eastAsia" w:cs="Times New Roman"/>
          <w:lang w:val="en-US" w:eastAsia="zh-CN"/>
        </w:rPr>
        <w:t xml:space="preserve"> </w:t>
      </w:r>
      <w:r>
        <w:rPr>
          <w:rFonts w:hint="default" w:ascii="Times New Roman" w:hAnsi="Times New Roman" w:cs="Times New Roman"/>
        </w:rPr>
        <w:t>Weigh 2.50 g of air-dried soil and add 50 mL of 0.5 mol/L sodium bicarbonate solution. Shake at 20–25 °C for 30 minutes, then filter.</w:t>
      </w:r>
    </w:p>
    <w:p w14:paraId="75A81A0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Preparation of Standard Solutions:</w:t>
      </w:r>
    </w:p>
    <w:p w14:paraId="5F86EEF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Phosphorus Standard Stock Solution (100 mg/L): Transfer 5 mL of a 1000 mg/L phosphorus single-element standard solution into a 100 mL volumetric flask and dilute to volume with the corresponding extraction solution. Store at 4 °C.</w:t>
      </w:r>
    </w:p>
    <w:p w14:paraId="0465A91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Standard Curve:</w:t>
      </w:r>
    </w:p>
    <w:p w14:paraId="6D245B0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Prepare different concentrations of standard solutions by pipetting 5.00 mL into 50 mL volumetric flasks and diluting with the appropriate extraction solution. Mix thoroughly and use these solutions to construct a standard curve.</w:t>
      </w:r>
    </w:p>
    <w:p w14:paraId="0896A85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After preparing the corresponding reagents for soil samples with different pH levels, proceed with the instrumental analysis and calculate the results.</w:t>
      </w:r>
    </w:p>
    <w:p w14:paraId="06892D5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rPr>
      </w:pPr>
      <w:r>
        <w:rPr>
          <w:rFonts w:hint="default" w:ascii="Times New Roman" w:hAnsi="Times New Roman" w:cs="Times New Roman"/>
          <w:b/>
          <w:bCs/>
        </w:rPr>
        <w:t>2.3.7 Determination of Soil Available Potassium</w:t>
      </w:r>
    </w:p>
    <w:p w14:paraId="05C18A7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Principle of the Method:</w:t>
      </w:r>
    </w:p>
    <w:p w14:paraId="009002A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 1 mol/L neutral ammonium acetate solution is used as an extracting agent to facilitate the exchange of potassium ions from the surface of soil colloids with ammonium ions in the solution, while also extracting water-soluble potassium. The potassium concentration in the extract is determined using Inductively Coupled Plasma Optical Emission Spectroscopy (ICP-OES).</w:t>
      </w:r>
    </w:p>
    <w:p w14:paraId="6647E64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Procedure:</w:t>
      </w:r>
    </w:p>
    <w:p w14:paraId="77B857E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Weigh 5.00 g of air-dried soil (sieved through a 2 mm mesh) into an extraction bottle, and add 50 mL of 1 mol/L ammonium acetate solution. Seal the bottle and shake well. Under conditions of 20–25 °C, oscillate the mixture at 150–180 r/min for 30 minutes. Immediately filter the mixture to prevent potassium migration from minerals, which could lead to overestimation. Collect the filtrate and analyze it directly using ICP-OES, while simultaneously setting up a blank and standard samples for result calculations.</w:t>
      </w:r>
    </w:p>
    <w:p w14:paraId="3CE47C1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340DAF3D">
      <w:pPr>
        <w:keepNext w:val="0"/>
        <w:keepLines w:val="0"/>
        <w:pageBreakBefore/>
        <w:widowControl w:val="0"/>
        <w:pBdr>
          <w:left w:val="none" w:color="auto" w:sz="0" w:space="4"/>
          <w:bottom w:val="none" w:color="auto" w:sz="0" w:space="1"/>
          <w:right w:val="none" w:color="auto" w:sz="0" w:space="4"/>
        </w:pBdr>
        <w:kinsoku/>
        <w:wordWrap/>
        <w:overflowPunct/>
        <w:topLinePunct w:val="0"/>
        <w:autoSpaceDE/>
        <w:autoSpaceDN/>
        <w:bidi w:val="0"/>
        <w:adjustRightInd/>
        <w:snapToGrid/>
        <w:jc w:val="left"/>
        <w:textAlignment w:val="auto"/>
        <w:rPr>
          <w:rFonts w:cs="Times New Roman"/>
          <w:color w:val="000000" w:themeColor="text1"/>
          <w:sz w:val="21"/>
          <w:szCs w:val="21"/>
          <w14:textFill>
            <w14:solidFill>
              <w14:schemeClr w14:val="tx1"/>
            </w14:solidFill>
          </w14:textFill>
        </w:rPr>
      </w:pPr>
      <w:r>
        <w:rPr>
          <w:rFonts w:hint="eastAsia" w:cs="Times New Roman"/>
          <w:b/>
          <w:bCs/>
          <w:sz w:val="24"/>
          <w:szCs w:val="24"/>
          <w:lang w:val="en-US" w:eastAsia="zh-CN"/>
        </w:rPr>
        <w:t xml:space="preserve">Supplementary </w:t>
      </w:r>
      <w:r>
        <w:rPr>
          <w:rFonts w:cs="Times New Roman"/>
          <w:b/>
          <w:bCs/>
          <w:color w:val="000000" w:themeColor="text1"/>
          <w:sz w:val="21"/>
          <w:szCs w:val="21"/>
          <w14:textFill>
            <w14:solidFill>
              <w14:schemeClr w14:val="tx1"/>
            </w14:solidFill>
          </w14:textFill>
        </w:rPr>
        <w:t xml:space="preserve">Table </w:t>
      </w:r>
      <w:r>
        <w:rPr>
          <w:rFonts w:hint="eastAsia" w:cs="Times New Roman"/>
          <w:b/>
          <w:bCs/>
          <w:color w:val="000000" w:themeColor="text1"/>
          <w:sz w:val="21"/>
          <w:szCs w:val="21"/>
          <w:lang w:val="en-US" w:eastAsia="zh-CN"/>
          <w14:textFill>
            <w14:solidFill>
              <w14:schemeClr w14:val="tx1"/>
            </w14:solidFill>
          </w14:textFill>
        </w:rPr>
        <w:t>S</w:t>
      </w:r>
      <w:r>
        <w:rPr>
          <w:rFonts w:cs="Times New Roman"/>
          <w:b/>
          <w:bCs/>
          <w:color w:val="000000" w:themeColor="text1"/>
          <w:sz w:val="21"/>
          <w:szCs w:val="21"/>
          <w14:textFill>
            <w14:solidFill>
              <w14:schemeClr w14:val="tx1"/>
            </w14:solidFill>
          </w14:textFill>
        </w:rPr>
        <w:t xml:space="preserve">1.  </w:t>
      </w:r>
      <w:r>
        <w:rPr>
          <w:rFonts w:cs="Times New Roman"/>
          <w:color w:val="000000" w:themeColor="text1"/>
          <w:sz w:val="21"/>
          <w:szCs w:val="21"/>
          <w14:textFill>
            <w14:solidFill>
              <w14:schemeClr w14:val="tx1"/>
            </w14:solidFill>
          </w14:textFill>
        </w:rPr>
        <w:t>Basic components of wastewater from natural rubber production for irrigation during dry season.</w:t>
      </w:r>
    </w:p>
    <w:tbl>
      <w:tblPr>
        <w:tblStyle w:val="5"/>
        <w:tblW w:w="7494" w:type="dxa"/>
        <w:jc w:val="center"/>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2403"/>
        <w:gridCol w:w="1203"/>
        <w:gridCol w:w="1043"/>
        <w:gridCol w:w="1061"/>
        <w:gridCol w:w="803"/>
        <w:gridCol w:w="981"/>
      </w:tblGrid>
      <w:tr w14:paraId="0AA545E0">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706" w:hRule="exact"/>
          <w:jc w:val="center"/>
        </w:trPr>
        <w:tc>
          <w:tcPr>
            <w:tcW w:w="2403" w:type="dxa"/>
            <w:vAlign w:val="center"/>
          </w:tcPr>
          <w:p w14:paraId="0C0880F8">
            <w:pPr>
              <w:pBdr>
                <w:top w:val="none" w:color="auto" w:sz="0" w:space="1"/>
                <w:left w:val="none" w:color="auto" w:sz="0" w:space="4"/>
                <w:bottom w:val="none" w:color="auto" w:sz="0" w:space="1"/>
                <w:right w:val="none" w:color="auto" w:sz="0" w:space="4"/>
              </w:pBd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P</w:t>
            </w:r>
            <w:r>
              <w:rPr>
                <w:rFonts w:cs="Times New Roman"/>
                <w:color w:val="000000" w:themeColor="text1"/>
                <w:sz w:val="21"/>
                <w:szCs w:val="21"/>
                <w14:textFill>
                  <w14:solidFill>
                    <w14:schemeClr w14:val="tx1"/>
                  </w14:solidFill>
                </w14:textFill>
              </w:rPr>
              <w:t>arameter</w:t>
            </w:r>
            <w:r>
              <w:rPr>
                <w:rFonts w:hint="eastAsia" w:cs="Times New Roman"/>
                <w:color w:val="000000" w:themeColor="text1"/>
                <w:sz w:val="21"/>
                <w:szCs w:val="21"/>
                <w:lang w:val="en-US" w:eastAsia="zh-CN"/>
                <w14:textFill>
                  <w14:solidFill>
                    <w14:schemeClr w14:val="tx1"/>
                  </w14:solidFill>
                </w14:textFill>
              </w:rPr>
              <w:t>s</w:t>
            </w:r>
            <w:r>
              <w:rPr>
                <w:rFonts w:cs="Times New Roman"/>
                <w:color w:val="000000" w:themeColor="text1"/>
                <w:sz w:val="21"/>
                <w:szCs w:val="21"/>
                <w14:textFill>
                  <w14:solidFill>
                    <w14:schemeClr w14:val="tx1"/>
                  </w14:solidFill>
                </w14:textFill>
              </w:rPr>
              <w:t xml:space="preserve"> </w:t>
            </w:r>
          </w:p>
        </w:tc>
        <w:tc>
          <w:tcPr>
            <w:tcW w:w="1203" w:type="dxa"/>
            <w:vAlign w:val="center"/>
          </w:tcPr>
          <w:p w14:paraId="3D485A59">
            <w:pPr>
              <w:pBdr>
                <w:top w:val="none" w:color="auto" w:sz="0" w:space="1"/>
                <w:left w:val="none" w:color="auto" w:sz="0" w:space="4"/>
                <w:bottom w:val="none" w:color="auto" w:sz="0" w:space="1"/>
                <w:right w:val="none" w:color="auto" w:sz="0" w:space="4"/>
              </w:pBdr>
              <w:spacing w:line="480" w:lineRule="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TN</w:t>
            </w:r>
          </w:p>
          <w:p w14:paraId="04D50536"/>
          <w:p w14:paraId="61ADA5B9">
            <w:pPr>
              <w:pBdr>
                <w:top w:val="none" w:color="auto" w:sz="0" w:space="1"/>
                <w:left w:val="none" w:color="auto" w:sz="0" w:space="4"/>
                <w:bottom w:val="none" w:color="auto" w:sz="0" w:space="1"/>
                <w:right w:val="none" w:color="auto" w:sz="0" w:space="4"/>
              </w:pBdr>
              <w:spacing w:line="480" w:lineRule="auto"/>
              <w:rPr>
                <w:rFonts w:cs="Times New Roman"/>
                <w:color w:val="000000" w:themeColor="text1"/>
                <w:sz w:val="21"/>
                <w:szCs w:val="21"/>
                <w14:textFill>
                  <w14:solidFill>
                    <w14:schemeClr w14:val="tx1"/>
                  </w14:solidFill>
                </w14:textFill>
              </w:rPr>
            </w:pPr>
          </w:p>
        </w:tc>
        <w:tc>
          <w:tcPr>
            <w:tcW w:w="1043" w:type="dxa"/>
            <w:vAlign w:val="center"/>
          </w:tcPr>
          <w:p w14:paraId="7B35A6BB">
            <w:pPr>
              <w:pBdr>
                <w:top w:val="none" w:color="auto" w:sz="0" w:space="1"/>
                <w:left w:val="none" w:color="auto" w:sz="0" w:space="4"/>
                <w:bottom w:val="none" w:color="auto" w:sz="0" w:space="1"/>
                <w:right w:val="none" w:color="auto" w:sz="0" w:space="4"/>
              </w:pBdr>
              <w:spacing w:line="480" w:lineRule="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TP</w:t>
            </w:r>
          </w:p>
          <w:p w14:paraId="40209031"/>
          <w:p w14:paraId="08EA45C8">
            <w:pPr>
              <w:pBdr>
                <w:top w:val="none" w:color="auto" w:sz="0" w:space="1"/>
                <w:left w:val="none" w:color="auto" w:sz="0" w:space="4"/>
                <w:bottom w:val="none" w:color="auto" w:sz="0" w:space="1"/>
                <w:right w:val="none" w:color="auto" w:sz="0" w:space="4"/>
              </w:pBdr>
              <w:spacing w:line="480" w:lineRule="auto"/>
              <w:rPr>
                <w:rFonts w:cs="Times New Roman"/>
                <w:color w:val="000000" w:themeColor="text1"/>
                <w:sz w:val="21"/>
                <w:szCs w:val="21"/>
                <w14:textFill>
                  <w14:solidFill>
                    <w14:schemeClr w14:val="tx1"/>
                  </w14:solidFill>
                </w14:textFill>
              </w:rPr>
            </w:pPr>
          </w:p>
        </w:tc>
        <w:tc>
          <w:tcPr>
            <w:tcW w:w="1061" w:type="dxa"/>
            <w:vAlign w:val="center"/>
          </w:tcPr>
          <w:p w14:paraId="3C4884DD">
            <w:pPr>
              <w:pBdr>
                <w:top w:val="none" w:color="auto" w:sz="0" w:space="1"/>
                <w:left w:val="none" w:color="auto" w:sz="0" w:space="4"/>
                <w:bottom w:val="none" w:color="auto" w:sz="0" w:space="1"/>
                <w:right w:val="none" w:color="auto" w:sz="0" w:space="4"/>
              </w:pBdr>
              <w:spacing w:line="480" w:lineRule="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K</w:t>
            </w:r>
          </w:p>
          <w:p w14:paraId="25A833F1"/>
          <w:p w14:paraId="38CFD4C4">
            <w:pPr>
              <w:pBdr>
                <w:top w:val="none" w:color="auto" w:sz="0" w:space="1"/>
                <w:left w:val="none" w:color="auto" w:sz="0" w:space="4"/>
                <w:bottom w:val="none" w:color="auto" w:sz="0" w:space="1"/>
                <w:right w:val="none" w:color="auto" w:sz="0" w:space="4"/>
              </w:pBdr>
              <w:spacing w:line="480" w:lineRule="auto"/>
              <w:rPr>
                <w:rFonts w:cs="Times New Roman"/>
                <w:color w:val="000000" w:themeColor="text1"/>
                <w:sz w:val="21"/>
                <w:szCs w:val="21"/>
                <w14:textFill>
                  <w14:solidFill>
                    <w14:schemeClr w14:val="tx1"/>
                  </w14:solidFill>
                </w14:textFill>
              </w:rPr>
            </w:pPr>
          </w:p>
        </w:tc>
        <w:tc>
          <w:tcPr>
            <w:tcW w:w="803" w:type="dxa"/>
            <w:vAlign w:val="center"/>
          </w:tcPr>
          <w:p w14:paraId="222AC15A">
            <w:pPr>
              <w:pBdr>
                <w:top w:val="none" w:color="auto" w:sz="0" w:space="1"/>
                <w:left w:val="none" w:color="auto" w:sz="0" w:space="4"/>
                <w:bottom w:val="none" w:color="auto" w:sz="0" w:space="1"/>
                <w:right w:val="none" w:color="auto" w:sz="0" w:space="4"/>
              </w:pBdr>
              <w:spacing w:line="480" w:lineRule="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SO</w:t>
            </w:r>
            <w:r>
              <w:rPr>
                <w:rFonts w:cs="Times New Roman"/>
                <w:color w:val="000000" w:themeColor="text1"/>
                <w:sz w:val="21"/>
                <w:szCs w:val="21"/>
                <w:vertAlign w:val="subscript"/>
                <w14:textFill>
                  <w14:solidFill>
                    <w14:schemeClr w14:val="tx1"/>
                  </w14:solidFill>
                </w14:textFill>
              </w:rPr>
              <w:t>4</w:t>
            </w:r>
            <w:r>
              <w:rPr>
                <w:rFonts w:cs="Times New Roman"/>
                <w:color w:val="000000" w:themeColor="text1"/>
                <w:sz w:val="21"/>
                <w:szCs w:val="21"/>
                <w:vertAlign w:val="superscript"/>
                <w14:textFill>
                  <w14:solidFill>
                    <w14:schemeClr w14:val="tx1"/>
                  </w14:solidFill>
                </w14:textFill>
              </w:rPr>
              <w:t>2-</w:t>
            </w:r>
          </w:p>
          <w:p w14:paraId="357D76AB">
            <w:pPr>
              <w:pBdr>
                <w:top w:val="none" w:color="auto" w:sz="0" w:space="1"/>
                <w:left w:val="none" w:color="auto" w:sz="0" w:space="4"/>
                <w:bottom w:val="none" w:color="auto" w:sz="0" w:space="1"/>
                <w:right w:val="none" w:color="auto" w:sz="0" w:space="4"/>
              </w:pBdr>
              <w:spacing w:line="480" w:lineRule="auto"/>
              <w:rPr>
                <w:rFonts w:cs="Times New Roman"/>
                <w:color w:val="000000" w:themeColor="text1"/>
                <w:sz w:val="21"/>
                <w:szCs w:val="21"/>
                <w14:textFill>
                  <w14:solidFill>
                    <w14:schemeClr w14:val="tx1"/>
                  </w14:solidFill>
                </w14:textFill>
              </w:rPr>
            </w:pPr>
          </w:p>
          <w:p w14:paraId="07334E76">
            <w:pPr>
              <w:pBdr>
                <w:top w:val="none" w:color="auto" w:sz="0" w:space="1"/>
                <w:left w:val="none" w:color="auto" w:sz="0" w:space="4"/>
                <w:bottom w:val="none" w:color="auto" w:sz="0" w:space="1"/>
                <w:right w:val="none" w:color="auto" w:sz="0" w:space="4"/>
              </w:pBdr>
              <w:spacing w:line="480" w:lineRule="auto"/>
              <w:rPr>
                <w:rFonts w:cs="Times New Roman"/>
                <w:color w:val="000000" w:themeColor="text1"/>
                <w:sz w:val="21"/>
                <w:szCs w:val="21"/>
                <w14:textFill>
                  <w14:solidFill>
                    <w14:schemeClr w14:val="tx1"/>
                  </w14:solidFill>
                </w14:textFill>
              </w:rPr>
            </w:pPr>
          </w:p>
        </w:tc>
        <w:tc>
          <w:tcPr>
            <w:tcW w:w="981" w:type="dxa"/>
            <w:vAlign w:val="center"/>
          </w:tcPr>
          <w:p w14:paraId="5D86778D">
            <w:pPr>
              <w:pBdr>
                <w:top w:val="none" w:color="auto" w:sz="0" w:space="1"/>
                <w:left w:val="none" w:color="auto" w:sz="0" w:space="4"/>
                <w:bottom w:val="none" w:color="auto" w:sz="0" w:space="1"/>
                <w:right w:val="none" w:color="auto" w:sz="0" w:space="4"/>
              </w:pBdr>
              <w:spacing w:line="480" w:lineRule="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pH</w:t>
            </w:r>
          </w:p>
          <w:p w14:paraId="4976B30B">
            <w:pPr>
              <w:pBdr>
                <w:top w:val="none" w:color="auto" w:sz="0" w:space="1"/>
                <w:left w:val="none" w:color="auto" w:sz="0" w:space="4"/>
                <w:bottom w:val="none" w:color="auto" w:sz="0" w:space="1"/>
                <w:right w:val="none" w:color="auto" w:sz="0" w:space="4"/>
              </w:pBdr>
              <w:spacing w:line="480" w:lineRule="auto"/>
              <w:rPr>
                <w:rFonts w:cs="Times New Roman"/>
                <w:color w:val="000000" w:themeColor="text1"/>
                <w:sz w:val="21"/>
                <w:szCs w:val="21"/>
                <w14:textFill>
                  <w14:solidFill>
                    <w14:schemeClr w14:val="tx1"/>
                  </w14:solidFill>
                </w14:textFill>
              </w:rPr>
            </w:pPr>
          </w:p>
        </w:tc>
      </w:tr>
      <w:tr w14:paraId="655A2A9E">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471" w:hRule="atLeast"/>
          <w:jc w:val="center"/>
        </w:trPr>
        <w:tc>
          <w:tcPr>
            <w:tcW w:w="2403" w:type="dxa"/>
            <w:noWrap/>
            <w:vAlign w:val="center"/>
          </w:tcPr>
          <w:p w14:paraId="4CACB2BE">
            <w:pPr>
              <w:pBdr>
                <w:top w:val="none" w:color="auto" w:sz="0" w:space="1"/>
                <w:left w:val="none" w:color="auto" w:sz="0" w:space="4"/>
                <w:bottom w:val="none" w:color="auto" w:sz="0" w:space="1"/>
                <w:right w:val="none" w:color="auto" w:sz="0" w:space="4"/>
              </w:pBd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N</w:t>
            </w:r>
            <w:r>
              <w:rPr>
                <w:rFonts w:cs="Times New Roman"/>
                <w:color w:val="000000" w:themeColor="text1"/>
                <w:sz w:val="21"/>
                <w:szCs w:val="21"/>
                <w14:textFill>
                  <w14:solidFill>
                    <w14:schemeClr w14:val="tx1"/>
                  </w14:solidFill>
                </w14:textFill>
              </w:rPr>
              <w:t>utrient content</w:t>
            </w:r>
          </w:p>
          <w:p w14:paraId="01765A33">
            <w:pPr>
              <w:pBdr>
                <w:top w:val="none" w:color="auto" w:sz="0" w:space="1"/>
                <w:left w:val="none" w:color="auto" w:sz="0" w:space="4"/>
                <w:bottom w:val="none" w:color="auto" w:sz="0" w:space="1"/>
                <w:right w:val="none" w:color="auto" w:sz="0" w:space="4"/>
              </w:pBd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(mg/L)</w:t>
            </w:r>
          </w:p>
        </w:tc>
        <w:tc>
          <w:tcPr>
            <w:tcW w:w="1203" w:type="dxa"/>
            <w:noWrap/>
            <w:vAlign w:val="center"/>
          </w:tcPr>
          <w:p w14:paraId="346F165E">
            <w:pPr>
              <w:pBdr>
                <w:top w:val="none" w:color="auto" w:sz="0" w:space="1"/>
                <w:left w:val="none" w:color="auto" w:sz="0" w:space="4"/>
                <w:bottom w:val="none" w:color="auto" w:sz="0" w:space="1"/>
                <w:right w:val="none" w:color="auto" w:sz="0" w:space="4"/>
              </w:pBd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105.37</w:t>
            </w:r>
          </w:p>
        </w:tc>
        <w:tc>
          <w:tcPr>
            <w:tcW w:w="1043" w:type="dxa"/>
            <w:noWrap/>
            <w:vAlign w:val="center"/>
          </w:tcPr>
          <w:p w14:paraId="24B9E4B3">
            <w:pPr>
              <w:pBdr>
                <w:top w:val="none" w:color="auto" w:sz="0" w:space="1"/>
                <w:left w:val="none" w:color="auto" w:sz="0" w:space="4"/>
                <w:bottom w:val="none" w:color="auto" w:sz="0" w:space="1"/>
                <w:right w:val="none" w:color="auto" w:sz="0" w:space="4"/>
              </w:pBd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67.75 </w:t>
            </w:r>
          </w:p>
        </w:tc>
        <w:tc>
          <w:tcPr>
            <w:tcW w:w="1061" w:type="dxa"/>
            <w:noWrap/>
            <w:vAlign w:val="center"/>
          </w:tcPr>
          <w:p w14:paraId="0A877020">
            <w:pPr>
              <w:pBdr>
                <w:top w:val="none" w:color="auto" w:sz="0" w:space="1"/>
                <w:left w:val="none" w:color="auto" w:sz="0" w:space="4"/>
                <w:bottom w:val="none" w:color="auto" w:sz="0" w:space="1"/>
                <w:right w:val="none" w:color="auto" w:sz="0" w:space="4"/>
              </w:pBd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54.07 </w:t>
            </w:r>
          </w:p>
        </w:tc>
        <w:tc>
          <w:tcPr>
            <w:tcW w:w="803" w:type="dxa"/>
            <w:noWrap/>
            <w:vAlign w:val="center"/>
          </w:tcPr>
          <w:p w14:paraId="08E5233A">
            <w:pPr>
              <w:pBdr>
                <w:top w:val="none" w:color="auto" w:sz="0" w:space="1"/>
                <w:left w:val="none" w:color="auto" w:sz="0" w:space="4"/>
                <w:bottom w:val="none" w:color="auto" w:sz="0" w:space="1"/>
                <w:right w:val="none" w:color="auto" w:sz="0" w:space="4"/>
              </w:pBdr>
              <w:rPr>
                <w:rFonts w:hint="default" w:cs="Times New Roman" w:eastAsiaTheme="majorEastAsia"/>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50.97</w:t>
            </w:r>
          </w:p>
        </w:tc>
        <w:tc>
          <w:tcPr>
            <w:tcW w:w="981" w:type="dxa"/>
            <w:noWrap/>
            <w:vAlign w:val="center"/>
          </w:tcPr>
          <w:p w14:paraId="59852E9D">
            <w:pPr>
              <w:pBdr>
                <w:top w:val="none" w:color="auto" w:sz="0" w:space="1"/>
                <w:left w:val="none" w:color="auto" w:sz="0" w:space="4"/>
                <w:bottom w:val="none" w:color="auto" w:sz="0" w:space="1"/>
                <w:right w:val="none" w:color="auto" w:sz="0" w:space="4"/>
              </w:pBdr>
              <w:rPr>
                <w:rFonts w:hint="default" w:cs="Times New Roman" w:eastAsiaTheme="majorEastAsia"/>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7.63</w:t>
            </w:r>
          </w:p>
        </w:tc>
      </w:tr>
      <w:tr w14:paraId="6141A9F6">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1454" w:hRule="exact"/>
          <w:jc w:val="center"/>
        </w:trPr>
        <w:tc>
          <w:tcPr>
            <w:tcW w:w="2403" w:type="dxa"/>
            <w:noWrap/>
            <w:vAlign w:val="center"/>
          </w:tcPr>
          <w:p w14:paraId="4F21CF02">
            <w:pPr>
              <w:pBdr>
                <w:top w:val="none" w:color="auto" w:sz="0" w:space="1"/>
                <w:left w:val="none" w:color="auto" w:sz="0" w:space="4"/>
                <w:bottom w:val="none" w:color="auto" w:sz="0" w:space="1"/>
                <w:right w:val="none" w:color="auto" w:sz="0" w:space="4"/>
              </w:pBdr>
              <w:wordWrap w:val="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Accumulated annual</w:t>
            </w:r>
          </w:p>
          <w:p w14:paraId="5F0F50DF">
            <w:pPr>
              <w:pBdr>
                <w:top w:val="none" w:color="auto" w:sz="0" w:space="1"/>
                <w:left w:val="none" w:color="auto" w:sz="0" w:space="4"/>
                <w:bottom w:val="none" w:color="auto" w:sz="0" w:space="1"/>
                <w:right w:val="none" w:color="auto" w:sz="0" w:space="4"/>
              </w:pBdr>
              <w:wordWrap w:val="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nutrient input amount </w:t>
            </w:r>
          </w:p>
          <w:p w14:paraId="699E7059">
            <w:pPr>
              <w:pBdr>
                <w:top w:val="none" w:color="auto" w:sz="0" w:space="1"/>
                <w:left w:val="none" w:color="auto" w:sz="0" w:space="4"/>
                <w:bottom w:val="none" w:color="auto" w:sz="0" w:space="1"/>
                <w:right w:val="none" w:color="auto" w:sz="0" w:space="4"/>
              </w:pBdr>
              <w:wordWrap w:val="0"/>
              <w:rPr>
                <w:rFonts w:hint="eastAsia" w:eastAsia="等线 Light"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r>
              <w:rPr>
                <w:rFonts w:hint="eastAsia" w:cs="Times New Roman"/>
                <w:color w:val="000000" w:themeColor="text1"/>
                <w:sz w:val="21"/>
                <w:szCs w:val="21"/>
                <w14:textFill>
                  <w14:solidFill>
                    <w14:schemeClr w14:val="tx1"/>
                  </w14:solidFill>
                </w14:textFill>
              </w:rPr>
              <w:t>kg/hm</w:t>
            </w:r>
            <w:r>
              <w:rPr>
                <w:rFonts w:cs="Times New Roman"/>
                <w:color w:val="000000" w:themeColor="text1"/>
                <w:sz w:val="21"/>
                <w:szCs w:val="21"/>
                <w:vertAlign w:val="superscript"/>
                <w14:textFill>
                  <w14:solidFill>
                    <w14:schemeClr w14:val="tx1"/>
                  </w14:solidFill>
                </w14:textFill>
              </w:rPr>
              <w:t>2</w:t>
            </w:r>
            <w:r>
              <w:rPr>
                <w:rFonts w:hint="eastAsia" w:cs="Times New Roman"/>
                <w:color w:val="000000" w:themeColor="text1"/>
                <w:sz w:val="21"/>
                <w:szCs w:val="21"/>
                <w:lang w:val="en-US" w:eastAsia="zh-CN"/>
                <w14:textFill>
                  <w14:solidFill>
                    <w14:schemeClr w14:val="tx1"/>
                  </w14:solidFill>
                </w14:textFill>
              </w:rPr>
              <w:t>)</w:t>
            </w:r>
          </w:p>
        </w:tc>
        <w:tc>
          <w:tcPr>
            <w:tcW w:w="1203" w:type="dxa"/>
            <w:noWrap/>
            <w:vAlign w:val="center"/>
          </w:tcPr>
          <w:p w14:paraId="7E48F167">
            <w:pPr>
              <w:pBdr>
                <w:top w:val="none" w:color="auto" w:sz="0" w:space="1"/>
                <w:left w:val="none" w:color="auto" w:sz="0" w:space="4"/>
                <w:bottom w:val="none" w:color="auto" w:sz="0" w:space="1"/>
                <w:right w:val="none" w:color="auto" w:sz="0" w:space="4"/>
              </w:pBd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10.5</w:t>
            </w:r>
          </w:p>
        </w:tc>
        <w:tc>
          <w:tcPr>
            <w:tcW w:w="1043" w:type="dxa"/>
            <w:noWrap/>
            <w:vAlign w:val="center"/>
          </w:tcPr>
          <w:p w14:paraId="4F61EBE9">
            <w:pPr>
              <w:pBdr>
                <w:top w:val="none" w:color="auto" w:sz="0" w:space="1"/>
                <w:left w:val="none" w:color="auto" w:sz="0" w:space="4"/>
                <w:bottom w:val="none" w:color="auto" w:sz="0" w:space="1"/>
                <w:right w:val="none" w:color="auto" w:sz="0" w:space="4"/>
              </w:pBd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6.75</w:t>
            </w:r>
          </w:p>
        </w:tc>
        <w:tc>
          <w:tcPr>
            <w:tcW w:w="1061" w:type="dxa"/>
            <w:noWrap/>
            <w:vAlign w:val="center"/>
          </w:tcPr>
          <w:p w14:paraId="7AA42E45">
            <w:pPr>
              <w:pBdr>
                <w:top w:val="none" w:color="auto" w:sz="0" w:space="1"/>
                <w:left w:val="none" w:color="auto" w:sz="0" w:space="4"/>
                <w:bottom w:val="none" w:color="auto" w:sz="0" w:space="1"/>
                <w:right w:val="none" w:color="auto" w:sz="0" w:space="4"/>
              </w:pBd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4.2</w:t>
            </w:r>
          </w:p>
        </w:tc>
        <w:tc>
          <w:tcPr>
            <w:tcW w:w="803" w:type="dxa"/>
            <w:noWrap/>
            <w:vAlign w:val="center"/>
          </w:tcPr>
          <w:p w14:paraId="07900B19">
            <w:pPr>
              <w:pBdr>
                <w:top w:val="none" w:color="auto" w:sz="0" w:space="1"/>
                <w:left w:val="none" w:color="auto" w:sz="0" w:space="4"/>
                <w:bottom w:val="none" w:color="auto" w:sz="0" w:space="1"/>
                <w:right w:val="none" w:color="auto" w:sz="0" w:space="4"/>
              </w:pBdr>
              <w:rPr>
                <w:rFonts w:hint="default" w:cs="Times New Roman" w:eastAsiaTheme="majorEastAsia"/>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5.4</w:t>
            </w:r>
          </w:p>
        </w:tc>
        <w:tc>
          <w:tcPr>
            <w:tcW w:w="981" w:type="dxa"/>
            <w:noWrap/>
            <w:vAlign w:val="center"/>
          </w:tcPr>
          <w:p w14:paraId="3C0685A4">
            <w:pPr>
              <w:pBdr>
                <w:top w:val="none" w:color="auto" w:sz="0" w:space="1"/>
                <w:left w:val="none" w:color="auto" w:sz="0" w:space="4"/>
                <w:bottom w:val="none" w:color="auto" w:sz="0" w:space="1"/>
                <w:right w:val="none" w:color="auto" w:sz="0" w:space="4"/>
              </w:pBdr>
              <w:rPr>
                <w:rFonts w:cs="Times New Roman"/>
                <w:color w:val="000000" w:themeColor="text1"/>
                <w:sz w:val="21"/>
                <w:szCs w:val="21"/>
                <w14:textFill>
                  <w14:solidFill>
                    <w14:schemeClr w14:val="tx1"/>
                  </w14:solidFill>
                </w14:textFill>
              </w:rPr>
            </w:pPr>
          </w:p>
        </w:tc>
      </w:tr>
    </w:tbl>
    <w:p w14:paraId="3A09452C">
      <w:pPr>
        <w:pBdr>
          <w:top w:val="none" w:color="auto" w:sz="0" w:space="1"/>
          <w:left w:val="none" w:color="auto" w:sz="0" w:space="4"/>
          <w:bottom w:val="none" w:color="auto" w:sz="0" w:space="1"/>
          <w:right w:val="none" w:color="auto" w:sz="0" w:space="4"/>
        </w:pBdr>
        <w:rPr>
          <w:rFonts w:hint="default" w:ascii="Times New Roman" w:hAnsi="Times New Roman" w:cs="Times New Roman"/>
        </w:rPr>
      </w:pPr>
      <w:r>
        <w:rPr>
          <w:rFonts w:cs="Times New Roman"/>
          <w:color w:val="000000" w:themeColor="text1"/>
          <w:sz w:val="21"/>
          <w:szCs w:val="21"/>
          <w14:textFill>
            <w14:solidFill>
              <w14:schemeClr w14:val="tx1"/>
            </w14:solidFill>
          </w14:textFill>
        </w:rPr>
        <w:t>Note: The annual cumulative nutrient input is calculated according to the irrigation time every 3 days, 5</w:t>
      </w:r>
      <w:r>
        <w:rPr>
          <w:rFonts w:hint="eastAsia" w:cs="Times New Roman"/>
          <w:color w:val="000000" w:themeColor="text1"/>
          <w:sz w:val="21"/>
          <w:szCs w:val="21"/>
          <w14:textFill>
            <w14:solidFill>
              <w14:schemeClr w14:val="tx1"/>
            </w14:solidFill>
          </w14:textFill>
        </w:rPr>
        <w:t xml:space="preserve"> </w:t>
      </w:r>
      <w:r>
        <w:rPr>
          <w:rFonts w:cs="Times New Roman"/>
          <w:color w:val="000000" w:themeColor="text1"/>
          <w:sz w:val="21"/>
          <w:szCs w:val="21"/>
          <w14:textFill>
            <w14:solidFill>
              <w14:schemeClr w14:val="tx1"/>
            </w14:solidFill>
          </w14:textFill>
        </w:rPr>
        <w:t xml:space="preserve">L per tree each time, and </w:t>
      </w:r>
      <w:r>
        <w:rPr>
          <w:rFonts w:hint="eastAsia" w:cs="Times New Roman"/>
          <w:color w:val="000000" w:themeColor="text1"/>
          <w:sz w:val="21"/>
          <w:szCs w:val="21"/>
          <w14:textFill>
            <w14:solidFill>
              <w14:schemeClr w14:val="tx1"/>
            </w14:solidFill>
          </w14:textFill>
        </w:rPr>
        <w:t>2</w:t>
      </w:r>
      <w:r>
        <w:rPr>
          <w:rFonts w:hint="eastAsia" w:cs="Times New Roman"/>
          <w:color w:val="000000" w:themeColor="text1"/>
          <w:sz w:val="21"/>
          <w:szCs w:val="21"/>
          <w:lang w:val="en-US" w:eastAsia="zh-CN"/>
          <w14:textFill>
            <w14:solidFill>
              <w14:schemeClr w14:val="tx1"/>
            </w14:solidFill>
          </w14:textFill>
        </w:rPr>
        <w:t>0</w:t>
      </w:r>
      <w:r>
        <w:rPr>
          <w:rFonts w:hint="eastAsia" w:cs="Times New Roman"/>
          <w:color w:val="000000" w:themeColor="text1"/>
          <w:sz w:val="21"/>
          <w:szCs w:val="21"/>
          <w14:textFill>
            <w14:solidFill>
              <w14:schemeClr w14:val="tx1"/>
            </w14:solidFill>
          </w14:textFill>
        </w:rPr>
        <w:t>0</w:t>
      </w:r>
      <w:r>
        <w:rPr>
          <w:rFonts w:cs="Times New Roman"/>
          <w:color w:val="000000" w:themeColor="text1"/>
          <w:sz w:val="21"/>
          <w:szCs w:val="21"/>
          <w14:textFill>
            <w14:solidFill>
              <w14:schemeClr w14:val="tx1"/>
            </w14:solidFill>
          </w14:textFill>
        </w:rPr>
        <w:t xml:space="preserve"> trees per </w:t>
      </w:r>
      <w:r>
        <w:rPr>
          <w:rFonts w:cs="Times New Roman"/>
          <w:color w:val="000000" w:themeColor="text1"/>
          <w14:textFill>
            <w14:solidFill>
              <w14:schemeClr w14:val="tx1"/>
            </w14:solidFill>
          </w14:textFill>
        </w:rPr>
        <w:t>acre</w:t>
      </w:r>
      <w:r>
        <w:rPr>
          <w:rFonts w:cs="Times New Roman"/>
          <w:color w:val="000000" w:themeColor="text1"/>
          <w:sz w:val="21"/>
          <w:szCs w:val="21"/>
          <w14:textFill>
            <w14:solidFill>
              <w14:schemeClr w14:val="tx1"/>
            </w14:solidFill>
          </w14:textFill>
        </w:rPr>
        <w:t>. The irrigation time is from December to March of the following year.</w:t>
      </w:r>
      <w:bookmarkStart w:id="0" w:name="_GoBack"/>
      <w:bookmarkEnd w:id="0"/>
    </w:p>
    <w:p w14:paraId="04404F34">
      <w:pPr>
        <w:keepNext w:val="0"/>
        <w:keepLines w:val="0"/>
        <w:pageBreakBefore/>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rPr>
      </w:pPr>
      <w:r>
        <w:rPr>
          <w:rFonts w:hint="eastAsia" w:cs="Times New Roman"/>
          <w:b/>
          <w:bCs/>
          <w:sz w:val="24"/>
          <w:szCs w:val="24"/>
          <w:lang w:val="en-US" w:eastAsia="zh-CN"/>
        </w:rPr>
        <w:t xml:space="preserve">Supplementary </w:t>
      </w:r>
      <w:r>
        <w:rPr>
          <w:rStyle w:val="7"/>
          <w:rFonts w:eastAsia="宋体" w:cs="Times New Roman"/>
          <w:b/>
          <w:bCs/>
          <w:szCs w:val="18"/>
        </w:rPr>
        <w:t xml:space="preserve">Table </w:t>
      </w:r>
      <w:r>
        <w:rPr>
          <w:rStyle w:val="7"/>
          <w:rFonts w:hint="eastAsia" w:eastAsia="宋体" w:cs="Times New Roman"/>
          <w:b/>
          <w:bCs/>
          <w:szCs w:val="18"/>
          <w:lang w:val="en-US" w:eastAsia="zh-CN"/>
        </w:rPr>
        <w:t>S</w:t>
      </w:r>
      <w:r>
        <w:rPr>
          <w:rStyle w:val="7"/>
          <w:rFonts w:eastAsia="宋体" w:cs="Times New Roman"/>
          <w:b/>
          <w:bCs/>
          <w:szCs w:val="18"/>
        </w:rPr>
        <w:t xml:space="preserve">2  </w:t>
      </w:r>
      <w:r>
        <w:rPr>
          <w:rStyle w:val="7"/>
          <w:rFonts w:hint="eastAsia" w:eastAsia="宋体" w:cs="Times New Roman"/>
          <w:szCs w:val="18"/>
        </w:rPr>
        <w:t xml:space="preserve">Soil </w:t>
      </w:r>
      <w:r>
        <w:rPr>
          <w:rStyle w:val="7"/>
          <w:rFonts w:hint="eastAsia" w:eastAsia="宋体" w:cs="Times New Roman"/>
          <w:szCs w:val="18"/>
          <w:lang w:val="en-US" w:eastAsia="zh-CN"/>
        </w:rPr>
        <w:t>n</w:t>
      </w:r>
      <w:r>
        <w:rPr>
          <w:rStyle w:val="7"/>
          <w:rFonts w:hint="eastAsia" w:eastAsia="宋体" w:cs="Times New Roman"/>
          <w:szCs w:val="18"/>
        </w:rPr>
        <w:t xml:space="preserve">utrient </w:t>
      </w:r>
      <w:r>
        <w:rPr>
          <w:rStyle w:val="7"/>
          <w:rFonts w:hint="eastAsia" w:eastAsia="宋体" w:cs="Times New Roman"/>
          <w:szCs w:val="18"/>
          <w:lang w:val="en-US" w:eastAsia="zh-CN"/>
        </w:rPr>
        <w:t>c</w:t>
      </w:r>
      <w:r>
        <w:rPr>
          <w:rStyle w:val="7"/>
          <w:rFonts w:hint="eastAsia" w:eastAsia="宋体" w:cs="Times New Roman"/>
          <w:szCs w:val="18"/>
        </w:rPr>
        <w:t xml:space="preserve">lassification </w:t>
      </w:r>
      <w:r>
        <w:rPr>
          <w:rStyle w:val="7"/>
          <w:rFonts w:hint="eastAsia" w:eastAsia="宋体" w:cs="Times New Roman"/>
          <w:szCs w:val="18"/>
          <w:lang w:val="en-US" w:eastAsia="zh-CN"/>
        </w:rPr>
        <w:t>s</w:t>
      </w:r>
      <w:r>
        <w:rPr>
          <w:rStyle w:val="7"/>
          <w:rFonts w:hint="eastAsia" w:eastAsia="宋体" w:cs="Times New Roman"/>
          <w:szCs w:val="18"/>
        </w:rPr>
        <w:t>tandards</w:t>
      </w:r>
      <w:r>
        <w:rPr>
          <w:rStyle w:val="7"/>
          <w:rFonts w:hint="eastAsia" w:eastAsia="宋体" w:cs="Times New Roman"/>
          <w:szCs w:val="18"/>
          <w:lang w:val="en-US" w:eastAsia="zh-CN"/>
        </w:rPr>
        <w:t>.</w:t>
      </w:r>
    </w:p>
    <w:tbl>
      <w:tblPr>
        <w:tblStyle w:val="5"/>
        <w:tblW w:w="10067" w:type="dxa"/>
        <w:jc w:val="center"/>
        <w:tblLayout w:type="fixed"/>
        <w:tblCellMar>
          <w:top w:w="0" w:type="dxa"/>
          <w:left w:w="108" w:type="dxa"/>
          <w:bottom w:w="0" w:type="dxa"/>
          <w:right w:w="108" w:type="dxa"/>
        </w:tblCellMar>
      </w:tblPr>
      <w:tblGrid>
        <w:gridCol w:w="1190"/>
        <w:gridCol w:w="1617"/>
        <w:gridCol w:w="1322"/>
        <w:gridCol w:w="1814"/>
        <w:gridCol w:w="1323"/>
        <w:gridCol w:w="1416"/>
        <w:gridCol w:w="1385"/>
      </w:tblGrid>
      <w:tr w14:paraId="4B05AC55">
        <w:tblPrEx>
          <w:tblCellMar>
            <w:top w:w="0" w:type="dxa"/>
            <w:left w:w="108" w:type="dxa"/>
            <w:bottom w:w="0" w:type="dxa"/>
            <w:right w:w="108" w:type="dxa"/>
          </w:tblCellMar>
        </w:tblPrEx>
        <w:trPr>
          <w:trHeight w:val="532" w:hRule="exact"/>
          <w:jc w:val="center"/>
        </w:trPr>
        <w:tc>
          <w:tcPr>
            <w:tcW w:w="1190" w:type="dxa"/>
            <w:tcBorders>
              <w:top w:val="single" w:color="auto" w:sz="4" w:space="0"/>
              <w:left w:val="nil"/>
              <w:bottom w:val="single" w:color="auto" w:sz="4" w:space="0"/>
              <w:right w:val="nil"/>
            </w:tcBorders>
            <w:vAlign w:val="top"/>
          </w:tcPr>
          <w:p w14:paraId="0E7670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7"/>
                <w:rFonts w:eastAsia="宋体" w:cs="Times New Roman"/>
              </w:rPr>
            </w:pPr>
            <w:r>
              <w:rPr>
                <w:rStyle w:val="7"/>
                <w:rFonts w:hint="eastAsia" w:eastAsia="宋体" w:cs="Times New Roman"/>
                <w:lang w:val="en-US" w:eastAsia="zh-CN"/>
              </w:rPr>
              <w:t>I</w:t>
            </w:r>
            <w:r>
              <w:rPr>
                <w:rStyle w:val="7"/>
                <w:rFonts w:eastAsia="宋体" w:cs="Times New Roman"/>
              </w:rPr>
              <w:t>ndex</w:t>
            </w:r>
          </w:p>
        </w:tc>
        <w:tc>
          <w:tcPr>
            <w:tcW w:w="1617" w:type="dxa"/>
            <w:tcBorders>
              <w:top w:val="single" w:color="auto" w:sz="4" w:space="0"/>
              <w:left w:val="nil"/>
              <w:bottom w:val="single" w:color="auto" w:sz="4" w:space="0"/>
              <w:right w:val="nil"/>
            </w:tcBorders>
            <w:vAlign w:val="top"/>
          </w:tcPr>
          <w:p w14:paraId="1B3912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7"/>
                <w:rFonts w:eastAsia="宋体" w:cs="Times New Roman"/>
              </w:rPr>
            </w:pPr>
            <w:r>
              <w:rPr>
                <w:rStyle w:val="7"/>
                <w:rFonts w:hint="eastAsia" w:eastAsia="宋体" w:cs="Times New Roman"/>
                <w:lang w:val="en-US" w:eastAsia="zh-CN"/>
              </w:rPr>
              <w:t>E</w:t>
            </w:r>
            <w:r>
              <w:rPr>
                <w:rStyle w:val="7"/>
                <w:rFonts w:eastAsia="宋体" w:cs="Times New Roman"/>
              </w:rPr>
              <w:t>xtreme lack</w:t>
            </w:r>
          </w:p>
        </w:tc>
        <w:tc>
          <w:tcPr>
            <w:tcW w:w="1322" w:type="dxa"/>
            <w:tcBorders>
              <w:top w:val="single" w:color="auto" w:sz="4" w:space="0"/>
              <w:left w:val="nil"/>
              <w:bottom w:val="single" w:color="auto" w:sz="4" w:space="0"/>
              <w:right w:val="nil"/>
            </w:tcBorders>
            <w:vAlign w:val="top"/>
          </w:tcPr>
          <w:p w14:paraId="546AA1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7"/>
                <w:rFonts w:eastAsia="宋体" w:cs="Times New Roman"/>
              </w:rPr>
            </w:pPr>
            <w:r>
              <w:rPr>
                <w:rStyle w:val="7"/>
                <w:rFonts w:hint="eastAsia" w:eastAsia="宋体" w:cs="Times New Roman"/>
                <w:lang w:val="en-US" w:eastAsia="zh-CN"/>
              </w:rPr>
              <w:t>L</w:t>
            </w:r>
            <w:r>
              <w:rPr>
                <w:rStyle w:val="7"/>
                <w:rFonts w:eastAsia="宋体" w:cs="Times New Roman"/>
              </w:rPr>
              <w:t>ack</w:t>
            </w:r>
          </w:p>
        </w:tc>
        <w:tc>
          <w:tcPr>
            <w:tcW w:w="1814" w:type="dxa"/>
            <w:tcBorders>
              <w:top w:val="single" w:color="auto" w:sz="4" w:space="0"/>
              <w:left w:val="nil"/>
              <w:bottom w:val="single" w:color="auto" w:sz="4" w:space="0"/>
              <w:right w:val="nil"/>
            </w:tcBorders>
            <w:vAlign w:val="top"/>
          </w:tcPr>
          <w:p w14:paraId="7236D1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7"/>
                <w:rFonts w:eastAsia="宋体" w:cs="Times New Roman"/>
              </w:rPr>
            </w:pPr>
            <w:r>
              <w:rPr>
                <w:rStyle w:val="7"/>
                <w:rFonts w:hint="eastAsia" w:eastAsia="宋体" w:cs="Times New Roman"/>
                <w:lang w:val="en-US" w:eastAsia="zh-CN"/>
              </w:rPr>
              <w:t>R</w:t>
            </w:r>
            <w:r>
              <w:rPr>
                <w:rStyle w:val="7"/>
                <w:rFonts w:eastAsia="宋体" w:cs="Times New Roman"/>
              </w:rPr>
              <w:t>elative</w:t>
            </w:r>
            <w:r>
              <w:rPr>
                <w:rStyle w:val="7"/>
                <w:rFonts w:hint="eastAsia" w:eastAsia="宋体" w:cs="Times New Roman"/>
                <w:lang w:val="en-US" w:eastAsia="zh-CN"/>
              </w:rPr>
              <w:t xml:space="preserve"> </w:t>
            </w:r>
            <w:r>
              <w:rPr>
                <w:rStyle w:val="7"/>
                <w:rFonts w:eastAsia="宋体" w:cs="Times New Roman"/>
              </w:rPr>
              <w:t>lack</w:t>
            </w:r>
          </w:p>
        </w:tc>
        <w:tc>
          <w:tcPr>
            <w:tcW w:w="1323" w:type="dxa"/>
            <w:tcBorders>
              <w:top w:val="single" w:color="auto" w:sz="4" w:space="0"/>
              <w:left w:val="nil"/>
              <w:bottom w:val="single" w:color="auto" w:sz="4" w:space="0"/>
              <w:right w:val="nil"/>
            </w:tcBorders>
            <w:vAlign w:val="top"/>
          </w:tcPr>
          <w:p w14:paraId="57107F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7"/>
                <w:rFonts w:eastAsia="宋体" w:cs="Times New Roman"/>
              </w:rPr>
            </w:pPr>
            <w:r>
              <w:rPr>
                <w:rStyle w:val="7"/>
                <w:rFonts w:hint="eastAsia" w:eastAsia="宋体" w:cs="Times New Roman"/>
                <w:lang w:val="en-US" w:eastAsia="zh-CN"/>
              </w:rPr>
              <w:t>M</w:t>
            </w:r>
            <w:r>
              <w:rPr>
                <w:rStyle w:val="7"/>
                <w:rFonts w:eastAsia="宋体" w:cs="Times New Roman"/>
              </w:rPr>
              <w:t>edium</w:t>
            </w:r>
          </w:p>
        </w:tc>
        <w:tc>
          <w:tcPr>
            <w:tcW w:w="1416" w:type="dxa"/>
            <w:tcBorders>
              <w:top w:val="single" w:color="auto" w:sz="4" w:space="0"/>
              <w:left w:val="nil"/>
              <w:bottom w:val="single" w:color="auto" w:sz="4" w:space="0"/>
              <w:right w:val="nil"/>
            </w:tcBorders>
            <w:vAlign w:val="top"/>
          </w:tcPr>
          <w:p w14:paraId="7E223E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7"/>
                <w:rFonts w:eastAsia="宋体" w:cs="Times New Roman"/>
              </w:rPr>
            </w:pPr>
            <w:r>
              <w:rPr>
                <w:rStyle w:val="7"/>
                <w:rFonts w:hint="eastAsia" w:eastAsia="宋体" w:cs="Times New Roman"/>
                <w:lang w:val="en-US" w:eastAsia="zh-CN"/>
              </w:rPr>
              <w:t>R</w:t>
            </w:r>
            <w:r>
              <w:rPr>
                <w:rStyle w:val="7"/>
                <w:rFonts w:eastAsia="宋体" w:cs="Times New Roman"/>
              </w:rPr>
              <w:t>ichness</w:t>
            </w:r>
          </w:p>
        </w:tc>
        <w:tc>
          <w:tcPr>
            <w:tcW w:w="1385" w:type="dxa"/>
            <w:tcBorders>
              <w:top w:val="single" w:color="auto" w:sz="4" w:space="0"/>
              <w:left w:val="nil"/>
              <w:bottom w:val="single" w:color="auto" w:sz="4" w:space="0"/>
              <w:right w:val="nil"/>
            </w:tcBorders>
            <w:vAlign w:val="top"/>
          </w:tcPr>
          <w:p w14:paraId="23F00BE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7"/>
                <w:rFonts w:eastAsia="宋体" w:cs="Times New Roman"/>
              </w:rPr>
            </w:pPr>
            <w:r>
              <w:rPr>
                <w:rStyle w:val="7"/>
                <w:rFonts w:hint="eastAsia" w:eastAsia="宋体" w:cs="Times New Roman"/>
                <w:lang w:val="en-US" w:eastAsia="zh-CN"/>
              </w:rPr>
              <w:t>H</w:t>
            </w:r>
            <w:r>
              <w:rPr>
                <w:rStyle w:val="7"/>
                <w:rFonts w:eastAsia="宋体" w:cs="Times New Roman"/>
              </w:rPr>
              <w:t>igh richness</w:t>
            </w:r>
          </w:p>
        </w:tc>
      </w:tr>
      <w:tr w14:paraId="713909E8">
        <w:tblPrEx>
          <w:tblCellMar>
            <w:top w:w="0" w:type="dxa"/>
            <w:left w:w="108" w:type="dxa"/>
            <w:bottom w:w="0" w:type="dxa"/>
            <w:right w:w="108" w:type="dxa"/>
          </w:tblCellMar>
        </w:tblPrEx>
        <w:trPr>
          <w:trHeight w:val="485" w:hRule="exact"/>
          <w:jc w:val="center"/>
        </w:trPr>
        <w:tc>
          <w:tcPr>
            <w:tcW w:w="1190" w:type="dxa"/>
            <w:tcBorders>
              <w:top w:val="single" w:color="auto" w:sz="4" w:space="0"/>
              <w:left w:val="nil"/>
              <w:bottom w:val="nil"/>
              <w:right w:val="nil"/>
            </w:tcBorders>
          </w:tcPr>
          <w:p w14:paraId="2CA63D51">
            <w:pPr>
              <w:spacing w:line="360" w:lineRule="auto"/>
              <w:jc w:val="center"/>
              <w:rPr>
                <w:rStyle w:val="7"/>
                <w:rFonts w:hint="default" w:eastAsia="宋体" w:cs="Times New Roman"/>
                <w:lang w:val="en-US" w:eastAsia="zh-CN"/>
              </w:rPr>
            </w:pPr>
            <w:r>
              <w:rPr>
                <w:rStyle w:val="7"/>
                <w:rFonts w:hint="eastAsia" w:eastAsia="宋体" w:cs="Times New Roman"/>
                <w:lang w:val="en-US" w:eastAsia="zh-CN"/>
              </w:rPr>
              <w:t>SOC</w:t>
            </w:r>
          </w:p>
          <w:p w14:paraId="008B1ACE">
            <w:pPr>
              <w:spacing w:line="360" w:lineRule="auto"/>
              <w:jc w:val="center"/>
              <w:rPr>
                <w:rStyle w:val="7"/>
                <w:rFonts w:eastAsia="宋体" w:cs="Times New Roman"/>
              </w:rPr>
            </w:pPr>
          </w:p>
        </w:tc>
        <w:tc>
          <w:tcPr>
            <w:tcW w:w="1617" w:type="dxa"/>
            <w:tcBorders>
              <w:top w:val="single" w:color="auto" w:sz="4" w:space="0"/>
              <w:left w:val="nil"/>
              <w:bottom w:val="nil"/>
              <w:right w:val="nil"/>
            </w:tcBorders>
          </w:tcPr>
          <w:p w14:paraId="73900429">
            <w:pPr>
              <w:spacing w:line="360" w:lineRule="auto"/>
              <w:rPr>
                <w:rStyle w:val="7"/>
                <w:rFonts w:eastAsia="宋体" w:cs="Times New Roman"/>
              </w:rPr>
            </w:pPr>
            <w:r>
              <w:rPr>
                <w:rStyle w:val="7"/>
                <w:rFonts w:eastAsia="宋体" w:cs="Times New Roman"/>
              </w:rPr>
              <w:t>＜6.00</w:t>
            </w:r>
          </w:p>
        </w:tc>
        <w:tc>
          <w:tcPr>
            <w:tcW w:w="1322" w:type="dxa"/>
            <w:tcBorders>
              <w:top w:val="single" w:color="auto" w:sz="4" w:space="0"/>
              <w:left w:val="nil"/>
              <w:bottom w:val="nil"/>
              <w:right w:val="nil"/>
            </w:tcBorders>
          </w:tcPr>
          <w:p w14:paraId="76FC82FE">
            <w:pPr>
              <w:spacing w:line="360" w:lineRule="auto"/>
              <w:rPr>
                <w:rStyle w:val="7"/>
                <w:rFonts w:eastAsia="宋体" w:cs="Times New Roman"/>
              </w:rPr>
            </w:pPr>
            <w:r>
              <w:rPr>
                <w:rStyle w:val="7"/>
                <w:rFonts w:eastAsia="宋体" w:cs="Times New Roman"/>
              </w:rPr>
              <w:t xml:space="preserve">6.00~10.00 </w:t>
            </w:r>
          </w:p>
          <w:p w14:paraId="503A3771">
            <w:pPr>
              <w:spacing w:line="360" w:lineRule="auto"/>
              <w:rPr>
                <w:rStyle w:val="7"/>
                <w:rFonts w:eastAsia="宋体" w:cs="Times New Roman"/>
              </w:rPr>
            </w:pPr>
          </w:p>
        </w:tc>
        <w:tc>
          <w:tcPr>
            <w:tcW w:w="1814" w:type="dxa"/>
            <w:tcBorders>
              <w:top w:val="single" w:color="auto" w:sz="4" w:space="0"/>
              <w:left w:val="nil"/>
              <w:bottom w:val="nil"/>
              <w:right w:val="nil"/>
            </w:tcBorders>
          </w:tcPr>
          <w:p w14:paraId="646DDCEA">
            <w:pPr>
              <w:spacing w:line="360" w:lineRule="auto"/>
              <w:rPr>
                <w:rStyle w:val="7"/>
                <w:rFonts w:eastAsia="宋体" w:cs="Times New Roman"/>
              </w:rPr>
            </w:pPr>
            <w:r>
              <w:rPr>
                <w:rStyle w:val="7"/>
                <w:rFonts w:eastAsia="宋体" w:cs="Times New Roman"/>
              </w:rPr>
              <w:t>10.00~20.00</w:t>
            </w:r>
          </w:p>
        </w:tc>
        <w:tc>
          <w:tcPr>
            <w:tcW w:w="1323" w:type="dxa"/>
            <w:tcBorders>
              <w:top w:val="single" w:color="auto" w:sz="4" w:space="0"/>
              <w:left w:val="nil"/>
              <w:bottom w:val="nil"/>
              <w:right w:val="nil"/>
            </w:tcBorders>
          </w:tcPr>
          <w:p w14:paraId="65C0E84E">
            <w:pPr>
              <w:spacing w:line="360" w:lineRule="auto"/>
              <w:rPr>
                <w:rStyle w:val="7"/>
                <w:rFonts w:eastAsia="宋体" w:cs="Times New Roman"/>
              </w:rPr>
            </w:pPr>
            <w:r>
              <w:rPr>
                <w:rStyle w:val="7"/>
                <w:rFonts w:eastAsia="宋体" w:cs="Times New Roman"/>
              </w:rPr>
              <w:t xml:space="preserve">20.00~30.00 </w:t>
            </w:r>
          </w:p>
        </w:tc>
        <w:tc>
          <w:tcPr>
            <w:tcW w:w="1416" w:type="dxa"/>
            <w:tcBorders>
              <w:top w:val="single" w:color="auto" w:sz="4" w:space="0"/>
              <w:left w:val="nil"/>
              <w:bottom w:val="nil"/>
              <w:right w:val="nil"/>
            </w:tcBorders>
          </w:tcPr>
          <w:p w14:paraId="349CD65F">
            <w:pPr>
              <w:spacing w:line="360" w:lineRule="auto"/>
              <w:rPr>
                <w:rStyle w:val="7"/>
                <w:rFonts w:eastAsia="宋体" w:cs="Times New Roman"/>
              </w:rPr>
            </w:pPr>
            <w:r>
              <w:rPr>
                <w:rStyle w:val="7"/>
                <w:rFonts w:eastAsia="宋体" w:cs="Times New Roman"/>
              </w:rPr>
              <w:t>30.00~40.00</w:t>
            </w:r>
          </w:p>
        </w:tc>
        <w:tc>
          <w:tcPr>
            <w:tcW w:w="1385" w:type="dxa"/>
            <w:tcBorders>
              <w:top w:val="single" w:color="auto" w:sz="4" w:space="0"/>
              <w:left w:val="nil"/>
              <w:bottom w:val="nil"/>
              <w:right w:val="nil"/>
            </w:tcBorders>
          </w:tcPr>
          <w:p w14:paraId="7FD8D2C6">
            <w:pPr>
              <w:spacing w:line="360" w:lineRule="auto"/>
              <w:rPr>
                <w:rStyle w:val="7"/>
                <w:rFonts w:eastAsia="宋体" w:cs="Times New Roman"/>
              </w:rPr>
            </w:pPr>
            <w:r>
              <w:rPr>
                <w:rStyle w:val="7"/>
                <w:rFonts w:eastAsia="宋体" w:cs="Times New Roman"/>
              </w:rPr>
              <w:t>≥40.00</w:t>
            </w:r>
          </w:p>
          <w:p w14:paraId="3C1AF515">
            <w:pPr>
              <w:spacing w:line="360" w:lineRule="auto"/>
              <w:rPr>
                <w:rStyle w:val="7"/>
                <w:rFonts w:eastAsia="宋体" w:cs="Times New Roman"/>
              </w:rPr>
            </w:pPr>
          </w:p>
        </w:tc>
      </w:tr>
      <w:tr w14:paraId="348EECEC">
        <w:tblPrEx>
          <w:tblCellMar>
            <w:top w:w="0" w:type="dxa"/>
            <w:left w:w="108" w:type="dxa"/>
            <w:bottom w:w="0" w:type="dxa"/>
            <w:right w:w="108" w:type="dxa"/>
          </w:tblCellMar>
        </w:tblPrEx>
        <w:trPr>
          <w:trHeight w:val="562" w:hRule="exact"/>
          <w:jc w:val="center"/>
        </w:trPr>
        <w:tc>
          <w:tcPr>
            <w:tcW w:w="1190" w:type="dxa"/>
            <w:tcBorders>
              <w:top w:val="nil"/>
              <w:left w:val="nil"/>
              <w:bottom w:val="nil"/>
              <w:right w:val="nil"/>
            </w:tcBorders>
          </w:tcPr>
          <w:p w14:paraId="491EA151">
            <w:pPr>
              <w:spacing w:line="360" w:lineRule="auto"/>
              <w:jc w:val="center"/>
              <w:rPr>
                <w:rStyle w:val="7"/>
                <w:rFonts w:hint="default" w:eastAsia="宋体" w:cs="Times New Roman"/>
                <w:lang w:val="en-US" w:eastAsia="zh-CN"/>
              </w:rPr>
            </w:pPr>
            <w:r>
              <w:rPr>
                <w:rStyle w:val="7"/>
                <w:rFonts w:hint="eastAsia" w:eastAsia="宋体" w:cs="Times New Roman"/>
                <w:lang w:val="en-US" w:eastAsia="zh-CN"/>
              </w:rPr>
              <w:t>TN</w:t>
            </w:r>
          </w:p>
        </w:tc>
        <w:tc>
          <w:tcPr>
            <w:tcW w:w="1617" w:type="dxa"/>
            <w:tcBorders>
              <w:top w:val="nil"/>
              <w:left w:val="nil"/>
              <w:bottom w:val="nil"/>
              <w:right w:val="nil"/>
            </w:tcBorders>
          </w:tcPr>
          <w:p w14:paraId="371F777E">
            <w:pPr>
              <w:spacing w:line="360" w:lineRule="auto"/>
              <w:rPr>
                <w:rStyle w:val="7"/>
                <w:rFonts w:eastAsia="宋体" w:cs="Times New Roman"/>
              </w:rPr>
            </w:pPr>
            <w:r>
              <w:rPr>
                <w:rStyle w:val="7"/>
                <w:rFonts w:eastAsia="宋体" w:cs="Times New Roman"/>
              </w:rPr>
              <w:t xml:space="preserve">＜0.50 </w:t>
            </w:r>
          </w:p>
        </w:tc>
        <w:tc>
          <w:tcPr>
            <w:tcW w:w="1322" w:type="dxa"/>
            <w:tcBorders>
              <w:top w:val="nil"/>
              <w:left w:val="nil"/>
              <w:bottom w:val="nil"/>
              <w:right w:val="nil"/>
            </w:tcBorders>
          </w:tcPr>
          <w:p w14:paraId="4D37F929">
            <w:pPr>
              <w:spacing w:line="360" w:lineRule="auto"/>
              <w:rPr>
                <w:rStyle w:val="7"/>
                <w:rFonts w:eastAsia="宋体" w:cs="Times New Roman"/>
              </w:rPr>
            </w:pPr>
            <w:r>
              <w:rPr>
                <w:rStyle w:val="7"/>
                <w:rFonts w:eastAsia="宋体" w:cs="Times New Roman"/>
              </w:rPr>
              <w:t>0.50~0.75</w:t>
            </w:r>
          </w:p>
        </w:tc>
        <w:tc>
          <w:tcPr>
            <w:tcW w:w="1814" w:type="dxa"/>
            <w:tcBorders>
              <w:top w:val="nil"/>
              <w:left w:val="nil"/>
              <w:bottom w:val="nil"/>
              <w:right w:val="nil"/>
            </w:tcBorders>
          </w:tcPr>
          <w:p w14:paraId="775E724F">
            <w:pPr>
              <w:spacing w:line="360" w:lineRule="auto"/>
              <w:rPr>
                <w:rStyle w:val="7"/>
                <w:rFonts w:eastAsia="宋体" w:cs="Times New Roman"/>
              </w:rPr>
            </w:pPr>
            <w:r>
              <w:rPr>
                <w:rStyle w:val="7"/>
                <w:rFonts w:eastAsia="宋体" w:cs="Times New Roman"/>
              </w:rPr>
              <w:t>0.75~1.00</w:t>
            </w:r>
          </w:p>
        </w:tc>
        <w:tc>
          <w:tcPr>
            <w:tcW w:w="1323" w:type="dxa"/>
            <w:tcBorders>
              <w:top w:val="nil"/>
              <w:left w:val="nil"/>
              <w:bottom w:val="nil"/>
              <w:right w:val="nil"/>
            </w:tcBorders>
          </w:tcPr>
          <w:p w14:paraId="7D54276C">
            <w:pPr>
              <w:spacing w:line="360" w:lineRule="auto"/>
              <w:rPr>
                <w:rStyle w:val="7"/>
                <w:rFonts w:eastAsia="宋体" w:cs="Times New Roman"/>
              </w:rPr>
            </w:pPr>
            <w:r>
              <w:rPr>
                <w:rStyle w:val="7"/>
                <w:rFonts w:eastAsia="宋体" w:cs="Times New Roman"/>
              </w:rPr>
              <w:t>1.00~1.50</w:t>
            </w:r>
          </w:p>
        </w:tc>
        <w:tc>
          <w:tcPr>
            <w:tcW w:w="1416" w:type="dxa"/>
            <w:tcBorders>
              <w:top w:val="nil"/>
              <w:left w:val="nil"/>
              <w:bottom w:val="nil"/>
              <w:right w:val="nil"/>
            </w:tcBorders>
          </w:tcPr>
          <w:p w14:paraId="20795BA3">
            <w:pPr>
              <w:spacing w:line="360" w:lineRule="auto"/>
              <w:rPr>
                <w:rStyle w:val="7"/>
                <w:rFonts w:eastAsia="宋体" w:cs="Times New Roman"/>
              </w:rPr>
            </w:pPr>
            <w:r>
              <w:rPr>
                <w:rStyle w:val="7"/>
                <w:rFonts w:eastAsia="宋体" w:cs="Times New Roman"/>
              </w:rPr>
              <w:t>1.50~2.00</w:t>
            </w:r>
          </w:p>
        </w:tc>
        <w:tc>
          <w:tcPr>
            <w:tcW w:w="1385" w:type="dxa"/>
            <w:tcBorders>
              <w:top w:val="nil"/>
              <w:left w:val="nil"/>
              <w:bottom w:val="nil"/>
              <w:right w:val="nil"/>
            </w:tcBorders>
          </w:tcPr>
          <w:p w14:paraId="6ABD4A5D">
            <w:pPr>
              <w:spacing w:line="360" w:lineRule="auto"/>
              <w:rPr>
                <w:rStyle w:val="7"/>
                <w:rFonts w:eastAsia="宋体" w:cs="Times New Roman"/>
              </w:rPr>
            </w:pPr>
            <w:r>
              <w:rPr>
                <w:rStyle w:val="7"/>
                <w:rFonts w:eastAsia="宋体" w:cs="Times New Roman"/>
              </w:rPr>
              <w:t>≥2.00</w:t>
            </w:r>
          </w:p>
          <w:p w14:paraId="7ADABCEE">
            <w:pPr>
              <w:spacing w:line="360" w:lineRule="auto"/>
              <w:rPr>
                <w:rStyle w:val="7"/>
                <w:rFonts w:eastAsia="宋体" w:cs="Times New Roman"/>
              </w:rPr>
            </w:pPr>
          </w:p>
        </w:tc>
      </w:tr>
      <w:tr w14:paraId="42C3F810">
        <w:tblPrEx>
          <w:tblCellMar>
            <w:top w:w="0" w:type="dxa"/>
            <w:left w:w="108" w:type="dxa"/>
            <w:bottom w:w="0" w:type="dxa"/>
            <w:right w:w="108" w:type="dxa"/>
          </w:tblCellMar>
        </w:tblPrEx>
        <w:trPr>
          <w:trHeight w:val="543" w:hRule="exact"/>
          <w:jc w:val="center"/>
        </w:trPr>
        <w:tc>
          <w:tcPr>
            <w:tcW w:w="1190" w:type="dxa"/>
            <w:tcBorders>
              <w:top w:val="nil"/>
              <w:left w:val="nil"/>
              <w:bottom w:val="nil"/>
              <w:right w:val="nil"/>
            </w:tcBorders>
          </w:tcPr>
          <w:p w14:paraId="6A23FA51">
            <w:pPr>
              <w:spacing w:line="360" w:lineRule="auto"/>
              <w:jc w:val="center"/>
              <w:rPr>
                <w:rStyle w:val="7"/>
                <w:rFonts w:eastAsia="宋体" w:cs="Times New Roman"/>
              </w:rPr>
            </w:pPr>
            <w:r>
              <w:rPr>
                <w:rStyle w:val="7"/>
                <w:rFonts w:hint="eastAsia" w:eastAsia="宋体" w:cs="Times New Roman"/>
                <w:lang w:val="en-US" w:eastAsia="zh-CN"/>
              </w:rPr>
              <w:t>TP</w:t>
            </w:r>
          </w:p>
          <w:p w14:paraId="0146D470">
            <w:pPr>
              <w:spacing w:line="360" w:lineRule="auto"/>
              <w:jc w:val="center"/>
              <w:rPr>
                <w:rStyle w:val="7"/>
                <w:rFonts w:eastAsia="宋体" w:cs="Times New Roman"/>
              </w:rPr>
            </w:pPr>
          </w:p>
        </w:tc>
        <w:tc>
          <w:tcPr>
            <w:tcW w:w="1617" w:type="dxa"/>
            <w:tcBorders>
              <w:top w:val="nil"/>
              <w:left w:val="nil"/>
              <w:bottom w:val="nil"/>
              <w:right w:val="nil"/>
            </w:tcBorders>
          </w:tcPr>
          <w:p w14:paraId="15508C74">
            <w:pPr>
              <w:spacing w:line="360" w:lineRule="auto"/>
              <w:rPr>
                <w:rStyle w:val="7"/>
                <w:rFonts w:eastAsia="宋体" w:cs="Times New Roman"/>
              </w:rPr>
            </w:pPr>
            <w:r>
              <w:rPr>
                <w:rStyle w:val="7"/>
                <w:rFonts w:eastAsia="宋体" w:cs="Times New Roman"/>
              </w:rPr>
              <w:t>＜0.20</w:t>
            </w:r>
          </w:p>
        </w:tc>
        <w:tc>
          <w:tcPr>
            <w:tcW w:w="1322" w:type="dxa"/>
            <w:tcBorders>
              <w:top w:val="nil"/>
              <w:left w:val="nil"/>
              <w:bottom w:val="nil"/>
              <w:right w:val="nil"/>
            </w:tcBorders>
          </w:tcPr>
          <w:p w14:paraId="4E2907B9">
            <w:pPr>
              <w:spacing w:line="360" w:lineRule="auto"/>
              <w:rPr>
                <w:rStyle w:val="7"/>
                <w:rFonts w:eastAsia="宋体" w:cs="Times New Roman"/>
              </w:rPr>
            </w:pPr>
            <w:r>
              <w:rPr>
                <w:rStyle w:val="7"/>
                <w:rFonts w:eastAsia="宋体" w:cs="Times New Roman"/>
              </w:rPr>
              <w:t xml:space="preserve">0.20~0.40 </w:t>
            </w:r>
          </w:p>
        </w:tc>
        <w:tc>
          <w:tcPr>
            <w:tcW w:w="1814" w:type="dxa"/>
            <w:tcBorders>
              <w:top w:val="nil"/>
              <w:left w:val="nil"/>
              <w:bottom w:val="nil"/>
              <w:right w:val="nil"/>
            </w:tcBorders>
          </w:tcPr>
          <w:p w14:paraId="171A116C">
            <w:pPr>
              <w:spacing w:line="360" w:lineRule="auto"/>
              <w:rPr>
                <w:rStyle w:val="7"/>
                <w:rFonts w:eastAsia="宋体" w:cs="Times New Roman"/>
              </w:rPr>
            </w:pPr>
            <w:r>
              <w:rPr>
                <w:rStyle w:val="7"/>
                <w:rFonts w:eastAsia="宋体" w:cs="Times New Roman"/>
              </w:rPr>
              <w:t>0.40~0.60</w:t>
            </w:r>
          </w:p>
        </w:tc>
        <w:tc>
          <w:tcPr>
            <w:tcW w:w="1323" w:type="dxa"/>
            <w:tcBorders>
              <w:top w:val="nil"/>
              <w:left w:val="nil"/>
              <w:bottom w:val="nil"/>
              <w:right w:val="nil"/>
            </w:tcBorders>
          </w:tcPr>
          <w:p w14:paraId="5E1B29DC">
            <w:pPr>
              <w:spacing w:line="360" w:lineRule="auto"/>
              <w:rPr>
                <w:rStyle w:val="7"/>
                <w:rFonts w:eastAsia="宋体" w:cs="Times New Roman"/>
              </w:rPr>
            </w:pPr>
            <w:r>
              <w:rPr>
                <w:rStyle w:val="7"/>
                <w:rFonts w:eastAsia="宋体" w:cs="Times New Roman"/>
              </w:rPr>
              <w:t>0.60~0.80</w:t>
            </w:r>
          </w:p>
        </w:tc>
        <w:tc>
          <w:tcPr>
            <w:tcW w:w="1416" w:type="dxa"/>
            <w:tcBorders>
              <w:top w:val="nil"/>
              <w:left w:val="nil"/>
              <w:bottom w:val="nil"/>
              <w:right w:val="nil"/>
            </w:tcBorders>
          </w:tcPr>
          <w:p w14:paraId="5321BDA7">
            <w:pPr>
              <w:spacing w:line="360" w:lineRule="auto"/>
              <w:rPr>
                <w:rStyle w:val="7"/>
                <w:rFonts w:eastAsia="宋体" w:cs="Times New Roman"/>
              </w:rPr>
            </w:pPr>
            <w:r>
              <w:rPr>
                <w:rStyle w:val="7"/>
                <w:rFonts w:eastAsia="宋体" w:cs="Times New Roman"/>
              </w:rPr>
              <w:t>0.80~1.00</w:t>
            </w:r>
          </w:p>
        </w:tc>
        <w:tc>
          <w:tcPr>
            <w:tcW w:w="1385" w:type="dxa"/>
            <w:tcBorders>
              <w:top w:val="nil"/>
              <w:left w:val="nil"/>
              <w:bottom w:val="nil"/>
              <w:right w:val="nil"/>
            </w:tcBorders>
          </w:tcPr>
          <w:p w14:paraId="50759C9D">
            <w:pPr>
              <w:spacing w:line="360" w:lineRule="auto"/>
              <w:rPr>
                <w:rStyle w:val="7"/>
                <w:rFonts w:eastAsia="宋体" w:cs="Times New Roman"/>
              </w:rPr>
            </w:pPr>
            <w:r>
              <w:rPr>
                <w:rStyle w:val="7"/>
                <w:rFonts w:eastAsia="宋体" w:cs="Times New Roman"/>
              </w:rPr>
              <w:t>≥1.00</w:t>
            </w:r>
          </w:p>
          <w:p w14:paraId="4B0610EC">
            <w:pPr>
              <w:spacing w:line="360" w:lineRule="auto"/>
              <w:rPr>
                <w:rStyle w:val="7"/>
                <w:rFonts w:eastAsia="宋体" w:cs="Times New Roman"/>
              </w:rPr>
            </w:pPr>
          </w:p>
        </w:tc>
      </w:tr>
      <w:tr w14:paraId="4A1D67B5">
        <w:tblPrEx>
          <w:tblCellMar>
            <w:top w:w="0" w:type="dxa"/>
            <w:left w:w="108" w:type="dxa"/>
            <w:bottom w:w="0" w:type="dxa"/>
            <w:right w:w="108" w:type="dxa"/>
          </w:tblCellMar>
        </w:tblPrEx>
        <w:trPr>
          <w:trHeight w:val="536" w:hRule="exact"/>
          <w:jc w:val="center"/>
        </w:trPr>
        <w:tc>
          <w:tcPr>
            <w:tcW w:w="1190" w:type="dxa"/>
            <w:tcBorders>
              <w:top w:val="nil"/>
              <w:left w:val="nil"/>
              <w:bottom w:val="nil"/>
              <w:right w:val="nil"/>
            </w:tcBorders>
          </w:tcPr>
          <w:p w14:paraId="561366EC">
            <w:pPr>
              <w:spacing w:line="360" w:lineRule="auto"/>
              <w:jc w:val="center"/>
              <w:rPr>
                <w:rStyle w:val="7"/>
                <w:rFonts w:hint="default" w:eastAsia="宋体" w:cs="Times New Roman"/>
                <w:lang w:val="en-US" w:eastAsia="zh-CN"/>
              </w:rPr>
            </w:pPr>
            <w:r>
              <w:rPr>
                <w:rStyle w:val="7"/>
                <w:rFonts w:hint="eastAsia" w:eastAsia="宋体" w:cs="Times New Roman"/>
                <w:lang w:val="en-US" w:eastAsia="zh-CN"/>
              </w:rPr>
              <w:t>TK</w:t>
            </w:r>
          </w:p>
        </w:tc>
        <w:tc>
          <w:tcPr>
            <w:tcW w:w="1617" w:type="dxa"/>
            <w:tcBorders>
              <w:top w:val="nil"/>
              <w:left w:val="nil"/>
              <w:bottom w:val="nil"/>
              <w:right w:val="nil"/>
            </w:tcBorders>
          </w:tcPr>
          <w:p w14:paraId="41605FA6">
            <w:pPr>
              <w:spacing w:line="360" w:lineRule="auto"/>
              <w:rPr>
                <w:rStyle w:val="7"/>
                <w:rFonts w:eastAsia="宋体" w:cs="Times New Roman"/>
              </w:rPr>
            </w:pPr>
            <w:r>
              <w:rPr>
                <w:rStyle w:val="7"/>
                <w:rFonts w:eastAsia="宋体" w:cs="Times New Roman"/>
              </w:rPr>
              <w:t>＜5.00</w:t>
            </w:r>
          </w:p>
        </w:tc>
        <w:tc>
          <w:tcPr>
            <w:tcW w:w="1322" w:type="dxa"/>
            <w:tcBorders>
              <w:top w:val="nil"/>
              <w:left w:val="nil"/>
              <w:bottom w:val="nil"/>
              <w:right w:val="nil"/>
            </w:tcBorders>
          </w:tcPr>
          <w:p w14:paraId="29423D12">
            <w:pPr>
              <w:spacing w:line="360" w:lineRule="auto"/>
              <w:rPr>
                <w:rStyle w:val="7"/>
                <w:rFonts w:eastAsia="宋体" w:cs="Times New Roman"/>
              </w:rPr>
            </w:pPr>
            <w:r>
              <w:rPr>
                <w:rStyle w:val="7"/>
                <w:rFonts w:eastAsia="宋体" w:cs="Times New Roman"/>
              </w:rPr>
              <w:t>5.00~10.00</w:t>
            </w:r>
          </w:p>
        </w:tc>
        <w:tc>
          <w:tcPr>
            <w:tcW w:w="1814" w:type="dxa"/>
            <w:tcBorders>
              <w:top w:val="nil"/>
              <w:left w:val="nil"/>
              <w:bottom w:val="nil"/>
              <w:right w:val="nil"/>
            </w:tcBorders>
          </w:tcPr>
          <w:p w14:paraId="6D2DA63D">
            <w:pPr>
              <w:spacing w:line="360" w:lineRule="auto"/>
              <w:rPr>
                <w:rStyle w:val="7"/>
                <w:rFonts w:eastAsia="宋体" w:cs="Times New Roman"/>
              </w:rPr>
            </w:pPr>
            <w:r>
              <w:rPr>
                <w:rStyle w:val="7"/>
                <w:rFonts w:eastAsia="宋体" w:cs="Times New Roman"/>
              </w:rPr>
              <w:t xml:space="preserve">10.00~15.00 </w:t>
            </w:r>
          </w:p>
        </w:tc>
        <w:tc>
          <w:tcPr>
            <w:tcW w:w="1323" w:type="dxa"/>
            <w:tcBorders>
              <w:top w:val="nil"/>
              <w:left w:val="nil"/>
              <w:bottom w:val="nil"/>
              <w:right w:val="nil"/>
            </w:tcBorders>
          </w:tcPr>
          <w:p w14:paraId="0B4F760A">
            <w:pPr>
              <w:spacing w:line="360" w:lineRule="auto"/>
              <w:rPr>
                <w:rStyle w:val="7"/>
                <w:rFonts w:eastAsia="宋体" w:cs="Times New Roman"/>
              </w:rPr>
            </w:pPr>
            <w:r>
              <w:rPr>
                <w:rStyle w:val="7"/>
                <w:rFonts w:eastAsia="宋体" w:cs="Times New Roman"/>
              </w:rPr>
              <w:t>15.00~20.00</w:t>
            </w:r>
          </w:p>
        </w:tc>
        <w:tc>
          <w:tcPr>
            <w:tcW w:w="1416" w:type="dxa"/>
            <w:tcBorders>
              <w:top w:val="nil"/>
              <w:left w:val="nil"/>
              <w:bottom w:val="nil"/>
              <w:right w:val="nil"/>
            </w:tcBorders>
          </w:tcPr>
          <w:p w14:paraId="02700520">
            <w:pPr>
              <w:spacing w:line="360" w:lineRule="auto"/>
              <w:rPr>
                <w:rStyle w:val="7"/>
                <w:rFonts w:eastAsia="宋体" w:cs="Times New Roman"/>
              </w:rPr>
            </w:pPr>
            <w:r>
              <w:rPr>
                <w:rStyle w:val="7"/>
                <w:rFonts w:eastAsia="宋体" w:cs="Times New Roman"/>
              </w:rPr>
              <w:t>20.00~25.00</w:t>
            </w:r>
          </w:p>
        </w:tc>
        <w:tc>
          <w:tcPr>
            <w:tcW w:w="1385" w:type="dxa"/>
            <w:tcBorders>
              <w:top w:val="nil"/>
              <w:left w:val="nil"/>
              <w:bottom w:val="nil"/>
              <w:right w:val="nil"/>
            </w:tcBorders>
          </w:tcPr>
          <w:p w14:paraId="1E81458A">
            <w:pPr>
              <w:spacing w:line="360" w:lineRule="auto"/>
              <w:rPr>
                <w:rStyle w:val="7"/>
                <w:rFonts w:eastAsia="宋体" w:cs="Times New Roman"/>
              </w:rPr>
            </w:pPr>
            <w:r>
              <w:rPr>
                <w:rStyle w:val="7"/>
                <w:rFonts w:eastAsia="宋体" w:cs="Times New Roman"/>
              </w:rPr>
              <w:t>≥25.00</w:t>
            </w:r>
          </w:p>
          <w:p w14:paraId="6055795A">
            <w:pPr>
              <w:spacing w:line="360" w:lineRule="auto"/>
              <w:rPr>
                <w:rStyle w:val="7"/>
                <w:rFonts w:eastAsia="宋体" w:cs="Times New Roman"/>
              </w:rPr>
            </w:pPr>
          </w:p>
        </w:tc>
      </w:tr>
      <w:tr w14:paraId="0AF09A5A">
        <w:tblPrEx>
          <w:tblCellMar>
            <w:top w:w="0" w:type="dxa"/>
            <w:left w:w="108" w:type="dxa"/>
            <w:bottom w:w="0" w:type="dxa"/>
            <w:right w:w="108" w:type="dxa"/>
          </w:tblCellMar>
        </w:tblPrEx>
        <w:trPr>
          <w:trHeight w:val="482" w:hRule="exact"/>
          <w:jc w:val="center"/>
        </w:trPr>
        <w:tc>
          <w:tcPr>
            <w:tcW w:w="1190" w:type="dxa"/>
            <w:tcBorders>
              <w:top w:val="nil"/>
              <w:left w:val="nil"/>
              <w:bottom w:val="nil"/>
              <w:right w:val="nil"/>
            </w:tcBorders>
          </w:tcPr>
          <w:p w14:paraId="273B8755">
            <w:pPr>
              <w:spacing w:line="360" w:lineRule="auto"/>
              <w:jc w:val="center"/>
              <w:rPr>
                <w:rStyle w:val="7"/>
                <w:rFonts w:hint="default" w:eastAsia="宋体" w:cs="Times New Roman"/>
                <w:lang w:val="en-US" w:eastAsia="zh-CN"/>
              </w:rPr>
            </w:pPr>
            <w:r>
              <w:rPr>
                <w:rStyle w:val="7"/>
                <w:rFonts w:hint="eastAsia" w:eastAsia="宋体" w:cs="Times New Roman"/>
                <w:lang w:val="en-US" w:eastAsia="zh-CN"/>
              </w:rPr>
              <w:t>AP</w:t>
            </w:r>
          </w:p>
          <w:p w14:paraId="31C38984">
            <w:pPr>
              <w:spacing w:line="360" w:lineRule="auto"/>
              <w:jc w:val="center"/>
              <w:rPr>
                <w:rStyle w:val="7"/>
                <w:rFonts w:eastAsia="宋体" w:cs="Times New Roman"/>
              </w:rPr>
            </w:pPr>
          </w:p>
          <w:p w14:paraId="357F6B4A">
            <w:pPr>
              <w:spacing w:line="360" w:lineRule="auto"/>
              <w:jc w:val="center"/>
              <w:rPr>
                <w:rStyle w:val="7"/>
                <w:rFonts w:eastAsia="宋体" w:cs="Times New Roman"/>
              </w:rPr>
            </w:pPr>
          </w:p>
          <w:p w14:paraId="7443C3A8">
            <w:pPr>
              <w:spacing w:line="360" w:lineRule="auto"/>
              <w:jc w:val="center"/>
              <w:rPr>
                <w:rStyle w:val="7"/>
                <w:rFonts w:eastAsia="宋体" w:cs="Times New Roman"/>
              </w:rPr>
            </w:pPr>
          </w:p>
        </w:tc>
        <w:tc>
          <w:tcPr>
            <w:tcW w:w="1617" w:type="dxa"/>
            <w:tcBorders>
              <w:top w:val="nil"/>
              <w:left w:val="nil"/>
              <w:bottom w:val="nil"/>
              <w:right w:val="nil"/>
            </w:tcBorders>
          </w:tcPr>
          <w:p w14:paraId="66B5F2B3">
            <w:pPr>
              <w:spacing w:line="360" w:lineRule="auto"/>
              <w:rPr>
                <w:rStyle w:val="7"/>
                <w:rFonts w:eastAsia="宋体" w:cs="Times New Roman"/>
              </w:rPr>
            </w:pPr>
            <w:r>
              <w:rPr>
                <w:rStyle w:val="7"/>
                <w:rFonts w:eastAsia="宋体" w:cs="Times New Roman"/>
              </w:rPr>
              <w:t xml:space="preserve">＜3.00 </w:t>
            </w:r>
          </w:p>
        </w:tc>
        <w:tc>
          <w:tcPr>
            <w:tcW w:w="1322" w:type="dxa"/>
            <w:tcBorders>
              <w:top w:val="nil"/>
              <w:left w:val="nil"/>
              <w:bottom w:val="nil"/>
              <w:right w:val="nil"/>
            </w:tcBorders>
          </w:tcPr>
          <w:p w14:paraId="6D2CA1CE">
            <w:pPr>
              <w:spacing w:line="360" w:lineRule="auto"/>
              <w:rPr>
                <w:rStyle w:val="7"/>
                <w:rFonts w:eastAsia="宋体" w:cs="Times New Roman"/>
              </w:rPr>
            </w:pPr>
            <w:r>
              <w:rPr>
                <w:rStyle w:val="7"/>
                <w:rFonts w:eastAsia="宋体" w:cs="Times New Roman"/>
              </w:rPr>
              <w:t>3.00~5.00</w:t>
            </w:r>
          </w:p>
        </w:tc>
        <w:tc>
          <w:tcPr>
            <w:tcW w:w="1814" w:type="dxa"/>
            <w:tcBorders>
              <w:top w:val="nil"/>
              <w:left w:val="nil"/>
              <w:bottom w:val="nil"/>
              <w:right w:val="nil"/>
            </w:tcBorders>
          </w:tcPr>
          <w:p w14:paraId="64484170">
            <w:pPr>
              <w:spacing w:line="360" w:lineRule="auto"/>
              <w:rPr>
                <w:rStyle w:val="7"/>
                <w:rFonts w:eastAsia="宋体" w:cs="Times New Roman"/>
              </w:rPr>
            </w:pPr>
            <w:r>
              <w:rPr>
                <w:rStyle w:val="7"/>
                <w:rFonts w:eastAsia="宋体" w:cs="Times New Roman"/>
              </w:rPr>
              <w:t>5.00~10.00</w:t>
            </w:r>
          </w:p>
        </w:tc>
        <w:tc>
          <w:tcPr>
            <w:tcW w:w="1323" w:type="dxa"/>
            <w:tcBorders>
              <w:top w:val="nil"/>
              <w:left w:val="nil"/>
              <w:bottom w:val="nil"/>
              <w:right w:val="nil"/>
            </w:tcBorders>
          </w:tcPr>
          <w:p w14:paraId="43034B37">
            <w:pPr>
              <w:spacing w:line="360" w:lineRule="auto"/>
              <w:rPr>
                <w:rStyle w:val="7"/>
                <w:rFonts w:eastAsia="宋体" w:cs="Times New Roman"/>
              </w:rPr>
            </w:pPr>
            <w:r>
              <w:rPr>
                <w:rStyle w:val="7"/>
                <w:rFonts w:eastAsia="宋体" w:cs="Times New Roman"/>
              </w:rPr>
              <w:t>10.00~20.00</w:t>
            </w:r>
          </w:p>
        </w:tc>
        <w:tc>
          <w:tcPr>
            <w:tcW w:w="1416" w:type="dxa"/>
            <w:tcBorders>
              <w:top w:val="nil"/>
              <w:left w:val="nil"/>
              <w:bottom w:val="nil"/>
              <w:right w:val="nil"/>
            </w:tcBorders>
          </w:tcPr>
          <w:p w14:paraId="70695B8A">
            <w:pPr>
              <w:spacing w:line="360" w:lineRule="auto"/>
              <w:rPr>
                <w:rStyle w:val="7"/>
                <w:rFonts w:eastAsia="宋体" w:cs="Times New Roman"/>
              </w:rPr>
            </w:pPr>
            <w:r>
              <w:rPr>
                <w:rStyle w:val="7"/>
                <w:rFonts w:eastAsia="宋体" w:cs="Times New Roman"/>
              </w:rPr>
              <w:t>20.00~40.00</w:t>
            </w:r>
          </w:p>
        </w:tc>
        <w:tc>
          <w:tcPr>
            <w:tcW w:w="1385" w:type="dxa"/>
            <w:tcBorders>
              <w:top w:val="nil"/>
              <w:left w:val="nil"/>
              <w:bottom w:val="nil"/>
              <w:right w:val="nil"/>
            </w:tcBorders>
          </w:tcPr>
          <w:p w14:paraId="14E99FD1">
            <w:pPr>
              <w:spacing w:line="360" w:lineRule="auto"/>
              <w:rPr>
                <w:rStyle w:val="7"/>
                <w:rFonts w:eastAsia="宋体" w:cs="Times New Roman"/>
              </w:rPr>
            </w:pPr>
            <w:r>
              <w:rPr>
                <w:rStyle w:val="7"/>
                <w:rFonts w:eastAsia="宋体" w:cs="Times New Roman"/>
              </w:rPr>
              <w:t>≥40.00</w:t>
            </w:r>
          </w:p>
          <w:p w14:paraId="61A4D0F1">
            <w:pPr>
              <w:spacing w:line="360" w:lineRule="auto"/>
              <w:rPr>
                <w:rStyle w:val="7"/>
                <w:rFonts w:eastAsia="宋体" w:cs="Times New Roman"/>
              </w:rPr>
            </w:pPr>
          </w:p>
        </w:tc>
      </w:tr>
      <w:tr w14:paraId="277B16B7">
        <w:tblPrEx>
          <w:tblCellMar>
            <w:top w:w="0" w:type="dxa"/>
            <w:left w:w="108" w:type="dxa"/>
            <w:bottom w:w="0" w:type="dxa"/>
            <w:right w:w="108" w:type="dxa"/>
          </w:tblCellMar>
        </w:tblPrEx>
        <w:trPr>
          <w:trHeight w:val="567" w:hRule="exact"/>
          <w:jc w:val="center"/>
        </w:trPr>
        <w:tc>
          <w:tcPr>
            <w:tcW w:w="1190" w:type="dxa"/>
            <w:tcBorders>
              <w:top w:val="nil"/>
              <w:left w:val="nil"/>
              <w:bottom w:val="single" w:color="auto" w:sz="4" w:space="0"/>
              <w:right w:val="nil"/>
            </w:tcBorders>
          </w:tcPr>
          <w:p w14:paraId="4B5E1848">
            <w:pPr>
              <w:spacing w:line="360" w:lineRule="auto"/>
              <w:jc w:val="center"/>
              <w:rPr>
                <w:rStyle w:val="7"/>
                <w:rFonts w:eastAsia="宋体" w:cs="Times New Roman"/>
              </w:rPr>
            </w:pPr>
            <w:r>
              <w:rPr>
                <w:rStyle w:val="7"/>
                <w:rFonts w:hint="eastAsia" w:eastAsia="宋体" w:cs="Times New Roman"/>
                <w:lang w:val="en-US" w:eastAsia="zh-CN"/>
              </w:rPr>
              <w:t>AK</w:t>
            </w:r>
          </w:p>
        </w:tc>
        <w:tc>
          <w:tcPr>
            <w:tcW w:w="1617" w:type="dxa"/>
            <w:tcBorders>
              <w:top w:val="nil"/>
              <w:left w:val="nil"/>
              <w:bottom w:val="single" w:color="auto" w:sz="4" w:space="0"/>
              <w:right w:val="nil"/>
            </w:tcBorders>
          </w:tcPr>
          <w:p w14:paraId="73D654B9">
            <w:pPr>
              <w:spacing w:line="360" w:lineRule="auto"/>
              <w:rPr>
                <w:rStyle w:val="7"/>
                <w:rFonts w:eastAsia="宋体" w:cs="Times New Roman"/>
              </w:rPr>
            </w:pPr>
            <w:r>
              <w:rPr>
                <w:rStyle w:val="7"/>
                <w:rFonts w:eastAsia="宋体" w:cs="Times New Roman"/>
              </w:rPr>
              <w:t>＜30.00</w:t>
            </w:r>
          </w:p>
        </w:tc>
        <w:tc>
          <w:tcPr>
            <w:tcW w:w="1322" w:type="dxa"/>
            <w:tcBorders>
              <w:top w:val="nil"/>
              <w:left w:val="nil"/>
              <w:bottom w:val="single" w:color="auto" w:sz="4" w:space="0"/>
              <w:right w:val="nil"/>
            </w:tcBorders>
          </w:tcPr>
          <w:p w14:paraId="007D43DB">
            <w:pPr>
              <w:spacing w:line="360" w:lineRule="auto"/>
              <w:rPr>
                <w:rStyle w:val="7"/>
                <w:rFonts w:eastAsia="宋体" w:cs="Times New Roman"/>
              </w:rPr>
            </w:pPr>
            <w:r>
              <w:rPr>
                <w:rStyle w:val="7"/>
                <w:rFonts w:eastAsia="宋体" w:cs="Times New Roman"/>
              </w:rPr>
              <w:t>30.00~50.00</w:t>
            </w:r>
          </w:p>
        </w:tc>
        <w:tc>
          <w:tcPr>
            <w:tcW w:w="1814" w:type="dxa"/>
            <w:tcBorders>
              <w:top w:val="nil"/>
              <w:left w:val="nil"/>
              <w:bottom w:val="single" w:color="auto" w:sz="4" w:space="0"/>
              <w:right w:val="nil"/>
            </w:tcBorders>
          </w:tcPr>
          <w:p w14:paraId="60A0EBC5">
            <w:pPr>
              <w:spacing w:line="360" w:lineRule="auto"/>
              <w:rPr>
                <w:rStyle w:val="7"/>
                <w:rFonts w:eastAsia="宋体" w:cs="Times New Roman"/>
              </w:rPr>
            </w:pPr>
            <w:r>
              <w:rPr>
                <w:rStyle w:val="7"/>
                <w:rFonts w:eastAsia="宋体" w:cs="Times New Roman"/>
              </w:rPr>
              <w:t>50.00~100.00</w:t>
            </w:r>
          </w:p>
        </w:tc>
        <w:tc>
          <w:tcPr>
            <w:tcW w:w="1323" w:type="dxa"/>
            <w:tcBorders>
              <w:top w:val="nil"/>
              <w:left w:val="nil"/>
              <w:bottom w:val="single" w:color="auto" w:sz="4" w:space="0"/>
              <w:right w:val="nil"/>
            </w:tcBorders>
          </w:tcPr>
          <w:p w14:paraId="1881BBC9">
            <w:pPr>
              <w:spacing w:line="360" w:lineRule="auto"/>
              <w:rPr>
                <w:rStyle w:val="7"/>
                <w:rFonts w:eastAsia="宋体" w:cs="Times New Roman"/>
              </w:rPr>
            </w:pPr>
            <w:r>
              <w:rPr>
                <w:rStyle w:val="7"/>
                <w:rFonts w:eastAsia="宋体" w:cs="Times New Roman"/>
              </w:rPr>
              <w:t xml:space="preserve">100.00~150.00 </w:t>
            </w:r>
          </w:p>
        </w:tc>
        <w:tc>
          <w:tcPr>
            <w:tcW w:w="1416" w:type="dxa"/>
            <w:tcBorders>
              <w:top w:val="nil"/>
              <w:left w:val="nil"/>
              <w:bottom w:val="single" w:color="auto" w:sz="4" w:space="0"/>
              <w:right w:val="nil"/>
            </w:tcBorders>
          </w:tcPr>
          <w:p w14:paraId="440DDD72">
            <w:pPr>
              <w:spacing w:line="360" w:lineRule="auto"/>
              <w:rPr>
                <w:rStyle w:val="7"/>
                <w:rFonts w:eastAsia="宋体" w:cs="Times New Roman"/>
              </w:rPr>
            </w:pPr>
            <w:r>
              <w:rPr>
                <w:rStyle w:val="7"/>
                <w:rFonts w:eastAsia="宋体" w:cs="Times New Roman"/>
              </w:rPr>
              <w:t>150.00~200.00</w:t>
            </w:r>
          </w:p>
        </w:tc>
        <w:tc>
          <w:tcPr>
            <w:tcW w:w="1385" w:type="dxa"/>
            <w:tcBorders>
              <w:top w:val="nil"/>
              <w:left w:val="nil"/>
              <w:bottom w:val="single" w:color="auto" w:sz="4" w:space="0"/>
              <w:right w:val="nil"/>
            </w:tcBorders>
          </w:tcPr>
          <w:p w14:paraId="62F52691">
            <w:pPr>
              <w:spacing w:line="360" w:lineRule="auto"/>
              <w:rPr>
                <w:rStyle w:val="7"/>
                <w:rFonts w:eastAsia="宋体" w:cs="Times New Roman"/>
              </w:rPr>
            </w:pPr>
            <w:r>
              <w:rPr>
                <w:rStyle w:val="7"/>
                <w:rFonts w:eastAsia="宋体" w:cs="Times New Roman"/>
              </w:rPr>
              <w:t>≥200.00</w:t>
            </w:r>
          </w:p>
          <w:p w14:paraId="71D585CE">
            <w:pPr>
              <w:spacing w:line="360" w:lineRule="auto"/>
              <w:rPr>
                <w:rStyle w:val="7"/>
                <w:rFonts w:eastAsia="宋体" w:cs="Times New Roman"/>
              </w:rPr>
            </w:pPr>
          </w:p>
        </w:tc>
      </w:tr>
    </w:tbl>
    <w:p w14:paraId="3B73F3D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107AB"/>
    <w:rsid w:val="041E7077"/>
    <w:rsid w:val="08D826A6"/>
    <w:rsid w:val="0DDE426B"/>
    <w:rsid w:val="24F2466B"/>
    <w:rsid w:val="25E41077"/>
    <w:rsid w:val="290851A4"/>
    <w:rsid w:val="2F2820FC"/>
    <w:rsid w:val="361278DB"/>
    <w:rsid w:val="36F111FC"/>
    <w:rsid w:val="3ED96741"/>
    <w:rsid w:val="4AF10B5C"/>
    <w:rsid w:val="591C53C0"/>
    <w:rsid w:val="5F035B99"/>
    <w:rsid w:val="5F20741E"/>
    <w:rsid w:val="5FA02015"/>
    <w:rsid w:val="70710BEF"/>
    <w:rsid w:val="70CC520D"/>
    <w:rsid w:val="78B02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ajorEastAsia" w:cstheme="minorBidi"/>
      <w:kern w:val="44"/>
      <w:sz w:val="24"/>
      <w:szCs w:val="24"/>
      <w:lang w:val="en-US" w:eastAsia="zh-CN" w:bidi="ar-SA"/>
    </w:rPr>
  </w:style>
  <w:style w:type="paragraph" w:styleId="2">
    <w:name w:val="heading 1"/>
    <w:basedOn w:val="1"/>
    <w:next w:val="1"/>
    <w:link w:val="9"/>
    <w:qFormat/>
    <w:uiPriority w:val="0"/>
    <w:pPr>
      <w:keepNext/>
      <w:keepLines/>
      <w:jc w:val="left"/>
      <w:outlineLvl w:val="0"/>
    </w:pPr>
    <w:rPr>
      <w:b/>
      <w:kern w:val="44"/>
      <w:sz w:val="28"/>
    </w:rPr>
  </w:style>
  <w:style w:type="paragraph" w:styleId="3">
    <w:name w:val="heading 2"/>
    <w:basedOn w:val="1"/>
    <w:next w:val="1"/>
    <w:link w:val="10"/>
    <w:semiHidden/>
    <w:unhideWhenUsed/>
    <w:qFormat/>
    <w:uiPriority w:val="0"/>
    <w:pPr>
      <w:keepNext/>
      <w:keepLines/>
      <w:outlineLvl w:val="1"/>
    </w:pPr>
    <w:rPr>
      <w:rFonts w:cstheme="majorBidi"/>
      <w:b/>
      <w:bCs/>
      <w:szCs w:val="32"/>
    </w:rPr>
  </w:style>
  <w:style w:type="paragraph" w:styleId="4">
    <w:name w:val="heading 3"/>
    <w:basedOn w:val="1"/>
    <w:next w:val="1"/>
    <w:link w:val="11"/>
    <w:semiHidden/>
    <w:unhideWhenUsed/>
    <w:qFormat/>
    <w:uiPriority w:val="0"/>
    <w:pPr>
      <w:keepNext/>
      <w:keepLines/>
      <w:outlineLvl w:val="2"/>
    </w:pPr>
    <w:rPr>
      <w:bCs/>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annotation reference"/>
    <w:qFormat/>
    <w:uiPriority w:val="0"/>
    <w:rPr>
      <w:sz w:val="21"/>
      <w:szCs w:val="21"/>
    </w:rPr>
  </w:style>
  <w:style w:type="paragraph" w:customStyle="1" w:styleId="8">
    <w:name w:val="一级标题"/>
    <w:basedOn w:val="2"/>
    <w:next w:val="3"/>
    <w:qFormat/>
    <w:uiPriority w:val="0"/>
    <w:rPr>
      <w:rFonts w:ascii="Times New Roman" w:hAnsi="Times New Roman"/>
      <w:sz w:val="24"/>
    </w:rPr>
  </w:style>
  <w:style w:type="character" w:customStyle="1" w:styleId="9">
    <w:name w:val="标题 1 字符"/>
    <w:link w:val="2"/>
    <w:qFormat/>
    <w:uiPriority w:val="9"/>
    <w:rPr>
      <w:rFonts w:eastAsia="宋体"/>
      <w:b/>
      <w:kern w:val="44"/>
      <w:sz w:val="28"/>
      <w:szCs w:val="24"/>
    </w:rPr>
  </w:style>
  <w:style w:type="character" w:customStyle="1" w:styleId="10">
    <w:name w:val="标题 2 字符"/>
    <w:link w:val="3"/>
    <w:qFormat/>
    <w:uiPriority w:val="9"/>
    <w:rPr>
      <w:rFonts w:ascii="Times New Roman" w:hAnsi="Times New Roman" w:eastAsia="宋体" w:cstheme="majorBidi"/>
      <w:b/>
      <w:bCs/>
      <w:kern w:val="2"/>
      <w:sz w:val="24"/>
      <w:szCs w:val="32"/>
      <w:lang w:val="en-US" w:eastAsia="zh-CN" w:bidi="ar-SA"/>
    </w:rPr>
  </w:style>
  <w:style w:type="character" w:customStyle="1" w:styleId="11">
    <w:name w:val="标题 3 字符"/>
    <w:link w:val="4"/>
    <w:qFormat/>
    <w:uiPriority w:val="9"/>
    <w:rPr>
      <w:rFonts w:ascii="Times New Roman" w:hAnsi="Times New Roman" w:eastAsia="宋体" w:cs="Times New Roman"/>
      <w:bCs/>
      <w:kern w:val="2"/>
      <w:sz w:val="24"/>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1637</Words>
  <Characters>8998</Characters>
  <Lines>0</Lines>
  <Paragraphs>0</Paragraphs>
  <TotalTime>3</TotalTime>
  <ScaleCrop>false</ScaleCrop>
  <LinksUpToDate>false</LinksUpToDate>
  <CharactersWithSpaces>10526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2025-03-25T01:26:00Z</dcterms:created>
  <dc:creator>mqy</dc:creator>
  <cp:lastModifiedBy>@ 华@</cp:lastModifiedBy>
  <dcterms:modified xsi:type="dcterms:W3CDTF">2026-02-05T12:08:43Z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95B83DC6053A47C88C9AAEB406D6B2C3_13</vt:lpwstr>
  </property>
  <property fmtid="{D5CDD505-2E9C-101B-9397-08002B2CF9AE}" pid="4" name="KSOTemplateDocerSaveRecord">
    <vt:lpwstr>eyJoZGlkIjoiYTU1NWFjODI5NzUxNzg3NDcyNmZiNDllZmY1Mzg0ZWEiLCJ1c2VySWQiOiI1NDYwODA1MjMifQ==</vt:lpwstr>
  </property>
</Properties>
</file>