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98F2D" w14:textId="77777777" w:rsidR="00CA2AF5" w:rsidRDefault="00000000">
      <w:pPr>
        <w:spacing w:line="480" w:lineRule="auto"/>
        <w:jc w:val="center"/>
        <w:rPr>
          <w:rFonts w:ascii="Times New Roman" w:hAnsi="Times New Roman"/>
          <w:b/>
          <w:bCs/>
          <w:sz w:val="28"/>
          <w:szCs w:val="28"/>
          <w:u w:val="single"/>
        </w:rPr>
      </w:pPr>
      <w:r>
        <w:rPr>
          <w:rFonts w:ascii="Times New Roman" w:hAnsi="Times New Roman"/>
          <w:b/>
          <w:bCs/>
          <w:sz w:val="28"/>
          <w:szCs w:val="28"/>
          <w:u w:val="single"/>
        </w:rPr>
        <w:t>S</w:t>
      </w:r>
      <w:r>
        <w:rPr>
          <w:rFonts w:ascii="Times New Roman" w:hAnsi="Times New Roman" w:hint="eastAsia"/>
          <w:b/>
          <w:bCs/>
          <w:sz w:val="28"/>
          <w:szCs w:val="28"/>
          <w:u w:val="single"/>
        </w:rPr>
        <w:t xml:space="preserve">upplementary materials </w:t>
      </w:r>
      <w:r>
        <w:rPr>
          <w:rFonts w:ascii="Times New Roman" w:hAnsi="Times New Roman"/>
          <w:b/>
          <w:bCs/>
          <w:sz w:val="28"/>
          <w:szCs w:val="28"/>
          <w:u w:val="single"/>
        </w:rPr>
        <w:t>for</w:t>
      </w:r>
    </w:p>
    <w:p w14:paraId="11EFA1CD" w14:textId="77777777" w:rsidR="00CA2AF5" w:rsidRDefault="00000000">
      <w:pPr>
        <w:spacing w:before="156" w:after="156" w:line="480" w:lineRule="auto"/>
        <w:ind w:firstLine="562"/>
        <w:jc w:val="center"/>
        <w:rPr>
          <w:rFonts w:ascii="Times New Roman" w:hAnsi="Times New Roman" w:cs="Times New Roman"/>
          <w:b/>
          <w:bCs/>
          <w:sz w:val="28"/>
          <w:szCs w:val="28"/>
        </w:rPr>
      </w:pPr>
      <w:r>
        <w:rPr>
          <w:rFonts w:ascii="Times New Roman" w:hAnsi="Times New Roman" w:cs="Times New Roman"/>
          <w:b/>
          <w:bCs/>
          <w:sz w:val="28"/>
          <w:szCs w:val="28"/>
        </w:rPr>
        <w:t>Cadmium enhances biochar carbon sequestration in soils via cation bridging and microbial toxicity</w:t>
      </w:r>
    </w:p>
    <w:p w14:paraId="5C7DD91F" w14:textId="77777777" w:rsidR="00CA2AF5" w:rsidRDefault="00000000">
      <w:pPr>
        <w:spacing w:before="156" w:after="156" w:line="480" w:lineRule="auto"/>
        <w:rPr>
          <w:rFonts w:ascii="Times New Roman" w:hAnsi="Times New Roman" w:cs="Times New Roman"/>
          <w:szCs w:val="24"/>
        </w:rPr>
      </w:pPr>
      <w:proofErr w:type="spellStart"/>
      <w:r>
        <w:rPr>
          <w:rFonts w:ascii="Times New Roman" w:hAnsi="Times New Roman" w:cs="Times New Roman"/>
          <w:szCs w:val="24"/>
        </w:rPr>
        <w:t>Huayue</w:t>
      </w:r>
      <w:proofErr w:type="spellEnd"/>
      <w:r>
        <w:rPr>
          <w:rFonts w:ascii="Times New Roman" w:hAnsi="Times New Roman" w:cs="Times New Roman"/>
          <w:szCs w:val="24"/>
        </w:rPr>
        <w:t xml:space="preserve"> Nie</w:t>
      </w:r>
      <w:r>
        <w:rPr>
          <w:rFonts w:ascii="Times New Roman" w:hAnsi="Times New Roman" w:cs="Times New Roman"/>
          <w:szCs w:val="24"/>
          <w:vertAlign w:val="superscript"/>
        </w:rPr>
        <w:t>1</w:t>
      </w:r>
      <w:r>
        <w:rPr>
          <w:rFonts w:ascii="Times New Roman" w:hAnsi="Times New Roman" w:cs="Times New Roman"/>
          <w:szCs w:val="24"/>
        </w:rPr>
        <w:t>, Chang Shen</w:t>
      </w:r>
      <w:r>
        <w:rPr>
          <w:rFonts w:ascii="Times New Roman" w:hAnsi="Times New Roman" w:cs="Times New Roman"/>
          <w:szCs w:val="24"/>
          <w:vertAlign w:val="superscript"/>
        </w:rPr>
        <w:t>1</w:t>
      </w:r>
      <w:r>
        <w:rPr>
          <w:rFonts w:ascii="Times New Roman" w:hAnsi="Times New Roman" w:cs="Times New Roman"/>
          <w:szCs w:val="24"/>
        </w:rPr>
        <w:t xml:space="preserve">, </w:t>
      </w:r>
      <w:proofErr w:type="spellStart"/>
      <w:r>
        <w:rPr>
          <w:rFonts w:ascii="Times New Roman" w:hAnsi="Times New Roman" w:cs="Times New Roman"/>
          <w:szCs w:val="24"/>
        </w:rPr>
        <w:t>Xuliang</w:t>
      </w:r>
      <w:proofErr w:type="spellEnd"/>
      <w:r>
        <w:rPr>
          <w:rFonts w:ascii="Times New Roman" w:hAnsi="Times New Roman" w:cs="Times New Roman"/>
          <w:szCs w:val="24"/>
        </w:rPr>
        <w:t xml:space="preserve"> Han</w:t>
      </w:r>
      <w:r>
        <w:rPr>
          <w:rFonts w:ascii="Times New Roman" w:hAnsi="Times New Roman" w:cs="Times New Roman"/>
          <w:szCs w:val="24"/>
          <w:vertAlign w:val="superscript"/>
        </w:rPr>
        <w:t>1</w:t>
      </w:r>
      <w:r>
        <w:rPr>
          <w:rFonts w:ascii="Times New Roman" w:hAnsi="Times New Roman" w:cs="Times New Roman"/>
          <w:szCs w:val="24"/>
        </w:rPr>
        <w:t xml:space="preserve">, </w:t>
      </w:r>
      <w:proofErr w:type="spellStart"/>
      <w:r>
        <w:rPr>
          <w:rFonts w:ascii="Times New Roman" w:hAnsi="Times New Roman" w:cs="Times New Roman"/>
          <w:szCs w:val="24"/>
        </w:rPr>
        <w:t>Zikai</w:t>
      </w:r>
      <w:proofErr w:type="spellEnd"/>
      <w:r>
        <w:rPr>
          <w:rFonts w:ascii="Times New Roman" w:hAnsi="Times New Roman" w:cs="Times New Roman"/>
          <w:szCs w:val="24"/>
        </w:rPr>
        <w:t xml:space="preserve"> Lai</w:t>
      </w:r>
      <w:r>
        <w:rPr>
          <w:rFonts w:ascii="Times New Roman" w:hAnsi="Times New Roman" w:cs="Times New Roman"/>
          <w:szCs w:val="24"/>
          <w:vertAlign w:val="superscript"/>
        </w:rPr>
        <w:t>1</w:t>
      </w:r>
      <w:r>
        <w:rPr>
          <w:rFonts w:ascii="Times New Roman" w:hAnsi="Times New Roman" w:cs="Times New Roman"/>
          <w:szCs w:val="24"/>
        </w:rPr>
        <w:t>, Mingwei Chen</w:t>
      </w:r>
      <w:r>
        <w:rPr>
          <w:rFonts w:ascii="Times New Roman" w:hAnsi="Times New Roman" w:cs="Times New Roman"/>
          <w:szCs w:val="24"/>
          <w:vertAlign w:val="superscript"/>
        </w:rPr>
        <w:t>1</w:t>
      </w:r>
      <w:r>
        <w:rPr>
          <w:rFonts w:ascii="Times New Roman" w:hAnsi="Times New Roman" w:cs="Times New Roman"/>
          <w:szCs w:val="24"/>
        </w:rPr>
        <w:t xml:space="preserve">, </w:t>
      </w:r>
      <w:proofErr w:type="spellStart"/>
      <w:r>
        <w:rPr>
          <w:rFonts w:ascii="Times New Roman" w:hAnsi="Times New Roman" w:cs="Times New Roman"/>
          <w:szCs w:val="24"/>
        </w:rPr>
        <w:t>Chenxiao</w:t>
      </w:r>
      <w:proofErr w:type="spellEnd"/>
      <w:r>
        <w:rPr>
          <w:rFonts w:ascii="Times New Roman" w:hAnsi="Times New Roman" w:cs="Times New Roman"/>
          <w:szCs w:val="24"/>
        </w:rPr>
        <w:t xml:space="preserve"> Hu</w:t>
      </w:r>
      <w:r>
        <w:rPr>
          <w:rFonts w:ascii="Times New Roman" w:hAnsi="Times New Roman" w:cs="Times New Roman"/>
          <w:szCs w:val="24"/>
          <w:vertAlign w:val="superscript"/>
        </w:rPr>
        <w:t>1</w:t>
      </w:r>
      <w:r>
        <w:rPr>
          <w:rFonts w:ascii="Times New Roman" w:hAnsi="Times New Roman" w:cs="Times New Roman"/>
          <w:szCs w:val="24"/>
        </w:rPr>
        <w:t>, Lanfang Han</w:t>
      </w:r>
      <w:proofErr w:type="gramStart"/>
      <w:r>
        <w:rPr>
          <w:rFonts w:ascii="Times New Roman" w:hAnsi="Times New Roman" w:cs="Times New Roman"/>
          <w:szCs w:val="24"/>
          <w:vertAlign w:val="superscript"/>
        </w:rPr>
        <w:t>1,*</w:t>
      </w:r>
      <w:proofErr w:type="gramEnd"/>
      <w:r>
        <w:rPr>
          <w:rFonts w:ascii="Times New Roman" w:hAnsi="Times New Roman" w:cs="Times New Roman"/>
          <w:szCs w:val="24"/>
        </w:rPr>
        <w:t xml:space="preserve">, Huan Tang </w:t>
      </w:r>
      <w:proofErr w:type="gramStart"/>
      <w:r>
        <w:rPr>
          <w:rFonts w:ascii="Times New Roman" w:hAnsi="Times New Roman" w:cs="Times New Roman"/>
          <w:szCs w:val="24"/>
          <w:vertAlign w:val="superscript"/>
        </w:rPr>
        <w:t>2,*</w:t>
      </w:r>
      <w:proofErr w:type="gramEnd"/>
      <w:r>
        <w:rPr>
          <w:rFonts w:ascii="Times New Roman" w:hAnsi="Times New Roman" w:cs="Times New Roman"/>
          <w:szCs w:val="24"/>
        </w:rPr>
        <w:t xml:space="preserve">, </w:t>
      </w:r>
      <w:proofErr w:type="spellStart"/>
      <w:r>
        <w:rPr>
          <w:rFonts w:ascii="Times New Roman" w:hAnsi="Times New Roman" w:cs="Times New Roman"/>
          <w:szCs w:val="24"/>
        </w:rPr>
        <w:t>Zhifeng</w:t>
      </w:r>
      <w:proofErr w:type="spellEnd"/>
      <w:r>
        <w:rPr>
          <w:rFonts w:ascii="Times New Roman" w:hAnsi="Times New Roman" w:cs="Times New Roman"/>
          <w:szCs w:val="24"/>
        </w:rPr>
        <w:t xml:space="preserve"> Yang</w:t>
      </w:r>
      <w:r>
        <w:rPr>
          <w:rFonts w:ascii="Times New Roman" w:hAnsi="Times New Roman" w:cs="Times New Roman"/>
          <w:szCs w:val="24"/>
          <w:vertAlign w:val="superscript"/>
        </w:rPr>
        <w:t>1</w:t>
      </w:r>
    </w:p>
    <w:p w14:paraId="7CC797ED" w14:textId="7AD2A68C" w:rsidR="00CA2AF5" w:rsidRDefault="00000000">
      <w:pPr>
        <w:spacing w:line="360" w:lineRule="auto"/>
        <w:rPr>
          <w:rFonts w:ascii="Times New Roman" w:hAnsi="Times New Roman" w:cs="Times New Roman"/>
          <w:i/>
          <w:iCs/>
          <w:sz w:val="22"/>
          <w:szCs w:val="24"/>
        </w:rPr>
      </w:pPr>
      <w:r>
        <w:rPr>
          <w:rFonts w:ascii="Times New Roman" w:hAnsi="Times New Roman" w:cs="Times New Roman"/>
          <w:i/>
          <w:iCs/>
          <w:sz w:val="22"/>
          <w:szCs w:val="24"/>
          <w:vertAlign w:val="superscript"/>
        </w:rPr>
        <w:t>1</w:t>
      </w:r>
      <w:r>
        <w:rPr>
          <w:rFonts w:ascii="Times New Roman" w:hAnsi="Times New Roman" w:cs="Times New Roman"/>
          <w:i/>
          <w:iCs/>
          <w:sz w:val="22"/>
          <w:szCs w:val="24"/>
        </w:rPr>
        <w:t xml:space="preserve">Guangdong Basic Research Center of Excellence for Ecological Security and Green Development, Key Laboratory for City Cluster Environmental Safety and Green Development of the Ministry of Education, School of Ecology, Environment and </w:t>
      </w:r>
      <w:r>
        <w:rPr>
          <w:rFonts w:ascii="Times New Roman" w:hAnsi="Times New Roman" w:cs="Times New Roman" w:hint="eastAsia"/>
          <w:i/>
          <w:iCs/>
          <w:sz w:val="22"/>
          <w:szCs w:val="24"/>
        </w:rPr>
        <w:t>Ocean</w:t>
      </w:r>
      <w:r>
        <w:rPr>
          <w:rFonts w:ascii="Times New Roman" w:hAnsi="Times New Roman" w:cs="Times New Roman"/>
          <w:i/>
          <w:iCs/>
          <w:sz w:val="22"/>
          <w:szCs w:val="24"/>
        </w:rPr>
        <w:t>, Guangdong University of Technology, Guangzhou 510006, China</w:t>
      </w:r>
    </w:p>
    <w:p w14:paraId="101C5184" w14:textId="7E4C4E01" w:rsidR="00CA2AF5" w:rsidRDefault="00000000">
      <w:pPr>
        <w:spacing w:line="360" w:lineRule="auto"/>
        <w:rPr>
          <w:rFonts w:ascii="Times New Roman" w:hAnsi="Times New Roman" w:cs="Times New Roman"/>
          <w:i/>
          <w:iCs/>
          <w:sz w:val="22"/>
          <w:szCs w:val="24"/>
        </w:rPr>
      </w:pPr>
      <w:r>
        <w:rPr>
          <w:rFonts w:ascii="Times New Roman" w:hAnsi="Times New Roman" w:cs="Times New Roman"/>
          <w:i/>
          <w:iCs/>
          <w:sz w:val="22"/>
          <w:szCs w:val="24"/>
          <w:vertAlign w:val="superscript"/>
        </w:rPr>
        <w:t>2</w:t>
      </w:r>
      <w:r>
        <w:rPr>
          <w:rFonts w:ascii="Times New Roman" w:hAnsi="Times New Roman" w:cs="Times New Roman"/>
          <w:i/>
          <w:iCs/>
          <w:sz w:val="22"/>
          <w:szCs w:val="24"/>
        </w:rPr>
        <w:t>Key Laboratory of Northwest Water Resource, Environment and Ecology, MOE, Xi'an University of Architecture and Technology, Xi'an 710055, China</w:t>
      </w:r>
    </w:p>
    <w:p w14:paraId="091304B0" w14:textId="77777777" w:rsidR="00CA2AF5" w:rsidRDefault="00000000">
      <w:pPr>
        <w:spacing w:line="480" w:lineRule="auto"/>
        <w:rPr>
          <w:rFonts w:ascii="Times New Roman" w:hAnsi="Times New Roman" w:cs="Times New Roman"/>
          <w:szCs w:val="24"/>
        </w:rPr>
      </w:pPr>
      <w:r>
        <w:rPr>
          <w:rFonts w:ascii="Times New Roman" w:hAnsi="Times New Roman" w:cs="Times New Roman"/>
          <w:szCs w:val="24"/>
        </w:rPr>
        <w:t xml:space="preserve">*Corresponding author. Email: </w:t>
      </w:r>
      <w:hyperlink r:id="rId8" w:history="1">
        <w:r w:rsidR="00CA2AF5">
          <w:rPr>
            <w:rStyle w:val="af2"/>
            <w:rFonts w:ascii="Times New Roman" w:eastAsia="宋体" w:hAnsi="Times New Roman" w:cs="Times New Roman"/>
            <w:szCs w:val="24"/>
          </w:rPr>
          <w:t>hanlanfang</w:t>
        </w:r>
        <w:r w:rsidR="00CA2AF5">
          <w:rPr>
            <w:rStyle w:val="af2"/>
            <w:rFonts w:ascii="Times New Roman" w:hAnsi="Times New Roman" w:cs="Times New Roman"/>
            <w:szCs w:val="24"/>
          </w:rPr>
          <w:t>@gdut.edu.cn</w:t>
        </w:r>
      </w:hyperlink>
    </w:p>
    <w:p w14:paraId="3435695C" w14:textId="77777777" w:rsidR="00CA2AF5" w:rsidRDefault="00000000">
      <w:pPr>
        <w:spacing w:line="480" w:lineRule="auto"/>
        <w:jc w:val="center"/>
        <w:rPr>
          <w:rFonts w:ascii="Times New Roman" w:hAnsi="Times New Roman" w:cs="Times New Roman"/>
          <w:color w:val="000000" w:themeColor="text1"/>
          <w:szCs w:val="24"/>
        </w:rPr>
        <w:sectPr w:rsidR="00CA2AF5">
          <w:pgSz w:w="11906" w:h="16838"/>
          <w:pgMar w:top="1440" w:right="1797" w:bottom="1440" w:left="1797" w:header="851" w:footer="992" w:gutter="0"/>
          <w:cols w:space="425"/>
          <w:docGrid w:type="linesAndChars" w:linePitch="312"/>
        </w:sectPr>
      </w:pPr>
      <w:r>
        <w:rPr>
          <w:rFonts w:ascii="Times New Roman" w:hAnsi="Times New Roman" w:cs="Times New Roman"/>
          <w:b/>
          <w:bCs/>
          <w:sz w:val="36"/>
          <w:szCs w:val="36"/>
        </w:rPr>
        <w:t xml:space="preserve"> </w:t>
      </w:r>
      <w:r>
        <w:rPr>
          <w:rFonts w:ascii="Times New Roman" w:hAnsi="Times New Roman" w:cs="Times New Roman"/>
          <w:color w:val="000000" w:themeColor="text1"/>
          <w:szCs w:val="24"/>
        </w:rPr>
        <w:t xml:space="preserve"> </w:t>
      </w:r>
    </w:p>
    <w:p w14:paraId="1F03E5E9" w14:textId="77777777" w:rsidR="00CA2AF5" w:rsidRDefault="00000000">
      <w:pPr>
        <w:widowControl/>
        <w:spacing w:line="360" w:lineRule="auto"/>
        <w:rPr>
          <w:rFonts w:ascii="Times New Roman" w:hAnsi="Times New Roman" w:cs="Times New Roman"/>
          <w:b/>
          <w:bCs/>
          <w:color w:val="EE0000"/>
          <w:sz w:val="28"/>
          <w:szCs w:val="28"/>
        </w:rPr>
      </w:pPr>
      <w:r>
        <w:rPr>
          <w:rFonts w:ascii="Times New Roman" w:hAnsi="Times New Roman" w:cs="Times New Roman" w:hint="eastAsia"/>
          <w:b/>
          <w:bCs/>
          <w:sz w:val="28"/>
          <w:szCs w:val="28"/>
        </w:rPr>
        <w:lastRenderedPageBreak/>
        <w:t>Text S1. Basic properties of the soil samples</w:t>
      </w:r>
    </w:p>
    <w:p w14:paraId="214A76C3" w14:textId="50597406" w:rsidR="00CA2AF5" w:rsidRDefault="00000000">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Soil samples were collected from the plow layer (0–10 cm) of paddy fields in Anqing, Anhui province, China (30°36′N, 116°59′E). This area has a subtropical monsoon climate. The soil had a δ</w:t>
      </w:r>
      <w:r>
        <w:rPr>
          <w:rFonts w:ascii="Times New Roman" w:hAnsi="Times New Roman" w:cs="Times New Roman"/>
          <w:sz w:val="24"/>
          <w:szCs w:val="24"/>
          <w:vertAlign w:val="superscript"/>
        </w:rPr>
        <w:t>13</w:t>
      </w:r>
      <w:r>
        <w:rPr>
          <w:rFonts w:ascii="Times New Roman" w:hAnsi="Times New Roman" w:cs="Times New Roman"/>
          <w:sz w:val="24"/>
          <w:szCs w:val="24"/>
        </w:rPr>
        <w:t xml:space="preserve">C value of −22.97‰ and was yellow brown. </w:t>
      </w:r>
      <w:bookmarkStart w:id="0" w:name="OLE_LINK18"/>
      <w:r>
        <w:rPr>
          <w:rFonts w:ascii="Times New Roman" w:hAnsi="Times New Roman" w:cs="Times New Roman"/>
          <w:sz w:val="24"/>
          <w:szCs w:val="24"/>
        </w:rPr>
        <w:t>Soil basic characteristics were detailed as follows: 0.064 mg kg</w:t>
      </w:r>
      <w:r>
        <w:rPr>
          <w:rFonts w:ascii="Times New Roman" w:hAnsi="Times New Roman" w:cs="Times New Roman"/>
          <w:sz w:val="24"/>
          <w:szCs w:val="24"/>
          <w:vertAlign w:val="superscript"/>
        </w:rPr>
        <w:t>−1</w:t>
      </w:r>
      <w:r>
        <w:rPr>
          <w:rFonts w:ascii="Times New Roman" w:hAnsi="Times New Roman" w:cs="Times New Roman"/>
          <w:sz w:val="24"/>
          <w:szCs w:val="24"/>
        </w:rPr>
        <w:t> Cd, 2.11 g kg</w:t>
      </w:r>
      <w:r>
        <w:rPr>
          <w:rFonts w:ascii="Times New Roman" w:hAnsi="Times New Roman" w:cs="Times New Roman"/>
          <w:sz w:val="24"/>
          <w:szCs w:val="24"/>
          <w:vertAlign w:val="superscript"/>
        </w:rPr>
        <w:t>−1</w:t>
      </w:r>
      <w:r>
        <w:rPr>
          <w:rFonts w:ascii="Times New Roman" w:hAnsi="Times New Roman" w:cs="Times New Roman"/>
          <w:sz w:val="24"/>
          <w:szCs w:val="24"/>
        </w:rPr>
        <w:t> SOC, total nitrogen (TN) 0.40 mg kg</w:t>
      </w:r>
      <w:r>
        <w:rPr>
          <w:rFonts w:ascii="Times New Roman" w:hAnsi="Times New Roman" w:cs="Times New Roman"/>
          <w:sz w:val="24"/>
          <w:szCs w:val="24"/>
          <w:vertAlign w:val="superscript"/>
        </w:rPr>
        <w:t>−1</w:t>
      </w:r>
      <w:r>
        <w:rPr>
          <w:rFonts w:ascii="Times New Roman" w:hAnsi="Times New Roman" w:cs="Times New Roman"/>
          <w:sz w:val="24"/>
          <w:szCs w:val="24"/>
        </w:rPr>
        <w:t xml:space="preserve">, pH 5.13, clay 11.08%, silt 69.98%, and sand 18.94%.  </w:t>
      </w:r>
      <w:bookmarkEnd w:id="0"/>
    </w:p>
    <w:p w14:paraId="29CAFA3C" w14:textId="77777777" w:rsidR="00CA2AF5" w:rsidRDefault="00CA2AF5">
      <w:pPr>
        <w:widowControl/>
        <w:spacing w:line="360" w:lineRule="auto"/>
        <w:rPr>
          <w:rFonts w:ascii="Times New Roman" w:hAnsi="Times New Roman" w:cs="Times New Roman"/>
          <w:b/>
          <w:bCs/>
          <w:sz w:val="28"/>
          <w:szCs w:val="28"/>
        </w:rPr>
      </w:pPr>
    </w:p>
    <w:p w14:paraId="0B079B68" w14:textId="77777777" w:rsidR="00CA2AF5" w:rsidRDefault="00000000">
      <w:pPr>
        <w:widowControl/>
        <w:spacing w:line="480" w:lineRule="auto"/>
        <w:rPr>
          <w:rFonts w:ascii="Times New Roman" w:hAnsi="Times New Roman" w:cs="Times New Roman"/>
          <w:b/>
          <w:bCs/>
          <w:sz w:val="28"/>
          <w:szCs w:val="28"/>
        </w:rPr>
      </w:pPr>
      <w:r>
        <w:rPr>
          <w:rFonts w:ascii="Times New Roman" w:hAnsi="Times New Roman" w:cs="Times New Roman" w:hint="eastAsia"/>
          <w:b/>
          <w:bCs/>
          <w:sz w:val="28"/>
          <w:szCs w:val="28"/>
        </w:rPr>
        <w:t>Text S2. Gas sampling and calculation of the priming effect</w:t>
      </w:r>
      <w:r>
        <w:rPr>
          <w:rFonts w:ascii="Times New Roman" w:hAnsi="Times New Roman" w:cs="Times New Roman"/>
          <w:b/>
          <w:bCs/>
          <w:sz w:val="28"/>
          <w:szCs w:val="28"/>
        </w:rPr>
        <w:t xml:space="preserve"> </w:t>
      </w:r>
    </w:p>
    <w:p w14:paraId="43B9FFF5" w14:textId="3CCDC037" w:rsidR="00CA2AF5" w:rsidRDefault="00000000">
      <w:pPr>
        <w:spacing w:line="48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 20-mL gas sample was collected from the headspace of each bottle using a gas-tight locking syringe at 1, 3, 7, 14, 21, 30, 40, 50, and 60 days of incubation. </w:t>
      </w:r>
      <w:r>
        <w:rPr>
          <w:rFonts w:ascii="Times New Roman" w:hAnsi="Times New Roman" w:cs="Times New Roman" w:hint="eastAsia"/>
          <w:sz w:val="24"/>
          <w:szCs w:val="24"/>
        </w:rPr>
        <w:t xml:space="preserve"> The 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release amounts from biochar and background carbon in the soil were distinguished based on </w:t>
      </w:r>
      <w:r>
        <w:rPr>
          <w:rFonts w:ascii="Times New Roman" w:hAnsi="Times New Roman" w:cs="Times New Roman"/>
          <w:sz w:val="24"/>
          <w:szCs w:val="24"/>
        </w:rPr>
        <w:t>δ</w:t>
      </w:r>
      <w:r>
        <w:rPr>
          <w:rFonts w:ascii="Times New Roman" w:hAnsi="Times New Roman" w:cs="Times New Roman" w:hint="eastAsia"/>
          <w:sz w:val="24"/>
          <w:szCs w:val="24"/>
          <w:vertAlign w:val="superscript"/>
        </w:rPr>
        <w:t>13</w:t>
      </w:r>
      <w:r>
        <w:rPr>
          <w:rFonts w:ascii="Times New Roman" w:hAnsi="Times New Roman" w:cs="Times New Roman" w:hint="eastAsia"/>
          <w:sz w:val="24"/>
          <w:szCs w:val="24"/>
        </w:rPr>
        <w:t xml:space="preserve">C isotope values. </w:t>
      </w:r>
      <w:r>
        <w:rPr>
          <w:rFonts w:ascii="Times New Roman" w:hAnsi="Times New Roman" w:cs="Times New Roman"/>
          <w:sz w:val="24"/>
          <w:szCs w:val="24"/>
        </w:rPr>
        <w:t>After sampling, synthetic air (80% N</w:t>
      </w:r>
      <w:r>
        <w:rPr>
          <w:rFonts w:ascii="Times New Roman" w:hAnsi="Times New Roman" w:cs="Times New Roman"/>
          <w:sz w:val="24"/>
          <w:szCs w:val="24"/>
          <w:vertAlign w:val="subscript"/>
        </w:rPr>
        <w:t>2</w:t>
      </w:r>
      <w:r>
        <w:rPr>
          <w:rFonts w:ascii="Times New Roman" w:hAnsi="Times New Roman" w:cs="Times New Roman"/>
          <w:sz w:val="24"/>
          <w:szCs w:val="24"/>
        </w:rPr>
        <w:t xml:space="preserve"> + 20% O</w:t>
      </w:r>
      <w:r>
        <w:rPr>
          <w:rFonts w:ascii="Times New Roman" w:hAnsi="Times New Roman" w:cs="Times New Roman"/>
          <w:sz w:val="24"/>
          <w:szCs w:val="24"/>
          <w:vertAlign w:val="subscript"/>
        </w:rPr>
        <w:t>2</w:t>
      </w:r>
      <w:r>
        <w:rPr>
          <w:rFonts w:ascii="Times New Roman" w:hAnsi="Times New Roman" w:cs="Times New Roman"/>
          <w:sz w:val="24"/>
          <w:szCs w:val="24"/>
        </w:rPr>
        <w:t>) was used to flush the bottles for 10 min to restore aerobic conditions</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NE.Ref.{1642A875-4CF9-4B9B-A9B7-49B76BB34985}</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80000"/>
          <w:kern w:val="0"/>
          <w:sz w:val="24"/>
          <w:szCs w:val="24"/>
          <w:vertAlign w:val="superscript"/>
        </w:rPr>
        <w:t>[1]</w:t>
      </w:r>
      <w:r>
        <w:rPr>
          <w:rFonts w:ascii="Times New Roman" w:hAnsi="Times New Roman" w:cs="Times New Roman"/>
          <w:color w:val="000000" w:themeColor="text1"/>
          <w:sz w:val="24"/>
          <w:szCs w:val="24"/>
        </w:rPr>
        <w:fldChar w:fldCharType="end"/>
      </w:r>
      <w:r>
        <w:rPr>
          <w:rFonts w:ascii="Times New Roman" w:hAnsi="Times New Roman" w:cs="Times New Roman" w:hint="eastAsia"/>
          <w:color w:val="000000" w:themeColor="text1"/>
          <w:sz w:val="24"/>
          <w:szCs w:val="24"/>
        </w:rPr>
        <w:t>.</w:t>
      </w:r>
      <w:r>
        <w:rPr>
          <w:rFonts w:ascii="Times New Roman" w:hAnsi="Times New Roman" w:cs="Times New Roman"/>
          <w:sz w:val="24"/>
          <w:szCs w:val="24"/>
        </w:rPr>
        <w:t xml:space="preserve"> Then, </w:t>
      </w:r>
      <w:bookmarkStart w:id="1" w:name="xscb4w1ftsnpnz"/>
      <w:r>
        <w:rPr>
          <w:rFonts w:ascii="Times New Roman" w:hAnsi="Times New Roman" w:cs="Times New Roman"/>
          <w:sz w:val="24"/>
          <w:szCs w:val="24"/>
        </w:rPr>
        <w:t>a 20-mL sample</w:t>
      </w:r>
      <w:bookmarkEnd w:id="1"/>
      <w:r>
        <w:rPr>
          <w:rFonts w:ascii="Times New Roman" w:hAnsi="Times New Roman" w:cs="Times New Roman"/>
          <w:sz w:val="24"/>
          <w:szCs w:val="24"/>
        </w:rPr>
        <w:t xml:space="preserve"> of gas was extracted from the headspace of each sample to determine the initial concentration and δ</w:t>
      </w:r>
      <w:r>
        <w:rPr>
          <w:rFonts w:ascii="Times New Roman" w:hAnsi="Times New Roman" w:cs="Times New Roman"/>
          <w:sz w:val="24"/>
          <w:szCs w:val="24"/>
          <w:vertAlign w:val="superscript"/>
        </w:rPr>
        <w:t>13</w:t>
      </w:r>
      <w:r>
        <w:rPr>
          <w:rFonts w:ascii="Times New Roman" w:hAnsi="Times New Roman" w:cs="Times New Roman"/>
          <w:sz w:val="24"/>
          <w:szCs w:val="24"/>
        </w:rPr>
        <w:t>C value of CO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in the gas samples were measured using a gas </w:t>
      </w:r>
      <w:bookmarkStart w:id="2" w:name="xsc5gz5nrimegu"/>
      <w:r>
        <w:rPr>
          <w:rFonts w:ascii="Times New Roman" w:hAnsi="Times New Roman" w:cs="Times New Roman"/>
          <w:sz w:val="24"/>
          <w:szCs w:val="24"/>
        </w:rPr>
        <w:t>chromatograph (GC-2014C, Shimadzu,</w:t>
      </w:r>
      <w:bookmarkEnd w:id="2"/>
      <w:r>
        <w:rPr>
          <w:rFonts w:ascii="Times New Roman" w:hAnsi="Times New Roman" w:cs="Times New Roman"/>
          <w:sz w:val="24"/>
          <w:szCs w:val="24"/>
        </w:rPr>
        <w:t xml:space="preserve"> Kyoto, Japan). δ</w:t>
      </w:r>
      <w:r>
        <w:rPr>
          <w:rFonts w:ascii="Times New Roman" w:hAnsi="Times New Roman" w:cs="Times New Roman"/>
          <w:sz w:val="24"/>
          <w:szCs w:val="24"/>
          <w:vertAlign w:val="superscript"/>
        </w:rPr>
        <w:t>13</w:t>
      </w:r>
      <w:r>
        <w:rPr>
          <w:rFonts w:ascii="Times New Roman" w:hAnsi="Times New Roman" w:cs="Times New Roman"/>
          <w:sz w:val="24"/>
          <w:szCs w:val="24"/>
        </w:rPr>
        <w:t>C isotope values were measured using a CO</w:t>
      </w:r>
      <w:r>
        <w:rPr>
          <w:rFonts w:ascii="Times New Roman" w:hAnsi="Times New Roman" w:cs="Times New Roman"/>
          <w:sz w:val="24"/>
          <w:szCs w:val="24"/>
          <w:vertAlign w:val="subscript"/>
        </w:rPr>
        <w:t>2</w:t>
      </w:r>
      <w:r>
        <w:rPr>
          <w:rFonts w:ascii="Times New Roman" w:hAnsi="Times New Roman" w:cs="Times New Roman"/>
          <w:sz w:val="24"/>
          <w:szCs w:val="24"/>
        </w:rPr>
        <w:t xml:space="preserve"> stable isotope analyzer (G2201-I, </w:t>
      </w:r>
      <w:proofErr w:type="spellStart"/>
      <w:r>
        <w:rPr>
          <w:rFonts w:ascii="Times New Roman" w:hAnsi="Times New Roman" w:cs="Times New Roman"/>
          <w:sz w:val="24"/>
          <w:szCs w:val="24"/>
        </w:rPr>
        <w:t>Picarro</w:t>
      </w:r>
      <w:proofErr w:type="spellEnd"/>
      <w:r>
        <w:rPr>
          <w:rFonts w:ascii="Times New Roman" w:hAnsi="Times New Roman" w:cs="Times New Roman"/>
          <w:sz w:val="24"/>
          <w:szCs w:val="24"/>
        </w:rPr>
        <w:t>, Santa Clara, CA, USA). The cumulative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 biochar-derived CO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native SOC-derived CO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and priming effect were computed using methods described in earlier work</w:t>
      </w:r>
      <w:r>
        <w:rPr>
          <w:rFonts w:ascii="Times New Roman" w:hAnsi="Times New Roman" w:cs="Times New Roman"/>
          <w:color w:val="EE0000"/>
          <w:sz w:val="24"/>
          <w:szCs w:val="24"/>
        </w:rPr>
        <w:fldChar w:fldCharType="begin"/>
      </w:r>
      <w:r>
        <w:rPr>
          <w:rFonts w:ascii="Times New Roman" w:hAnsi="Times New Roman" w:cs="Times New Roman"/>
          <w:color w:val="EE0000"/>
          <w:sz w:val="24"/>
          <w:szCs w:val="24"/>
        </w:rPr>
        <w:instrText xml:space="preserve"> ADDIN NE.Ref.{EB94E078-3BAB-4F6B-9C30-AAE3A546004E}</w:instrText>
      </w:r>
      <w:r>
        <w:rPr>
          <w:rFonts w:ascii="Times New Roman" w:hAnsi="Times New Roman" w:cs="Times New Roman"/>
          <w:color w:val="EE0000"/>
          <w:sz w:val="24"/>
          <w:szCs w:val="24"/>
        </w:rPr>
        <w:fldChar w:fldCharType="separate"/>
      </w:r>
      <w:r>
        <w:rPr>
          <w:rFonts w:ascii="Times New Roman" w:hAnsi="Times New Roman" w:cs="Times New Roman"/>
          <w:color w:val="080000"/>
          <w:kern w:val="0"/>
          <w:sz w:val="24"/>
          <w:szCs w:val="24"/>
          <w:vertAlign w:val="superscript"/>
        </w:rPr>
        <w:t>[2</w:t>
      </w:r>
      <w:r w:rsidRPr="00C15465">
        <w:rPr>
          <w:rFonts w:ascii="Times New Roman" w:hAnsi="Times New Roman" w:cs="Times New Roman"/>
          <w:color w:val="080000"/>
          <w:kern w:val="0"/>
          <w:sz w:val="24"/>
          <w:szCs w:val="24"/>
          <w:vertAlign w:val="superscript"/>
        </w:rPr>
        <w:t>,</w:t>
      </w:r>
      <w:r>
        <w:rPr>
          <w:rFonts w:ascii="Times New Roman" w:hAnsi="Times New Roman" w:cs="Times New Roman"/>
          <w:color w:val="080000"/>
          <w:kern w:val="0"/>
          <w:sz w:val="24"/>
          <w:szCs w:val="24"/>
          <w:vertAlign w:val="superscript"/>
        </w:rPr>
        <w:t>3]</w:t>
      </w:r>
      <w:r>
        <w:rPr>
          <w:rFonts w:ascii="Times New Roman" w:hAnsi="Times New Roman" w:cs="Times New Roman"/>
          <w:color w:val="EE0000"/>
          <w:sz w:val="24"/>
          <w:szCs w:val="24"/>
        </w:rPr>
        <w:fldChar w:fldCharType="end"/>
      </w:r>
      <w:r>
        <w:rPr>
          <w:rFonts w:ascii="Times New Roman" w:hAnsi="Times New Roman" w:cs="Times New Roman"/>
          <w:sz w:val="24"/>
          <w:szCs w:val="24"/>
        </w:rPr>
        <w:t>.</w:t>
      </w:r>
    </w:p>
    <w:p w14:paraId="63F9F904" w14:textId="77777777" w:rsidR="00CA2AF5" w:rsidRDefault="00000000">
      <w:pPr>
        <w:widowControl/>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To elucidate the priming effects caused by biochar, it is crucial to differentiate between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derived from </w:t>
      </w:r>
      <w:r>
        <w:rPr>
          <w:rFonts w:ascii="Times New Roman" w:hAnsi="Times New Roman" w:cs="Times New Roman" w:hint="eastAsia"/>
          <w:sz w:val="24"/>
          <w:szCs w:val="24"/>
        </w:rPr>
        <w:t xml:space="preserve">native </w:t>
      </w:r>
      <w:r>
        <w:rPr>
          <w:rFonts w:ascii="Times New Roman" w:hAnsi="Times New Roman" w:cs="Times New Roman"/>
          <w:sz w:val="24"/>
          <w:szCs w:val="24"/>
        </w:rPr>
        <w:t>SOC and that from biochar</w:t>
      </w:r>
      <w:r>
        <w:rPr>
          <w:rFonts w:ascii="Times New Roman" w:hAnsi="Times New Roman" w:cs="Times New Roman" w:hint="eastAsia"/>
          <w:sz w:val="24"/>
          <w:szCs w:val="24"/>
        </w:rPr>
        <w:t>.</w:t>
      </w:r>
      <w:r>
        <w:rPr>
          <w:rFonts w:ascii="Times New Roman" w:hAnsi="Times New Roman" w:cs="Times New Roman"/>
          <w:sz w:val="24"/>
          <w:szCs w:val="24"/>
        </w:rPr>
        <w:t xml:space="preserve"> To achieve this, we </w:t>
      </w:r>
      <w:r>
        <w:rPr>
          <w:rFonts w:ascii="Times New Roman" w:hAnsi="Times New Roman" w:cs="Times New Roman"/>
          <w:sz w:val="24"/>
          <w:szCs w:val="24"/>
        </w:rPr>
        <w:lastRenderedPageBreak/>
        <w:t>calculated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released from both biochar and SOC as follows (Amelung et al., 2008): </w:t>
      </w:r>
    </w:p>
    <w:p w14:paraId="72C3A7AB" w14:textId="7643B3B3" w:rsidR="00CA2AF5" w:rsidRDefault="00000000">
      <w:pPr>
        <w:widowControl/>
        <w:spacing w:line="480" w:lineRule="auto"/>
        <w:ind w:firstLineChars="200" w:firstLine="480"/>
        <w:jc w:val="center"/>
        <w:rPr>
          <w:rFonts w:ascii="Times New Roman" w:hAnsi="Times New Roman" w:cs="Times New Roman"/>
          <w:sz w:val="24"/>
          <w:szCs w:val="24"/>
        </w:rPr>
      </w:pPr>
      <w:r>
        <w:rPr>
          <w:rFonts w:ascii="Times New Roman" w:hAnsi="Times New Roman" w:cs="Times New Roman"/>
          <w:i/>
          <w:iCs/>
          <w:sz w:val="24"/>
          <w:szCs w:val="24"/>
        </w:rPr>
        <w:t>f</w:t>
      </w:r>
      <w:r>
        <w:rPr>
          <w:rFonts w:ascii="Times New Roman" w:hAnsi="Times New Roman" w:cs="Times New Roman" w:hint="eastAsia"/>
          <w:sz w:val="24"/>
          <w:szCs w:val="24"/>
        </w:rPr>
        <w:t xml:space="preserve"> </w:t>
      </w:r>
      <w:r>
        <w:rPr>
          <w:rFonts w:ascii="Times New Roman" w:hAnsi="Times New Roman" w:cs="Times New Roman" w:hint="eastAsia"/>
          <w:sz w:val="24"/>
          <w:szCs w:val="24"/>
          <w:vertAlign w:val="subscript"/>
        </w:rPr>
        <w:t>BC</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(δ</w:t>
      </w:r>
      <w:r>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vertAlign w:val="subscript"/>
        </w:rPr>
        <w:t>-</w:t>
      </w:r>
      <w:r>
        <w:rPr>
          <w:rFonts w:ascii="Times New Roman" w:hAnsi="Times New Roman" w:cs="Times New Roman"/>
          <w:sz w:val="24"/>
          <w:szCs w:val="24"/>
          <w:vertAlign w:val="subscript"/>
        </w:rPr>
        <w:t>Total</w:t>
      </w:r>
      <w:r>
        <w:rPr>
          <w:rFonts w:ascii="Times New Roman" w:hAnsi="Times New Roman" w:cs="Times New Roman" w:hint="eastAsia"/>
          <w:sz w:val="24"/>
          <w:szCs w:val="24"/>
        </w:rPr>
        <w:t xml:space="preserve"> </w:t>
      </w:r>
      <w:r>
        <w:rPr>
          <w:rFonts w:ascii="Times New Roman" w:eastAsia="Segoe UI" w:hAnsi="Times New Roman" w:cs="Times New Roman"/>
          <w:color w:val="0F1115"/>
          <w:sz w:val="24"/>
          <w:szCs w:val="24"/>
          <w:shd w:val="clear" w:color="auto" w:fill="FFFFFF"/>
        </w:rPr>
        <w:t>−</w:t>
      </w:r>
      <w:r>
        <w:rPr>
          <w:rFonts w:ascii="Times New Roman" w:hAnsi="Times New Roman" w:cs="Times New Roman" w:hint="eastAsia"/>
          <w:sz w:val="24"/>
          <w:szCs w:val="24"/>
        </w:rPr>
        <w:t xml:space="preserve"> </w:t>
      </w:r>
      <w:r>
        <w:rPr>
          <w:rFonts w:ascii="Times New Roman" w:hAnsi="Times New Roman" w:cs="Times New Roman"/>
          <w:sz w:val="24"/>
          <w:szCs w:val="24"/>
        </w:rPr>
        <w:t>δ</w:t>
      </w:r>
      <w:r>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vertAlign w:val="subscript"/>
        </w:rPr>
        <w:t>-Control</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(δ</w:t>
      </w:r>
      <w:r>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vertAlign w:val="subscript"/>
        </w:rPr>
        <w:t>-BC</w:t>
      </w:r>
      <w:r>
        <w:rPr>
          <w:rFonts w:ascii="Times New Roman" w:hAnsi="Times New Roman" w:cs="Times New Roman"/>
          <w:sz w:val="24"/>
          <w:szCs w:val="24"/>
        </w:rPr>
        <w:t xml:space="preserve"> </w:t>
      </w:r>
      <w:r>
        <w:rPr>
          <w:rFonts w:ascii="Times New Roman" w:eastAsia="Segoe UI" w:hAnsi="Times New Roman" w:cs="Times New Roman"/>
          <w:color w:val="0F1115"/>
          <w:sz w:val="24"/>
          <w:szCs w:val="24"/>
          <w:shd w:val="clear" w:color="auto" w:fill="FFFFFF"/>
        </w:rPr>
        <w:t>−</w:t>
      </w:r>
      <w:r>
        <w:rPr>
          <w:rFonts w:ascii="Times New Roman" w:hAnsi="Times New Roman" w:cs="Times New Roman" w:hint="eastAsia"/>
          <w:sz w:val="24"/>
          <w:szCs w:val="24"/>
        </w:rPr>
        <w:t xml:space="preserve"> </w:t>
      </w:r>
      <w:r>
        <w:rPr>
          <w:rFonts w:ascii="Times New Roman" w:hAnsi="Times New Roman" w:cs="Times New Roman"/>
          <w:sz w:val="24"/>
          <w:szCs w:val="24"/>
        </w:rPr>
        <w:t>δ</w:t>
      </w:r>
      <w:r>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vertAlign w:val="subscript"/>
        </w:rPr>
        <w:t>-</w:t>
      </w:r>
      <w:proofErr w:type="gramStart"/>
      <w:r>
        <w:rPr>
          <w:rFonts w:ascii="Times New Roman" w:hAnsi="Times New Roman" w:cs="Times New Roman" w:hint="eastAsia"/>
          <w:sz w:val="24"/>
          <w:szCs w:val="24"/>
          <w:vertAlign w:val="subscript"/>
        </w:rPr>
        <w:t>Control</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1)</w:t>
      </w:r>
    </w:p>
    <w:p w14:paraId="43373F1F" w14:textId="77777777" w:rsidR="00CA2AF5" w:rsidRDefault="00000000">
      <w:pPr>
        <w:widowControl/>
        <w:spacing w:line="480" w:lineRule="auto"/>
        <w:ind w:firstLineChars="200" w:firstLine="480"/>
        <w:jc w:val="center"/>
        <w:rPr>
          <w:rFonts w:ascii="Times New Roman" w:hAnsi="Times New Roman" w:cs="Times New Roman"/>
          <w:sz w:val="24"/>
          <w:szCs w:val="24"/>
        </w:rPr>
      </w:pPr>
      <w:r>
        <w:rPr>
          <w:rFonts w:ascii="Times New Roman" w:hAnsi="Times New Roman" w:cs="Times New Roman" w:hint="eastAsia"/>
          <w:i/>
          <w:iCs/>
          <w:sz w:val="24"/>
          <w:szCs w:val="24"/>
        </w:rPr>
        <w:t xml:space="preserve">                                </w:t>
      </w:r>
      <w:r>
        <w:rPr>
          <w:rFonts w:ascii="Times New Roman" w:hAnsi="Times New Roman" w:cs="Times New Roman"/>
          <w:i/>
          <w:iCs/>
          <w:sz w:val="24"/>
          <w:szCs w:val="24"/>
        </w:rPr>
        <w:t>f</w:t>
      </w:r>
      <w:r>
        <w:rPr>
          <w:rFonts w:ascii="Times New Roman" w:hAnsi="Times New Roman" w:cs="Times New Roman" w:hint="eastAsia"/>
          <w:sz w:val="24"/>
          <w:szCs w:val="24"/>
        </w:rPr>
        <w:t xml:space="preserve"> </w:t>
      </w:r>
      <w:r>
        <w:rPr>
          <w:rFonts w:ascii="Times New Roman" w:hAnsi="Times New Roman" w:cs="Times New Roman" w:hint="eastAsia"/>
          <w:sz w:val="24"/>
          <w:szCs w:val="24"/>
          <w:vertAlign w:val="subscript"/>
        </w:rPr>
        <w:t>BC</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i/>
          <w:iCs/>
          <w:sz w:val="24"/>
          <w:szCs w:val="24"/>
        </w:rPr>
        <w:t>f</w:t>
      </w:r>
      <w:r>
        <w:rPr>
          <w:rFonts w:ascii="Times New Roman" w:hAnsi="Times New Roman" w:cs="Times New Roman" w:hint="eastAsia"/>
          <w:sz w:val="24"/>
          <w:szCs w:val="24"/>
        </w:rPr>
        <w:t xml:space="preserve"> </w:t>
      </w:r>
      <w:r>
        <w:rPr>
          <w:rFonts w:ascii="Times New Roman" w:hAnsi="Times New Roman" w:cs="Times New Roman" w:hint="eastAsia"/>
          <w:sz w:val="24"/>
          <w:szCs w:val="24"/>
          <w:vertAlign w:val="subscript"/>
        </w:rPr>
        <w:t>SOC</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1</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2)</w:t>
      </w:r>
    </w:p>
    <w:p w14:paraId="602C8A32" w14:textId="4686CBA9" w:rsidR="00CA2AF5" w:rsidRDefault="00000000" w:rsidP="00C15465">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here the δ</w:t>
      </w:r>
      <w:r>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vertAlign w:val="subscript"/>
        </w:rPr>
        <w:t>-</w:t>
      </w:r>
      <w:r>
        <w:rPr>
          <w:rFonts w:ascii="Times New Roman" w:hAnsi="Times New Roman" w:cs="Times New Roman"/>
          <w:sz w:val="24"/>
          <w:szCs w:val="24"/>
          <w:vertAlign w:val="subscript"/>
        </w:rPr>
        <w:t>Total</w:t>
      </w:r>
      <w:r>
        <w:rPr>
          <w:rFonts w:ascii="Times New Roman" w:hAnsi="Times New Roman" w:cs="Times New Roman"/>
          <w:sz w:val="24"/>
          <w:szCs w:val="24"/>
        </w:rPr>
        <w:t xml:space="preserve"> is the δ</w:t>
      </w:r>
      <w:r>
        <w:rPr>
          <w:rFonts w:ascii="Times New Roman" w:hAnsi="Times New Roman" w:cs="Times New Roman"/>
          <w:sz w:val="24"/>
          <w:szCs w:val="24"/>
          <w:vertAlign w:val="superscript"/>
        </w:rPr>
        <w:t>13</w:t>
      </w:r>
      <w:r>
        <w:rPr>
          <w:rFonts w:ascii="Times New Roman" w:hAnsi="Times New Roman" w:cs="Times New Roman"/>
          <w:sz w:val="24"/>
          <w:szCs w:val="24"/>
        </w:rPr>
        <w:t>C value of the total CO</w:t>
      </w:r>
      <w:r>
        <w:rPr>
          <w:rFonts w:ascii="Times New Roman" w:hAnsi="Times New Roman" w:cs="Times New Roman"/>
          <w:sz w:val="24"/>
          <w:szCs w:val="24"/>
          <w:vertAlign w:val="subscript"/>
        </w:rPr>
        <w:t>2</w:t>
      </w:r>
      <w:r>
        <w:rPr>
          <w:rFonts w:ascii="Times New Roman" w:hAnsi="Times New Roman" w:cs="Times New Roman"/>
          <w:sz w:val="24"/>
          <w:szCs w:val="24"/>
        </w:rPr>
        <w:t xml:space="preserve"> from the </w:t>
      </w:r>
      <w:r>
        <w:rPr>
          <w:rFonts w:ascii="Times New Roman" w:hAnsi="Times New Roman" w:cs="Times New Roman" w:hint="eastAsia"/>
          <w:sz w:val="24"/>
          <w:szCs w:val="24"/>
        </w:rPr>
        <w:t>biochar-</w:t>
      </w:r>
      <w:r>
        <w:rPr>
          <w:rFonts w:ascii="Times New Roman" w:hAnsi="Times New Roman" w:cs="Times New Roman"/>
          <w:sz w:val="24"/>
          <w:szCs w:val="24"/>
        </w:rPr>
        <w:t>treated soil; δ</w:t>
      </w:r>
      <w:r>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vertAlign w:val="subscript"/>
        </w:rPr>
        <w:t xml:space="preserve">-Control </w:t>
      </w:r>
      <w:r>
        <w:rPr>
          <w:rFonts w:ascii="Times New Roman" w:hAnsi="Times New Roman" w:cs="Times New Roman"/>
          <w:sz w:val="24"/>
          <w:szCs w:val="24"/>
        </w:rPr>
        <w:t>refers to the δ</w:t>
      </w:r>
      <w:r>
        <w:rPr>
          <w:rFonts w:ascii="Times New Roman" w:hAnsi="Times New Roman" w:cs="Times New Roman"/>
          <w:sz w:val="24"/>
          <w:szCs w:val="24"/>
          <w:vertAlign w:val="superscript"/>
        </w:rPr>
        <w:t>13</w:t>
      </w:r>
      <w:r>
        <w:rPr>
          <w:rFonts w:ascii="Times New Roman" w:hAnsi="Times New Roman" w:cs="Times New Roman"/>
          <w:sz w:val="24"/>
          <w:szCs w:val="24"/>
        </w:rPr>
        <w:t>C value of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released from the soil without </w:t>
      </w:r>
      <w:r>
        <w:rPr>
          <w:rFonts w:ascii="Times New Roman" w:hAnsi="Times New Roman" w:cs="Times New Roman" w:hint="eastAsia"/>
          <w:sz w:val="24"/>
          <w:szCs w:val="24"/>
        </w:rPr>
        <w:t>biochar</w:t>
      </w:r>
      <w:r>
        <w:rPr>
          <w:rFonts w:ascii="Times New Roman" w:hAnsi="Times New Roman" w:cs="Times New Roman"/>
          <w:sz w:val="24"/>
          <w:szCs w:val="24"/>
        </w:rPr>
        <w:t>; δ</w:t>
      </w:r>
      <w:r>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3</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hint="eastAsia"/>
          <w:sz w:val="24"/>
          <w:szCs w:val="24"/>
          <w:vertAlign w:val="subscript"/>
        </w:rPr>
        <w:t>-BC</w:t>
      </w:r>
      <w:r>
        <w:rPr>
          <w:rFonts w:ascii="Times New Roman" w:hAnsi="Times New Roman" w:cs="Times New Roman"/>
          <w:sz w:val="24"/>
          <w:szCs w:val="24"/>
        </w:rPr>
        <w:t xml:space="preserve"> is the δ</w:t>
      </w:r>
      <w:r>
        <w:rPr>
          <w:rFonts w:ascii="Times New Roman" w:hAnsi="Times New Roman" w:cs="Times New Roman"/>
          <w:sz w:val="24"/>
          <w:szCs w:val="24"/>
          <w:vertAlign w:val="superscript"/>
        </w:rPr>
        <w:t>13</w:t>
      </w:r>
      <w:r>
        <w:rPr>
          <w:rFonts w:ascii="Times New Roman" w:hAnsi="Times New Roman" w:cs="Times New Roman"/>
          <w:sz w:val="24"/>
          <w:szCs w:val="24"/>
        </w:rPr>
        <w:t xml:space="preserve">C value of </w:t>
      </w:r>
      <w:r>
        <w:rPr>
          <w:rFonts w:ascii="Times New Roman" w:hAnsi="Times New Roman" w:cs="Times New Roman" w:hint="eastAsia"/>
          <w:sz w:val="24"/>
          <w:szCs w:val="24"/>
        </w:rPr>
        <w:t>biochar</w:t>
      </w:r>
      <w:r>
        <w:rPr>
          <w:rFonts w:ascii="Times New Roman" w:hAnsi="Times New Roman" w:cs="Times New Roman"/>
          <w:sz w:val="24"/>
          <w:szCs w:val="24"/>
        </w:rPr>
        <w:t xml:space="preserve">; </w:t>
      </w:r>
      <w:r>
        <w:rPr>
          <w:rFonts w:ascii="Times New Roman" w:hAnsi="Times New Roman" w:cs="Times New Roman"/>
          <w:i/>
          <w:iCs/>
          <w:sz w:val="24"/>
          <w:szCs w:val="24"/>
        </w:rPr>
        <w:t>f</w:t>
      </w:r>
      <w:r>
        <w:rPr>
          <w:rFonts w:ascii="Times New Roman" w:hAnsi="Times New Roman" w:cs="Times New Roman" w:hint="eastAsia"/>
          <w:sz w:val="24"/>
          <w:szCs w:val="24"/>
        </w:rPr>
        <w:t xml:space="preserve"> </w:t>
      </w:r>
      <w:r>
        <w:rPr>
          <w:rFonts w:ascii="Times New Roman" w:hAnsi="Times New Roman" w:cs="Times New Roman" w:hint="eastAsia"/>
          <w:sz w:val="24"/>
          <w:szCs w:val="24"/>
          <w:vertAlign w:val="subscript"/>
        </w:rPr>
        <w:t>BC</w:t>
      </w:r>
      <w:r>
        <w:rPr>
          <w:rFonts w:ascii="Times New Roman" w:hAnsi="Times New Roman" w:cs="Times New Roman"/>
          <w:sz w:val="24"/>
          <w:szCs w:val="24"/>
        </w:rPr>
        <w:t xml:space="preserve"> is the proportion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derived from </w:t>
      </w:r>
      <w:r>
        <w:rPr>
          <w:rFonts w:ascii="Times New Roman" w:hAnsi="Times New Roman" w:cs="Times New Roman" w:hint="eastAsia"/>
          <w:sz w:val="24"/>
          <w:szCs w:val="24"/>
        </w:rPr>
        <w:t>biochar</w:t>
      </w:r>
      <w:r>
        <w:rPr>
          <w:rFonts w:ascii="Times New Roman" w:hAnsi="Times New Roman" w:cs="Times New Roman"/>
          <w:sz w:val="24"/>
          <w:szCs w:val="24"/>
        </w:rPr>
        <w:t xml:space="preserve"> to the total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w:t>
      </w:r>
      <w:r>
        <w:rPr>
          <w:rFonts w:ascii="Times New Roman" w:hAnsi="Times New Roman" w:cs="Times New Roman" w:hint="eastAsia"/>
          <w:sz w:val="24"/>
          <w:szCs w:val="24"/>
        </w:rPr>
        <w:t>;</w:t>
      </w:r>
      <w:r>
        <w:rPr>
          <w:rFonts w:ascii="Times New Roman" w:hAnsi="Times New Roman" w:cs="Times New Roman"/>
          <w:sz w:val="24"/>
          <w:szCs w:val="24"/>
        </w:rPr>
        <w:t xml:space="preserve"> and </w:t>
      </w:r>
      <w:r>
        <w:rPr>
          <w:rFonts w:ascii="Times New Roman" w:hAnsi="Times New Roman" w:cs="Times New Roman"/>
          <w:i/>
          <w:iCs/>
          <w:sz w:val="24"/>
          <w:szCs w:val="24"/>
        </w:rPr>
        <w:t>f</w:t>
      </w:r>
      <w:r>
        <w:rPr>
          <w:rFonts w:ascii="Times New Roman" w:hAnsi="Times New Roman" w:cs="Times New Roman" w:hint="eastAsia"/>
          <w:sz w:val="24"/>
          <w:szCs w:val="24"/>
        </w:rPr>
        <w:t xml:space="preserve"> </w:t>
      </w:r>
      <w:r>
        <w:rPr>
          <w:rFonts w:ascii="Times New Roman" w:hAnsi="Times New Roman" w:cs="Times New Roman" w:hint="eastAsia"/>
          <w:sz w:val="24"/>
          <w:szCs w:val="24"/>
          <w:vertAlign w:val="subscript"/>
        </w:rPr>
        <w:t>SOC</w:t>
      </w:r>
      <w:r>
        <w:rPr>
          <w:rFonts w:ascii="Times New Roman" w:hAnsi="Times New Roman" w:cs="Times New Roman"/>
          <w:sz w:val="24"/>
          <w:szCs w:val="24"/>
        </w:rPr>
        <w:t xml:space="preserve"> is the proportion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released by SOC in the </w:t>
      </w:r>
      <w:r>
        <w:rPr>
          <w:rFonts w:ascii="Times New Roman" w:hAnsi="Times New Roman" w:cs="Times New Roman" w:hint="eastAsia"/>
          <w:sz w:val="24"/>
          <w:szCs w:val="24"/>
        </w:rPr>
        <w:t>biochar</w:t>
      </w:r>
      <w:r>
        <w:rPr>
          <w:rFonts w:ascii="Times New Roman" w:hAnsi="Times New Roman" w:cs="Times New Roman"/>
          <w:sz w:val="24"/>
          <w:szCs w:val="24"/>
        </w:rPr>
        <w:t>-treated soil.</w:t>
      </w:r>
    </w:p>
    <w:p w14:paraId="6867E51C" w14:textId="3C3FF6F3" w:rsidR="00CA2AF5" w:rsidRDefault="00000000">
      <w:pPr>
        <w:widowControl/>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The absolute priming effect (mg CO</w:t>
      </w:r>
      <w:r>
        <w:rPr>
          <w:rFonts w:ascii="Times New Roman" w:hAnsi="Times New Roman" w:cs="Times New Roman"/>
          <w:sz w:val="24"/>
          <w:szCs w:val="24"/>
          <w:vertAlign w:val="subscript"/>
        </w:rPr>
        <w:t>2</w:t>
      </w:r>
      <w:r>
        <w:rPr>
          <w:rFonts w:ascii="Times New Roman" w:hAnsi="Times New Roman" w:cs="Times New Roman" w:hint="eastAsia"/>
          <w:sz w:val="24"/>
          <w:szCs w:val="24"/>
        </w:rPr>
        <w:t xml:space="preserve">-C </w:t>
      </w:r>
      <w:r>
        <w:rPr>
          <w:rFonts w:ascii="Times New Roman" w:hAnsi="Times New Roman" w:cs="Times New Roman"/>
          <w:sz w:val="24"/>
          <w:szCs w:val="24"/>
        </w:rPr>
        <w:t>kg</w:t>
      </w:r>
      <w:r>
        <w:rPr>
          <w:rFonts w:ascii="Times New Roman" w:hAnsi="Times New Roman" w:cs="Times New Roman"/>
          <w:sz w:val="24"/>
          <w:szCs w:val="24"/>
          <w:vertAlign w:val="superscript"/>
        </w:rPr>
        <w:t>−1</w:t>
      </w:r>
      <w:r>
        <w:rPr>
          <w:rFonts w:ascii="Times New Roman" w:hAnsi="Times New Roman" w:cs="Times New Roman"/>
          <w:sz w:val="24"/>
          <w:szCs w:val="24"/>
        </w:rPr>
        <w:t xml:space="preserve"> soil) was determined by subtracting the total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from the control soil from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derived from SOC in the </w:t>
      </w:r>
      <w:r>
        <w:rPr>
          <w:rFonts w:ascii="Times New Roman" w:hAnsi="Times New Roman" w:cs="Times New Roman" w:hint="eastAsia"/>
          <w:sz w:val="24"/>
          <w:szCs w:val="24"/>
        </w:rPr>
        <w:t>biochar</w:t>
      </w:r>
      <w:r>
        <w:rPr>
          <w:rFonts w:ascii="Times New Roman" w:hAnsi="Times New Roman" w:cs="Times New Roman"/>
          <w:sz w:val="24"/>
          <w:szCs w:val="24"/>
        </w:rPr>
        <w:t xml:space="preserve">-treated soil: </w:t>
      </w:r>
    </w:p>
    <w:p w14:paraId="34261432" w14:textId="7CF198F9" w:rsidR="00CA2AF5" w:rsidRDefault="00000000">
      <w:pPr>
        <w:widowControl/>
        <w:spacing w:line="480" w:lineRule="auto"/>
        <w:ind w:firstLineChars="200" w:firstLine="480"/>
        <w:jc w:val="center"/>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Priming effect =</w:t>
      </w:r>
      <w:r>
        <w:rPr>
          <w:rFonts w:ascii="Times New Roman" w:hAnsi="Times New Roman" w:cs="Times New Roman" w:hint="eastAsia"/>
          <w:sz w:val="24"/>
          <w:szCs w:val="24"/>
        </w:rPr>
        <w:t xml:space="preserve"> </w:t>
      </w:r>
      <w:r>
        <w:rPr>
          <w:rFonts w:ascii="Times New Roman" w:hAnsi="Times New Roman" w:cs="Times New Roman"/>
          <w:sz w:val="24"/>
          <w:szCs w:val="24"/>
        </w:rPr>
        <w:t>C</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2-biochar</w:t>
      </w:r>
      <w:r>
        <w:rPr>
          <w:rFonts w:ascii="Times New Roman" w:hAnsi="Times New Roman" w:cs="Times New Roman"/>
          <w:sz w:val="24"/>
          <w:szCs w:val="24"/>
        </w:rPr>
        <w:t xml:space="preserve"> </w:t>
      </w:r>
      <w:r>
        <w:rPr>
          <w:rFonts w:ascii="Times New Roman" w:eastAsia="Segoe UI" w:hAnsi="Times New Roman" w:cs="Times New Roman"/>
          <w:color w:val="0F1115"/>
          <w:sz w:val="24"/>
          <w:szCs w:val="24"/>
          <w:shd w:val="clear" w:color="auto" w:fill="FFFFFF"/>
        </w:rPr>
        <w:t>−</w:t>
      </w:r>
      <w:r>
        <w:rPr>
          <w:rFonts w:ascii="Times New Roman" w:hAnsi="Times New Roman" w:cs="Times New Roman"/>
          <w:sz w:val="24"/>
          <w:szCs w:val="24"/>
        </w:rPr>
        <w:t xml:space="preserve"> C</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2-</w:t>
      </w:r>
      <w:r>
        <w:rPr>
          <w:rFonts w:ascii="Times New Roman" w:hAnsi="Times New Roman" w:cs="Times New Roman"/>
          <w:sz w:val="24"/>
          <w:szCs w:val="24"/>
          <w:vertAlign w:val="subscript"/>
        </w:rPr>
        <w:t>Control</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3)</w:t>
      </w:r>
    </w:p>
    <w:p w14:paraId="3C3283F5" w14:textId="53ED182C" w:rsidR="00CA2AF5" w:rsidRDefault="00000000" w:rsidP="00C15465">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here C</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2-biochar</w:t>
      </w:r>
      <w:r>
        <w:rPr>
          <w:rFonts w:ascii="Times New Roman" w:hAnsi="Times New Roman" w:cs="Times New Roman"/>
          <w:sz w:val="24"/>
          <w:szCs w:val="24"/>
        </w:rPr>
        <w:t xml:space="preserve"> represents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released from SOC in the </w:t>
      </w:r>
      <w:r>
        <w:rPr>
          <w:rFonts w:ascii="Times New Roman" w:hAnsi="Times New Roman" w:cs="Times New Roman" w:hint="eastAsia"/>
          <w:sz w:val="24"/>
          <w:szCs w:val="24"/>
        </w:rPr>
        <w:t>biochar</w:t>
      </w:r>
      <w:r>
        <w:rPr>
          <w:rFonts w:ascii="Times New Roman" w:hAnsi="Times New Roman" w:cs="Times New Roman"/>
          <w:sz w:val="24"/>
          <w:szCs w:val="24"/>
        </w:rPr>
        <w:t>-treated soil (mg CO</w:t>
      </w:r>
      <w:r>
        <w:rPr>
          <w:rFonts w:ascii="Times New Roman" w:hAnsi="Times New Roman" w:cs="Times New Roman"/>
          <w:sz w:val="24"/>
          <w:szCs w:val="24"/>
          <w:vertAlign w:val="subscript"/>
        </w:rPr>
        <w:t>2</w:t>
      </w:r>
      <w:r>
        <w:rPr>
          <w:rFonts w:ascii="Times New Roman" w:hAnsi="Times New Roman" w:cs="Times New Roman" w:hint="eastAsia"/>
          <w:sz w:val="24"/>
          <w:szCs w:val="24"/>
        </w:rPr>
        <w:t xml:space="preserve">-C </w:t>
      </w:r>
      <w:r>
        <w:rPr>
          <w:rFonts w:ascii="Times New Roman" w:hAnsi="Times New Roman" w:cs="Times New Roman"/>
          <w:sz w:val="24"/>
          <w:szCs w:val="24"/>
        </w:rPr>
        <w:t>kg</w:t>
      </w:r>
      <w:r>
        <w:rPr>
          <w:rFonts w:ascii="Times New Roman" w:hAnsi="Times New Roman" w:cs="Times New Roman"/>
          <w:sz w:val="24"/>
          <w:szCs w:val="24"/>
          <w:vertAlign w:val="superscript"/>
        </w:rPr>
        <w:t>−1</w:t>
      </w:r>
      <w:r>
        <w:rPr>
          <w:rFonts w:ascii="Times New Roman" w:hAnsi="Times New Roman" w:cs="Times New Roman"/>
          <w:sz w:val="24"/>
          <w:szCs w:val="24"/>
        </w:rPr>
        <w:t xml:space="preserve"> soil), while C</w:t>
      </w:r>
      <w:r>
        <w:rPr>
          <w:rFonts w:ascii="Times New Roman" w:hAnsi="Times New Roman" w:cs="Times New Roman" w:hint="eastAsia"/>
          <w:sz w:val="24"/>
          <w:szCs w:val="24"/>
        </w:rPr>
        <w:t>O</w:t>
      </w:r>
      <w:r>
        <w:rPr>
          <w:rFonts w:ascii="Times New Roman" w:hAnsi="Times New Roman" w:cs="Times New Roman" w:hint="eastAsia"/>
          <w:sz w:val="24"/>
          <w:szCs w:val="24"/>
          <w:vertAlign w:val="subscript"/>
        </w:rPr>
        <w:t>2-</w:t>
      </w:r>
      <w:r>
        <w:rPr>
          <w:rFonts w:ascii="Times New Roman" w:hAnsi="Times New Roman" w:cs="Times New Roman"/>
          <w:sz w:val="24"/>
          <w:szCs w:val="24"/>
          <w:vertAlign w:val="subscript"/>
        </w:rPr>
        <w:t>Control</w:t>
      </w:r>
      <w:r>
        <w:rPr>
          <w:rFonts w:ascii="Times New Roman" w:hAnsi="Times New Roman" w:cs="Times New Roman"/>
          <w:sz w:val="24"/>
          <w:szCs w:val="24"/>
        </w:rPr>
        <w:t xml:space="preserve"> represents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in the control group </w:t>
      </w:r>
      <w:r>
        <w:rPr>
          <w:rFonts w:ascii="Times New Roman" w:hAnsi="Times New Roman" w:cs="Times New Roman" w:hint="eastAsia"/>
          <w:sz w:val="24"/>
          <w:szCs w:val="24"/>
        </w:rPr>
        <w:t>without biochar</w:t>
      </w:r>
      <w:r>
        <w:rPr>
          <w:rFonts w:ascii="Times New Roman" w:hAnsi="Times New Roman" w:cs="Times New Roman"/>
          <w:sz w:val="24"/>
          <w:szCs w:val="24"/>
        </w:rPr>
        <w:t xml:space="preserve"> (mg CO</w:t>
      </w:r>
      <w:r>
        <w:rPr>
          <w:rFonts w:ascii="Times New Roman" w:hAnsi="Times New Roman" w:cs="Times New Roman"/>
          <w:sz w:val="24"/>
          <w:szCs w:val="24"/>
          <w:vertAlign w:val="subscript"/>
        </w:rPr>
        <w:t>2</w:t>
      </w:r>
      <w:r>
        <w:rPr>
          <w:rFonts w:ascii="Times New Roman" w:hAnsi="Times New Roman" w:cs="Times New Roman" w:hint="eastAsia"/>
          <w:sz w:val="24"/>
          <w:szCs w:val="24"/>
        </w:rPr>
        <w:t xml:space="preserve">-C </w:t>
      </w:r>
      <w:r>
        <w:rPr>
          <w:rFonts w:ascii="Times New Roman" w:hAnsi="Times New Roman" w:cs="Times New Roman"/>
          <w:sz w:val="24"/>
          <w:szCs w:val="24"/>
        </w:rPr>
        <w:t>kg</w:t>
      </w:r>
      <w:r>
        <w:rPr>
          <w:rFonts w:ascii="Times New Roman" w:hAnsi="Times New Roman" w:cs="Times New Roman"/>
          <w:sz w:val="24"/>
          <w:szCs w:val="24"/>
          <w:vertAlign w:val="superscript"/>
        </w:rPr>
        <w:t>−1</w:t>
      </w:r>
      <w:r>
        <w:rPr>
          <w:rFonts w:ascii="Times New Roman" w:hAnsi="Times New Roman" w:cs="Times New Roman"/>
          <w:sz w:val="24"/>
          <w:szCs w:val="24"/>
        </w:rPr>
        <w:t xml:space="preserve"> soil). It should be mentioned that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derived from </w:t>
      </w:r>
      <w:r>
        <w:rPr>
          <w:rFonts w:ascii="Times New Roman" w:hAnsi="Times New Roman" w:cs="Times New Roman" w:hint="eastAsia"/>
          <w:sz w:val="24"/>
          <w:szCs w:val="24"/>
        </w:rPr>
        <w:t>biochar</w:t>
      </w:r>
      <w:r>
        <w:rPr>
          <w:rFonts w:ascii="Times New Roman" w:hAnsi="Times New Roman" w:cs="Times New Roman"/>
          <w:sz w:val="24"/>
          <w:szCs w:val="24"/>
        </w:rPr>
        <w:t xml:space="preserve"> were excluded from the calculation of the absolute priming effect. This exclusion was necessary to ensure that the observed priming effects accurately reflect the changes in SOC mineralization, without being influenced by the additional CO</w:t>
      </w:r>
      <w:r>
        <w:rPr>
          <w:rFonts w:ascii="Times New Roman" w:hAnsi="Times New Roman" w:cs="Times New Roman"/>
          <w:sz w:val="24"/>
          <w:szCs w:val="24"/>
          <w:vertAlign w:val="subscript"/>
        </w:rPr>
        <w:t>2</w:t>
      </w:r>
      <w:r>
        <w:rPr>
          <w:rFonts w:ascii="Times New Roman" w:hAnsi="Times New Roman" w:cs="Times New Roman"/>
          <w:sz w:val="24"/>
          <w:szCs w:val="24"/>
        </w:rPr>
        <w:t xml:space="preserve"> derived from </w:t>
      </w:r>
      <w:r>
        <w:rPr>
          <w:rFonts w:ascii="Times New Roman" w:hAnsi="Times New Roman" w:cs="Times New Roman" w:hint="eastAsia"/>
          <w:sz w:val="24"/>
          <w:szCs w:val="24"/>
        </w:rPr>
        <w:t>biochar</w:t>
      </w:r>
      <w:r>
        <w:rPr>
          <w:rFonts w:ascii="Times New Roman" w:hAnsi="Times New Roman" w:cs="Times New Roman"/>
          <w:sz w:val="24"/>
          <w:szCs w:val="24"/>
        </w:rPr>
        <w:t>.</w:t>
      </w:r>
    </w:p>
    <w:p w14:paraId="64D5BB6D" w14:textId="77777777" w:rsidR="00CA2AF5" w:rsidRDefault="00CA2AF5">
      <w:pPr>
        <w:widowControl/>
        <w:spacing w:line="480" w:lineRule="auto"/>
        <w:ind w:firstLineChars="200" w:firstLine="480"/>
        <w:rPr>
          <w:rFonts w:ascii="Times New Roman" w:hAnsi="Times New Roman" w:cs="Times New Roman"/>
          <w:sz w:val="24"/>
          <w:szCs w:val="24"/>
        </w:rPr>
      </w:pPr>
    </w:p>
    <w:p w14:paraId="56550048" w14:textId="77777777" w:rsidR="00CA2AF5" w:rsidRDefault="00CA2AF5">
      <w:pPr>
        <w:widowControl/>
        <w:spacing w:line="480" w:lineRule="auto"/>
        <w:ind w:firstLineChars="200" w:firstLine="480"/>
        <w:rPr>
          <w:rFonts w:ascii="Times New Roman" w:hAnsi="Times New Roman" w:cs="Times New Roman"/>
          <w:sz w:val="24"/>
          <w:szCs w:val="24"/>
        </w:rPr>
      </w:pPr>
    </w:p>
    <w:p w14:paraId="6C900489" w14:textId="77777777" w:rsidR="00CA2AF5" w:rsidRDefault="00000000">
      <w:pPr>
        <w:spacing w:line="480" w:lineRule="auto"/>
        <w:rPr>
          <w:rFonts w:ascii="Times New Roman" w:hAnsi="Times New Roman" w:cs="Times New Roman"/>
          <w:b/>
          <w:bCs/>
          <w:sz w:val="28"/>
          <w:szCs w:val="28"/>
        </w:rPr>
      </w:pPr>
      <w:r>
        <w:rPr>
          <w:rFonts w:ascii="Times New Roman" w:hAnsi="Times New Roman" w:cs="Times New Roman" w:hint="eastAsia"/>
          <w:b/>
          <w:bCs/>
          <w:sz w:val="28"/>
          <w:szCs w:val="28"/>
        </w:rPr>
        <w:lastRenderedPageBreak/>
        <w:t xml:space="preserve">Text S3. </w:t>
      </w:r>
      <w:r>
        <w:rPr>
          <w:rFonts w:ascii="Times New Roman" w:hAnsi="Times New Roman" w:cs="Times New Roman"/>
          <w:b/>
          <w:bCs/>
          <w:sz w:val="28"/>
          <w:szCs w:val="28"/>
        </w:rPr>
        <w:t xml:space="preserve">Analysis </w:t>
      </w:r>
      <w:bookmarkStart w:id="3" w:name="xscxhijdgmgbim"/>
      <w:r>
        <w:rPr>
          <w:rFonts w:ascii="Times New Roman" w:hAnsi="Times New Roman" w:cs="Times New Roman"/>
          <w:b/>
          <w:bCs/>
          <w:sz w:val="28"/>
          <w:szCs w:val="28"/>
        </w:rPr>
        <w:t xml:space="preserve">of </w:t>
      </w:r>
      <w:r>
        <w:rPr>
          <w:rFonts w:ascii="Times New Roman" w:hAnsi="Times New Roman" w:cs="Times New Roman" w:hint="eastAsia"/>
          <w:b/>
          <w:bCs/>
          <w:sz w:val="28"/>
          <w:szCs w:val="28"/>
        </w:rPr>
        <w:t>s</w:t>
      </w:r>
      <w:r>
        <w:rPr>
          <w:rFonts w:ascii="Times New Roman" w:hAnsi="Times New Roman" w:cs="Times New Roman"/>
          <w:b/>
          <w:bCs/>
          <w:sz w:val="28"/>
          <w:szCs w:val="28"/>
        </w:rPr>
        <w:t xml:space="preserve">oil </w:t>
      </w:r>
      <w:r>
        <w:rPr>
          <w:rFonts w:ascii="Times New Roman" w:hAnsi="Times New Roman" w:cs="Times New Roman" w:hint="eastAsia"/>
          <w:b/>
          <w:bCs/>
          <w:sz w:val="28"/>
          <w:szCs w:val="28"/>
        </w:rPr>
        <w:t>p</w:t>
      </w:r>
      <w:r>
        <w:rPr>
          <w:rFonts w:ascii="Times New Roman" w:hAnsi="Times New Roman" w:cs="Times New Roman"/>
          <w:b/>
          <w:bCs/>
          <w:sz w:val="28"/>
          <w:szCs w:val="28"/>
        </w:rPr>
        <w:t xml:space="preserve">hysical and </w:t>
      </w:r>
      <w:r>
        <w:rPr>
          <w:rFonts w:ascii="Times New Roman" w:hAnsi="Times New Roman" w:cs="Times New Roman" w:hint="eastAsia"/>
          <w:b/>
          <w:bCs/>
          <w:sz w:val="28"/>
          <w:szCs w:val="28"/>
        </w:rPr>
        <w:t>b</w:t>
      </w:r>
      <w:r>
        <w:rPr>
          <w:rFonts w:ascii="Times New Roman" w:hAnsi="Times New Roman" w:cs="Times New Roman"/>
          <w:b/>
          <w:bCs/>
          <w:sz w:val="28"/>
          <w:szCs w:val="28"/>
        </w:rPr>
        <w:t xml:space="preserve">iological </w:t>
      </w:r>
      <w:r>
        <w:rPr>
          <w:rFonts w:ascii="Times New Roman" w:hAnsi="Times New Roman" w:cs="Times New Roman" w:hint="eastAsia"/>
          <w:b/>
          <w:bCs/>
          <w:sz w:val="28"/>
          <w:szCs w:val="28"/>
        </w:rPr>
        <w:t>p</w:t>
      </w:r>
      <w:r>
        <w:rPr>
          <w:rFonts w:ascii="Times New Roman" w:hAnsi="Times New Roman" w:cs="Times New Roman"/>
          <w:b/>
          <w:bCs/>
          <w:sz w:val="28"/>
          <w:szCs w:val="28"/>
        </w:rPr>
        <w:t>roperties</w:t>
      </w:r>
      <w:bookmarkEnd w:id="3"/>
    </w:p>
    <w:p w14:paraId="073FC408" w14:textId="45C3CB8C" w:rsidR="00CA2AF5" w:rsidRDefault="00000000">
      <w:pPr>
        <w:autoSpaceDE w:val="0"/>
        <w:autoSpaceDN w:val="0"/>
        <w:adjustRightInd w:val="0"/>
        <w:spacing w:line="480" w:lineRule="auto"/>
        <w:ind w:firstLineChars="200" w:firstLine="480"/>
        <w:rPr>
          <w:rFonts w:ascii="Times New Roman" w:hAnsi="Times New Roman" w:cs="Times New Roman"/>
          <w:color w:val="000000" w:themeColor="text1"/>
          <w:sz w:val="24"/>
          <w:szCs w:val="24"/>
        </w:rPr>
      </w:pPr>
      <w:r>
        <w:rPr>
          <w:rFonts w:ascii="Times New Roman" w:hAnsi="Times New Roman" w:cs="Times New Roman"/>
          <w:sz w:val="24"/>
          <w:szCs w:val="24"/>
        </w:rPr>
        <w:t xml:space="preserve"> The distribution of the soil aggregates by </w:t>
      </w:r>
      <w:bookmarkStart w:id="4" w:name="xscwlvrrzynjbc"/>
      <w:r>
        <w:rPr>
          <w:rFonts w:ascii="Times New Roman" w:hAnsi="Times New Roman" w:cs="Times New Roman"/>
          <w:sz w:val="24"/>
          <w:szCs w:val="24"/>
        </w:rPr>
        <w:t>size (&lt;250</w:t>
      </w:r>
      <w:bookmarkEnd w:id="4"/>
      <w:r>
        <w:rPr>
          <w:rFonts w:ascii="Times New Roman" w:hAnsi="Times New Roman" w:cs="Times New Roman"/>
          <w:sz w:val="24"/>
          <w:szCs w:val="24"/>
        </w:rPr>
        <w:t xml:space="preserve"> and 250–2000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was assessed according to a previous method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NE.Ref.{037FE802-0858-41BA-9F2E-1929A27C3534}</w:instrText>
      </w:r>
      <w:r>
        <w:rPr>
          <w:rFonts w:ascii="Times New Roman" w:hAnsi="Times New Roman" w:cs="Times New Roman"/>
          <w:sz w:val="24"/>
          <w:szCs w:val="24"/>
        </w:rPr>
        <w:fldChar w:fldCharType="separate"/>
      </w:r>
      <w:r>
        <w:rPr>
          <w:rFonts w:ascii="Times New Roman" w:hAnsi="Times New Roman" w:cs="Times New Roman"/>
          <w:color w:val="080000"/>
          <w:kern w:val="0"/>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hint="eastAsia"/>
          <w:sz w:val="24"/>
          <w:szCs w:val="24"/>
        </w:rPr>
        <w:t>.</w:t>
      </w:r>
      <w:r>
        <w:rPr>
          <w:rFonts w:ascii="Times New Roman" w:hAnsi="Times New Roman" w:cs="Times New Roman"/>
          <w:sz w:val="24"/>
          <w:szCs w:val="24"/>
        </w:rPr>
        <w:t xml:space="preserve"> Soil pH was determined using a pH meter after shaking the soil-water suspension (1:5, w/v) for 24 h.  Bioavailable Cd in the soil was extracted with a 0.005 M </w:t>
      </w:r>
      <w:hyperlink r:id="rId9" w:tooltip="Learn more about diethylenetriaminepentaacetic acid from ScienceDirect's AI-generated Topic Pages" w:history="1">
        <w:r w:rsidR="00CA2AF5">
          <w:rPr>
            <w:rStyle w:val="af2"/>
            <w:rFonts w:ascii="Times New Roman" w:hAnsi="Times New Roman" w:cs="Times New Roman"/>
            <w:color w:val="auto"/>
            <w:sz w:val="24"/>
            <w:szCs w:val="24"/>
            <w:u w:val="none"/>
          </w:rPr>
          <w:t>diethylenetriaminepentaacetic acid</w:t>
        </w:r>
      </w:hyperlink>
      <w:r>
        <w:rPr>
          <w:rFonts w:ascii="Times New Roman" w:hAnsi="Times New Roman" w:cs="Times New Roman"/>
          <w:sz w:val="24"/>
          <w:szCs w:val="24"/>
        </w:rPr>
        <w:t xml:space="preserve"> (DTPA), 0.1 M </w:t>
      </w:r>
      <w:hyperlink r:id="rId10" w:tooltip="Learn more about triethanolamine from ScienceDirect's AI-generated Topic Pages" w:history="1">
        <w:r w:rsidR="00CA2AF5">
          <w:rPr>
            <w:rStyle w:val="af2"/>
            <w:rFonts w:ascii="Times New Roman" w:hAnsi="Times New Roman" w:cs="Times New Roman"/>
            <w:color w:val="auto"/>
            <w:sz w:val="24"/>
            <w:szCs w:val="24"/>
            <w:u w:val="none"/>
          </w:rPr>
          <w:t>triethanolamine</w:t>
        </w:r>
      </w:hyperlink>
      <w:r>
        <w:rPr>
          <w:rFonts w:ascii="Times New Roman" w:hAnsi="Times New Roman" w:cs="Times New Roman"/>
          <w:sz w:val="24"/>
          <w:szCs w:val="24"/>
        </w:rPr>
        <w:t xml:space="preserve"> (TEA), and 0.01 M </w:t>
      </w:r>
      <w:proofErr w:type="spellStart"/>
      <w:r>
        <w:rPr>
          <w:rFonts w:ascii="Times New Roman" w:hAnsi="Times New Roman" w:cs="Times New Roman"/>
          <w:sz w:val="24"/>
          <w:szCs w:val="24"/>
        </w:rPr>
        <w:t>CaCl</w:t>
      </w:r>
      <w:proofErr w:type="spellEnd"/>
      <w:r>
        <w:rPr>
          <w:rFonts w:ascii="Times New Roman" w:hAnsi="Times New Roman" w:cs="Times New Roman"/>
          <w:sz w:val="24"/>
          <w:szCs w:val="24"/>
        </w:rPr>
        <w:t>₂ solution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NE.Ref.{A6BB140D-8431-4076-870E-26D902A775EA}</w:instrText>
      </w:r>
      <w:r>
        <w:rPr>
          <w:rFonts w:ascii="Times New Roman" w:hAnsi="Times New Roman" w:cs="Times New Roman"/>
          <w:sz w:val="24"/>
          <w:szCs w:val="24"/>
        </w:rPr>
        <w:fldChar w:fldCharType="separate"/>
      </w:r>
      <w:r>
        <w:rPr>
          <w:rFonts w:ascii="Times New Roman" w:hAnsi="Times New Roman" w:cs="Times New Roman"/>
          <w:color w:val="080000"/>
          <w:kern w:val="0"/>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hint="eastAsia"/>
          <w:sz w:val="24"/>
          <w:szCs w:val="24"/>
        </w:rPr>
        <w:t>,</w:t>
      </w:r>
      <w:r>
        <w:rPr>
          <w:rFonts w:ascii="Times New Roman" w:hAnsi="Times New Roman" w:cs="Times New Roman"/>
          <w:color w:val="EE0000"/>
          <w:sz w:val="24"/>
          <w:szCs w:val="24"/>
        </w:rPr>
        <w:t xml:space="preserve"> </w:t>
      </w:r>
      <w:r>
        <w:rPr>
          <w:rFonts w:ascii="Times New Roman" w:hAnsi="Times New Roman" w:cs="Times New Roman"/>
          <w:sz w:val="24"/>
          <w:szCs w:val="24"/>
        </w:rPr>
        <w:t xml:space="preserve">followed by the analysis of the diluted filtrates using Inductively Coupled Plasma-Optical Emission Spectrometry (ICP-OES; ICAP-7400, </w:t>
      </w:r>
      <w:proofErr w:type="spellStart"/>
      <w:r>
        <w:rPr>
          <w:rFonts w:ascii="Times New Roman" w:hAnsi="Times New Roman" w:cs="Times New Roman"/>
          <w:sz w:val="24"/>
          <w:szCs w:val="24"/>
        </w:rPr>
        <w:t>ThermoFisher</w:t>
      </w:r>
      <w:proofErr w:type="spellEnd"/>
      <w:r>
        <w:rPr>
          <w:rFonts w:ascii="Times New Roman" w:hAnsi="Times New Roman" w:cs="Times New Roman"/>
          <w:sz w:val="24"/>
          <w:szCs w:val="24"/>
        </w:rPr>
        <w:t xml:space="preserve"> Scientific, USA)</w:t>
      </w:r>
      <w:r>
        <w:rPr>
          <w:rFonts w:ascii="Times New Roman" w:hAnsi="Times New Roman" w:cs="Times New Roman"/>
          <w:color w:val="000000" w:themeColor="text1"/>
          <w:sz w:val="24"/>
          <w:szCs w:val="24"/>
        </w:rPr>
        <w:t xml:space="preserve">. </w:t>
      </w:r>
    </w:p>
    <w:p w14:paraId="7D9D1128" w14:textId="77777777" w:rsidR="00CA2AF5" w:rsidRDefault="00CA2AF5">
      <w:pPr>
        <w:autoSpaceDE w:val="0"/>
        <w:autoSpaceDN w:val="0"/>
        <w:adjustRightInd w:val="0"/>
        <w:spacing w:line="480" w:lineRule="auto"/>
        <w:ind w:firstLineChars="200" w:firstLine="480"/>
        <w:rPr>
          <w:rFonts w:ascii="Times New Roman" w:hAnsi="Times New Roman" w:cs="Times New Roman"/>
          <w:color w:val="000000" w:themeColor="text1"/>
          <w:sz w:val="24"/>
          <w:szCs w:val="24"/>
        </w:rPr>
      </w:pPr>
    </w:p>
    <w:p w14:paraId="5E791EF3" w14:textId="77777777" w:rsidR="00CA2AF5" w:rsidRDefault="00000000">
      <w:pPr>
        <w:autoSpaceDE w:val="0"/>
        <w:autoSpaceDN w:val="0"/>
        <w:adjustRightInd w:val="0"/>
        <w:spacing w:line="480" w:lineRule="auto"/>
        <w:rPr>
          <w:rFonts w:ascii="Times New Roman" w:hAnsi="Times New Roman" w:cs="Times New Roman"/>
          <w:color w:val="EE0000"/>
          <w:sz w:val="24"/>
          <w:szCs w:val="24"/>
        </w:rPr>
      </w:pPr>
      <w:r>
        <w:rPr>
          <w:rFonts w:ascii="Times New Roman" w:hAnsi="Times New Roman" w:cs="Times New Roman" w:hint="eastAsia"/>
          <w:b/>
          <w:bCs/>
          <w:sz w:val="28"/>
          <w:szCs w:val="28"/>
        </w:rPr>
        <w:t>Text S4. PLFA analysis</w:t>
      </w:r>
    </w:p>
    <w:p w14:paraId="2B45762B" w14:textId="7732EAEF" w:rsidR="00CA2AF5" w:rsidRDefault="00000000">
      <w:pPr>
        <w:autoSpaceDE w:val="0"/>
        <w:autoSpaceDN w:val="0"/>
        <w:adjustRightInd w:val="0"/>
        <w:spacing w:line="480" w:lineRule="auto"/>
        <w:ind w:firstLineChars="200" w:firstLine="480"/>
        <w:rPr>
          <w:rFonts w:ascii="Times New Roman" w:eastAsia="STIX-Regular" w:hAnsi="Times New Roman" w:cs="Times New Roman"/>
          <w:kern w:val="0"/>
          <w:sz w:val="24"/>
          <w:szCs w:val="24"/>
        </w:rPr>
      </w:pPr>
      <w:bookmarkStart w:id="5" w:name="_Hlk214610584"/>
      <w:r>
        <w:rPr>
          <w:rFonts w:ascii="Times New Roman" w:hAnsi="Times New Roman" w:cs="Times New Roman" w:hint="eastAsia"/>
          <w:color w:val="000000" w:themeColor="text1"/>
          <w:sz w:val="24"/>
          <w:szCs w:val="24"/>
        </w:rPr>
        <w:t>The composition of the microbial community was estimated by phospholipid fatty acids (PLFA):</w:t>
      </w:r>
      <w:bookmarkEnd w:id="5"/>
      <w:r>
        <w:rPr>
          <w:rFonts w:ascii="Times New Roman" w:hAnsi="Times New Roman" w:cs="Times New Roman" w:hint="eastAsia"/>
          <w:color w:val="000000" w:themeColor="text1"/>
          <w:sz w:val="24"/>
          <w:szCs w:val="24"/>
        </w:rPr>
        <w:t xml:space="preserve"> </w:t>
      </w:r>
      <w:r>
        <w:rPr>
          <w:rFonts w:ascii="Times New Roman" w:eastAsia="STIX-Regular" w:hAnsi="Times New Roman" w:cs="Times New Roman"/>
          <w:kern w:val="0"/>
          <w:sz w:val="24"/>
          <w:szCs w:val="24"/>
        </w:rPr>
        <w:t>3.0 g of freeze‐dried soil was extracted twice using 15</w:t>
      </w:r>
      <w:r>
        <w:rPr>
          <w:rFonts w:ascii="Times New Roman" w:eastAsia="STIX-Regular" w:hAnsi="Times New Roman" w:cs="Times New Roman" w:hint="eastAsia"/>
          <w:kern w:val="0"/>
          <w:sz w:val="24"/>
          <w:szCs w:val="24"/>
        </w:rPr>
        <w:t xml:space="preserve"> </w:t>
      </w:r>
      <w:r>
        <w:rPr>
          <w:rFonts w:ascii="Times New Roman" w:eastAsia="STIX-Regular" w:hAnsi="Times New Roman" w:cs="Times New Roman"/>
          <w:kern w:val="0"/>
          <w:sz w:val="24"/>
          <w:szCs w:val="24"/>
        </w:rPr>
        <w:t>and 10</w:t>
      </w:r>
      <w:r>
        <w:rPr>
          <w:rFonts w:ascii="Times New Roman" w:eastAsia="STIX-Regular" w:hAnsi="Times New Roman" w:cs="Times New Roman" w:hint="eastAsia"/>
          <w:kern w:val="0"/>
          <w:sz w:val="24"/>
          <w:szCs w:val="24"/>
        </w:rPr>
        <w:t xml:space="preserve"> </w:t>
      </w:r>
      <w:r>
        <w:rPr>
          <w:rFonts w:ascii="Times New Roman" w:eastAsia="STIX-Regular" w:hAnsi="Times New Roman" w:cs="Times New Roman"/>
          <w:kern w:val="0"/>
          <w:sz w:val="24"/>
          <w:szCs w:val="24"/>
        </w:rPr>
        <w:t xml:space="preserve">mL single‐phase </w:t>
      </w:r>
      <w:bookmarkStart w:id="6" w:name="OLE_LINK1"/>
      <w:r>
        <w:rPr>
          <w:rFonts w:ascii="Times New Roman" w:eastAsia="STIX-Regular" w:hAnsi="Times New Roman" w:cs="Times New Roman" w:hint="eastAsia"/>
          <w:kern w:val="0"/>
          <w:sz w:val="24"/>
          <w:szCs w:val="24"/>
        </w:rPr>
        <w:t>c</w:t>
      </w:r>
      <w:r>
        <w:rPr>
          <w:rFonts w:ascii="Times New Roman" w:eastAsia="STIX-Regular" w:hAnsi="Times New Roman" w:cs="Times New Roman"/>
          <w:kern w:val="0"/>
          <w:sz w:val="24"/>
          <w:szCs w:val="24"/>
        </w:rPr>
        <w:t>hloroform</w:t>
      </w:r>
      <w:bookmarkEnd w:id="6"/>
      <w:r>
        <w:rPr>
          <w:rFonts w:ascii="Times New Roman" w:eastAsia="STIX-Regular" w:hAnsi="Times New Roman" w:cs="Times New Roman"/>
          <w:kern w:val="0"/>
          <w:sz w:val="24"/>
          <w:szCs w:val="24"/>
        </w:rPr>
        <w:t xml:space="preserve">/methanol/citrate buffer mixture (v/v/v = 1/2/0.8; pH = 4.0). The phospholipids were </w:t>
      </w:r>
      <w:r>
        <w:rPr>
          <w:rFonts w:ascii="Times New Roman" w:eastAsia="STIX-Regular" w:hAnsi="Times New Roman" w:cs="Times New Roman" w:hint="eastAsia"/>
          <w:kern w:val="0"/>
          <w:sz w:val="24"/>
          <w:szCs w:val="24"/>
        </w:rPr>
        <w:t>s</w:t>
      </w:r>
      <w:r>
        <w:rPr>
          <w:rFonts w:ascii="Times New Roman" w:eastAsia="STIX-Regular" w:hAnsi="Times New Roman" w:cs="Times New Roman"/>
          <w:kern w:val="0"/>
          <w:sz w:val="24"/>
          <w:szCs w:val="24"/>
        </w:rPr>
        <w:t>eparated from neutral lipids and glycolipids using silic</w:t>
      </w:r>
      <w:r>
        <w:rPr>
          <w:rFonts w:ascii="Times New Roman" w:eastAsia="STIX-Regular" w:hAnsi="Times New Roman" w:cs="Times New Roman" w:hint="eastAsia"/>
          <w:kern w:val="0"/>
          <w:sz w:val="24"/>
          <w:szCs w:val="24"/>
        </w:rPr>
        <w:t>ic</w:t>
      </w:r>
      <w:r>
        <w:rPr>
          <w:rFonts w:ascii="Times New Roman" w:eastAsia="STIX-Regular" w:hAnsi="Times New Roman" w:cs="Times New Roman"/>
          <w:kern w:val="0"/>
          <w:sz w:val="24"/>
          <w:szCs w:val="24"/>
        </w:rPr>
        <w:t xml:space="preserve"> acid columns (</w:t>
      </w:r>
      <w:proofErr w:type="spellStart"/>
      <w:r>
        <w:rPr>
          <w:rFonts w:ascii="Times New Roman" w:eastAsia="STIX-Regular" w:hAnsi="Times New Roman" w:cs="Times New Roman"/>
          <w:kern w:val="0"/>
          <w:sz w:val="24"/>
          <w:szCs w:val="24"/>
        </w:rPr>
        <w:t>Supelco</w:t>
      </w:r>
      <w:proofErr w:type="spellEnd"/>
      <w:r>
        <w:rPr>
          <w:rFonts w:ascii="Times New Roman" w:eastAsia="STIX-Regular" w:hAnsi="Times New Roman" w:cs="Times New Roman"/>
          <w:kern w:val="0"/>
          <w:sz w:val="24"/>
          <w:szCs w:val="24"/>
        </w:rPr>
        <w:t xml:space="preserve">, Inc.), and then phospholipids were methylated to provide fatty acid methyl esters using mild alkaline </w:t>
      </w:r>
      <w:proofErr w:type="spellStart"/>
      <w:r>
        <w:rPr>
          <w:rFonts w:ascii="Times New Roman" w:eastAsia="STIX-Regular" w:hAnsi="Times New Roman" w:cs="Times New Roman"/>
          <w:kern w:val="0"/>
          <w:sz w:val="24"/>
          <w:szCs w:val="24"/>
        </w:rPr>
        <w:t>methanolysis</w:t>
      </w:r>
      <w:proofErr w:type="spellEnd"/>
      <w:r>
        <w:rPr>
          <w:rFonts w:ascii="Times New Roman" w:eastAsia="STIX-Regular" w:hAnsi="Times New Roman" w:cs="Times New Roman"/>
          <w:kern w:val="0"/>
          <w:sz w:val="24"/>
          <w:szCs w:val="24"/>
        </w:rPr>
        <w:t xml:space="preserve"> at 37 °C in a water bath. The PLFA methyl esters were separated and identified using a gas chromatograph (N6890; Agilent) fitted with a MIDI Sherlock microbial identification system (Version 4.5; MIDI). Methyl </w:t>
      </w:r>
      <w:proofErr w:type="spellStart"/>
      <w:r>
        <w:rPr>
          <w:rFonts w:ascii="Times New Roman" w:eastAsia="STIX-Regular" w:hAnsi="Times New Roman" w:cs="Times New Roman"/>
          <w:kern w:val="0"/>
          <w:sz w:val="24"/>
          <w:szCs w:val="24"/>
        </w:rPr>
        <w:t>nonadecanoate</w:t>
      </w:r>
      <w:proofErr w:type="spellEnd"/>
      <w:r>
        <w:rPr>
          <w:rFonts w:ascii="Times New Roman" w:eastAsia="STIX-Regular" w:hAnsi="Times New Roman" w:cs="Times New Roman"/>
          <w:kern w:val="0"/>
          <w:sz w:val="24"/>
          <w:szCs w:val="24"/>
        </w:rPr>
        <w:t xml:space="preserve"> fatty acid (19:0) was added as an internal standard before methylation. The concentration of PLFA was expressed as nmol</w:t>
      </w:r>
      <w:r>
        <w:rPr>
          <w:rFonts w:ascii="Times New Roman" w:eastAsia="STIX-Regular" w:hAnsi="Times New Roman" w:cs="Times New Roman" w:hint="eastAsia"/>
          <w:kern w:val="0"/>
          <w:sz w:val="24"/>
          <w:szCs w:val="24"/>
        </w:rPr>
        <w:t xml:space="preserve"> </w:t>
      </w:r>
      <w:r>
        <w:rPr>
          <w:rFonts w:ascii="Times New Roman" w:eastAsia="STIX-Regular" w:hAnsi="Times New Roman" w:cs="Times New Roman"/>
          <w:kern w:val="0"/>
          <w:sz w:val="24"/>
          <w:szCs w:val="24"/>
        </w:rPr>
        <w:t>g</w:t>
      </w:r>
      <w:r>
        <w:rPr>
          <w:rFonts w:ascii="Times New Roman" w:hAnsi="Times New Roman" w:cs="Times New Roman"/>
          <w:sz w:val="24"/>
          <w:szCs w:val="24"/>
          <w:vertAlign w:val="superscript"/>
        </w:rPr>
        <w:t>−</w:t>
      </w:r>
      <w:r>
        <w:rPr>
          <w:rFonts w:ascii="Times New Roman" w:eastAsia="STIX-Regular" w:hAnsi="Times New Roman" w:cs="Times New Roman"/>
          <w:kern w:val="0"/>
          <w:sz w:val="24"/>
          <w:szCs w:val="24"/>
          <w:vertAlign w:val="superscript"/>
        </w:rPr>
        <w:t>1</w:t>
      </w:r>
      <w:r>
        <w:rPr>
          <w:rFonts w:ascii="Times New Roman" w:eastAsia="STIX-Regular" w:hAnsi="Times New Roman" w:cs="Times New Roman"/>
          <w:kern w:val="0"/>
          <w:sz w:val="24"/>
          <w:szCs w:val="24"/>
        </w:rPr>
        <w:t xml:space="preserve"> soil on a dry weight base. PLFA biomarkers of fungi (18:2ω6,9c and 18:1ω9c), Gram‐positive bacteria (G</w:t>
      </w:r>
      <w:r>
        <w:rPr>
          <w:rFonts w:ascii="Times New Roman" w:eastAsia="STIX-Regular" w:hAnsi="Times New Roman" w:cs="Times New Roman"/>
          <w:kern w:val="0"/>
          <w:sz w:val="24"/>
          <w:szCs w:val="24"/>
          <w:vertAlign w:val="superscript"/>
        </w:rPr>
        <w:t>+</w:t>
      </w:r>
      <w:r>
        <w:rPr>
          <w:rFonts w:ascii="Times New Roman" w:eastAsia="STIX-Regular" w:hAnsi="Times New Roman" w:cs="Times New Roman"/>
          <w:kern w:val="0"/>
          <w:sz w:val="24"/>
          <w:szCs w:val="24"/>
        </w:rPr>
        <w:t>‐bacteria, i14:0, i15:0, a15:0, i16:0, i17:0, and a17:0), Gram‐negative bacteria (G</w:t>
      </w:r>
      <w:r>
        <w:rPr>
          <w:rFonts w:ascii="Times New Roman" w:hAnsi="Times New Roman" w:cs="Times New Roman"/>
          <w:sz w:val="24"/>
          <w:szCs w:val="24"/>
          <w:vertAlign w:val="superscript"/>
        </w:rPr>
        <w:t>−</w:t>
      </w:r>
      <w:r>
        <w:rPr>
          <w:rFonts w:ascii="Times New Roman" w:eastAsia="STIX-Regular" w:hAnsi="Times New Roman" w:cs="Times New Roman"/>
          <w:kern w:val="0"/>
          <w:sz w:val="24"/>
          <w:szCs w:val="24"/>
        </w:rPr>
        <w:t>-</w:t>
      </w:r>
      <w:r>
        <w:rPr>
          <w:rFonts w:ascii="Times New Roman" w:eastAsia="STIX-Regular" w:hAnsi="Times New Roman" w:cs="Times New Roman"/>
          <w:kern w:val="0"/>
          <w:sz w:val="24"/>
          <w:szCs w:val="24"/>
        </w:rPr>
        <w:lastRenderedPageBreak/>
        <w:t>bacteria, 16:1ω7c, 16:1ω9c, 17:1ω8c, cy17:0, 18:1ω7c, and cy19:0),</w:t>
      </w:r>
      <w:r>
        <w:rPr>
          <w:rFonts w:ascii="Times New Roman" w:eastAsia="STIX-Regular" w:hAnsi="Times New Roman" w:cs="Times New Roman" w:hint="eastAsia"/>
          <w:kern w:val="0"/>
          <w:sz w:val="24"/>
          <w:szCs w:val="24"/>
        </w:rPr>
        <w:t xml:space="preserve"> anaerobes (</w:t>
      </w:r>
      <w:r>
        <w:rPr>
          <w:rFonts w:ascii="Times New Roman" w:eastAsia="STIX-Regular" w:hAnsi="Times New Roman" w:cs="Times New Roman"/>
          <w:kern w:val="0"/>
          <w:sz w:val="24"/>
          <w:szCs w:val="24"/>
        </w:rPr>
        <w:t>16:1ω7c</w:t>
      </w:r>
      <w:r>
        <w:rPr>
          <w:rFonts w:ascii="Times New Roman" w:eastAsia="STIX-Regular" w:hAnsi="Times New Roman" w:cs="Times New Roman" w:hint="eastAsia"/>
          <w:kern w:val="0"/>
          <w:sz w:val="24"/>
          <w:szCs w:val="24"/>
        </w:rPr>
        <w:t>), aerobes (</w:t>
      </w:r>
      <w:r>
        <w:rPr>
          <w:rFonts w:ascii="Times New Roman" w:eastAsia="STIX-Regular" w:hAnsi="Times New Roman" w:cs="Times New Roman"/>
          <w:kern w:val="0"/>
          <w:sz w:val="24"/>
          <w:szCs w:val="24"/>
        </w:rPr>
        <w:t>18:1ω7c</w:t>
      </w:r>
      <w:r>
        <w:rPr>
          <w:rFonts w:ascii="Times New Roman" w:eastAsia="STIX-Regular" w:hAnsi="Times New Roman" w:cs="Times New Roman" w:hint="eastAsia"/>
          <w:kern w:val="0"/>
          <w:sz w:val="24"/>
          <w:szCs w:val="24"/>
        </w:rPr>
        <w:t xml:space="preserve">, </w:t>
      </w:r>
      <w:r>
        <w:rPr>
          <w:rFonts w:ascii="Times New Roman" w:eastAsia="STIX-Regular" w:hAnsi="Times New Roman" w:cs="Times New Roman"/>
          <w:kern w:val="0"/>
          <w:sz w:val="24"/>
          <w:szCs w:val="24"/>
        </w:rPr>
        <w:t>18:2ω6,9c</w:t>
      </w:r>
      <w:r>
        <w:rPr>
          <w:rFonts w:ascii="Times New Roman" w:eastAsia="STIX-Regular" w:hAnsi="Times New Roman" w:cs="Times New Roman" w:hint="eastAsia"/>
          <w:kern w:val="0"/>
          <w:sz w:val="24"/>
          <w:szCs w:val="24"/>
        </w:rPr>
        <w:t>), protozoa (</w:t>
      </w:r>
      <w:r>
        <w:rPr>
          <w:rFonts w:ascii="Times New Roman" w:eastAsia="STIX-Regular" w:hAnsi="Times New Roman" w:cs="Times New Roman"/>
          <w:kern w:val="0"/>
          <w:sz w:val="24"/>
          <w:szCs w:val="24"/>
        </w:rPr>
        <w:t>18:3ω6c</w:t>
      </w:r>
      <w:r>
        <w:rPr>
          <w:rFonts w:ascii="Times New Roman" w:eastAsia="STIX-Regular" w:hAnsi="Times New Roman" w:cs="Times New Roman" w:hint="eastAsia"/>
          <w:kern w:val="0"/>
          <w:sz w:val="24"/>
          <w:szCs w:val="24"/>
        </w:rPr>
        <w:t>), psychrophilic bacteria (</w:t>
      </w:r>
      <w:r>
        <w:rPr>
          <w:rFonts w:ascii="Times New Roman" w:eastAsia="STIX-Regular" w:hAnsi="Times New Roman" w:cs="Times New Roman"/>
          <w:kern w:val="0"/>
          <w:sz w:val="24"/>
          <w:szCs w:val="24"/>
        </w:rPr>
        <w:t>16:1ω7c</w:t>
      </w:r>
      <w:r>
        <w:rPr>
          <w:rFonts w:ascii="Times New Roman" w:eastAsia="STIX-Regular" w:hAnsi="Times New Roman" w:cs="Times New Roman" w:hint="eastAsia"/>
          <w:kern w:val="0"/>
          <w:sz w:val="24"/>
          <w:szCs w:val="24"/>
        </w:rPr>
        <w:t xml:space="preserve">, </w:t>
      </w:r>
      <w:r>
        <w:rPr>
          <w:rFonts w:ascii="Times New Roman" w:eastAsia="STIX-Regular" w:hAnsi="Times New Roman" w:cs="Times New Roman"/>
          <w:kern w:val="0"/>
          <w:sz w:val="24"/>
          <w:szCs w:val="24"/>
        </w:rPr>
        <w:t>18:1ω7c</w:t>
      </w:r>
      <w:r>
        <w:rPr>
          <w:rFonts w:ascii="Times New Roman" w:eastAsia="STIX-Regular" w:hAnsi="Times New Roman" w:cs="Times New Roman" w:hint="eastAsia"/>
          <w:kern w:val="0"/>
          <w:sz w:val="24"/>
          <w:szCs w:val="24"/>
        </w:rPr>
        <w:t xml:space="preserve">), </w:t>
      </w:r>
      <w:r>
        <w:rPr>
          <w:rFonts w:ascii="Times New Roman" w:eastAsia="STIX-Regular" w:hAnsi="Times New Roman" w:cs="Times New Roman"/>
          <w:kern w:val="0"/>
          <w:sz w:val="24"/>
          <w:szCs w:val="24"/>
        </w:rPr>
        <w:t>and actinomycetes (10Me16:0, 10Me17:0, and 10Me18:0) were used to represent different microbial groups.</w:t>
      </w:r>
      <w:r>
        <w:rPr>
          <w:rFonts w:ascii="Times New Roman" w:eastAsia="STIX-Regular" w:hAnsi="Times New Roman" w:cs="Times New Roman" w:hint="eastAsia"/>
          <w:kern w:val="0"/>
          <w:sz w:val="24"/>
          <w:szCs w:val="24"/>
        </w:rPr>
        <w:t xml:space="preserve"> </w:t>
      </w:r>
      <w:r>
        <w:rPr>
          <w:rFonts w:ascii="Times New Roman" w:eastAsia="STIX-Regular" w:hAnsi="Times New Roman" w:cs="Times New Roman"/>
          <w:kern w:val="0"/>
          <w:sz w:val="24"/>
          <w:szCs w:val="24"/>
        </w:rPr>
        <w:t xml:space="preserve">The PLFA data were standardized to the mole percentages (mol%) of individual PLFA for the examination of the variation </w:t>
      </w:r>
      <w:r>
        <w:rPr>
          <w:rFonts w:ascii="Times New Roman" w:eastAsia="STIX-Regular" w:hAnsi="Times New Roman" w:cs="Times New Roman" w:hint="eastAsia"/>
          <w:kern w:val="0"/>
          <w:sz w:val="24"/>
          <w:szCs w:val="24"/>
        </w:rPr>
        <w:t xml:space="preserve">in </w:t>
      </w:r>
      <w:r>
        <w:rPr>
          <w:rFonts w:ascii="Times New Roman" w:eastAsia="STIX-Regular" w:hAnsi="Times New Roman" w:cs="Times New Roman"/>
          <w:kern w:val="0"/>
          <w:sz w:val="24"/>
          <w:szCs w:val="24"/>
        </w:rPr>
        <w:t>microbial community structure in the soil.</w:t>
      </w:r>
    </w:p>
    <w:p w14:paraId="74FE25CA" w14:textId="77777777" w:rsidR="00CA2AF5" w:rsidRDefault="00CA2AF5">
      <w:pPr>
        <w:spacing w:line="480" w:lineRule="auto"/>
        <w:ind w:firstLineChars="100" w:firstLine="210"/>
        <w:rPr>
          <w:rFonts w:hint="eastAsia"/>
          <w:color w:val="EE0000"/>
        </w:rPr>
      </w:pPr>
    </w:p>
    <w:p w14:paraId="45A92313" w14:textId="77777777" w:rsidR="00CA2AF5" w:rsidRDefault="00000000">
      <w:pPr>
        <w:spacing w:line="480" w:lineRule="auto"/>
        <w:rPr>
          <w:rFonts w:hint="eastAsia"/>
          <w:color w:val="EE0000"/>
        </w:rPr>
      </w:pPr>
      <w:bookmarkStart w:id="7" w:name="OLE_LINK2"/>
      <w:r>
        <w:rPr>
          <w:rFonts w:ascii="Times New Roman" w:hAnsi="Times New Roman" w:cs="Times New Roman" w:hint="eastAsia"/>
          <w:b/>
          <w:bCs/>
          <w:sz w:val="28"/>
          <w:szCs w:val="28"/>
        </w:rPr>
        <w:t>Text S5.</w:t>
      </w:r>
      <w:bookmarkEnd w:id="7"/>
      <w:r>
        <w:rPr>
          <w:rFonts w:ascii="Times New Roman" w:hAnsi="Times New Roman" w:cs="Times New Roman" w:hint="eastAsia"/>
          <w:b/>
          <w:bCs/>
          <w:sz w:val="28"/>
          <w:szCs w:val="28"/>
        </w:rPr>
        <w:t xml:space="preserve"> Sorption of DOC by biochar</w:t>
      </w:r>
    </w:p>
    <w:p w14:paraId="64CA16E0" w14:textId="5294E525" w:rsidR="00CA2AF5" w:rsidRDefault="00000000">
      <w:pPr>
        <w:spacing w:line="480" w:lineRule="auto"/>
        <w:ind w:firstLineChars="100" w:firstLine="240"/>
        <w:rPr>
          <w:rFonts w:ascii="Times New Roman" w:hAnsi="Times New Roman" w:cs="Times New Roman"/>
          <w:sz w:val="24"/>
          <w:szCs w:val="24"/>
        </w:rPr>
      </w:pPr>
      <w:bookmarkStart w:id="8" w:name="OLE_LINK8"/>
      <w:r>
        <w:rPr>
          <w:rFonts w:ascii="Times New Roman" w:hAnsi="Times New Roman" w:cs="Times New Roman"/>
          <w:sz w:val="24"/>
          <w:szCs w:val="24"/>
        </w:rPr>
        <w:t xml:space="preserve">To evaluate the effect of Cd on the adsorption of DOC by biochar, sorption experiments were conducted </w:t>
      </w:r>
      <w:bookmarkStart w:id="9" w:name="xsc51hrv2xmxnb"/>
      <w:r>
        <w:rPr>
          <w:rFonts w:ascii="Times New Roman" w:hAnsi="Times New Roman" w:cs="Times New Roman"/>
          <w:sz w:val="24"/>
          <w:szCs w:val="24"/>
        </w:rPr>
        <w:t>as follows.</w:t>
      </w:r>
      <w:bookmarkEnd w:id="9"/>
      <w:r>
        <w:rPr>
          <w:rFonts w:ascii="Times New Roman" w:hAnsi="Times New Roman" w:cs="Times New Roman"/>
          <w:sz w:val="24"/>
          <w:szCs w:val="24"/>
        </w:rPr>
        <w:t xml:space="preserve"> First, </w:t>
      </w:r>
      <w:bookmarkStart w:id="10" w:name="OLE_LINK13"/>
      <w:r>
        <w:rPr>
          <w:rFonts w:ascii="Times New Roman" w:hAnsi="Times New Roman" w:cs="Times New Roman"/>
          <w:sz w:val="24"/>
          <w:szCs w:val="24"/>
        </w:rPr>
        <w:t>50 mg of biochar was incorporated into 50 mL of a solution containing 200 mg L</w:t>
      </w:r>
      <w:r>
        <w:rPr>
          <w:rFonts w:ascii="Times New Roman" w:hAnsi="Times New Roman" w:cs="Times New Roman"/>
          <w:sz w:val="24"/>
          <w:szCs w:val="24"/>
          <w:vertAlign w:val="superscript"/>
        </w:rPr>
        <w:t>−1</w:t>
      </w:r>
      <w:r>
        <w:rPr>
          <w:rFonts w:ascii="Times New Roman" w:hAnsi="Times New Roman" w:cs="Times New Roman"/>
          <w:sz w:val="24"/>
          <w:szCs w:val="24"/>
        </w:rPr>
        <w:t xml:space="preserve"> NaN</w:t>
      </w:r>
      <w:r>
        <w:rPr>
          <w:rFonts w:ascii="Times New Roman" w:hAnsi="Times New Roman" w:cs="Times New Roman"/>
          <w:sz w:val="24"/>
          <w:szCs w:val="24"/>
          <w:vertAlign w:val="subscript"/>
        </w:rPr>
        <w:t>3</w:t>
      </w:r>
      <w:r>
        <w:rPr>
          <w:rFonts w:ascii="Times New Roman" w:hAnsi="Times New Roman" w:cs="Times New Roman"/>
          <w:sz w:val="24"/>
          <w:szCs w:val="24"/>
        </w:rPr>
        <w:t xml:space="preserve"> to suppress microbial activity. </w:t>
      </w:r>
      <w:bookmarkEnd w:id="10"/>
      <w:r>
        <w:rPr>
          <w:rFonts w:ascii="Times New Roman" w:hAnsi="Times New Roman" w:cs="Times New Roman"/>
          <w:sz w:val="24"/>
          <w:szCs w:val="24"/>
        </w:rPr>
        <w:t>Subsequently, DOC was added to give a carbon concentration of 0, 3, 6, 10, or 15 mg L</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the solution pH was adjusted to 7.0 using 0.1 M HCl and 0.1 M NaOH. The experiments included two treatments: with and without 0.2 mg L</w:t>
      </w:r>
      <w:r>
        <w:rPr>
          <w:rFonts w:ascii="Times New Roman" w:hAnsi="Times New Roman" w:cs="Times New Roman"/>
          <w:sz w:val="24"/>
          <w:szCs w:val="24"/>
          <w:vertAlign w:val="superscript"/>
        </w:rPr>
        <w:t>−1</w:t>
      </w:r>
      <w:r>
        <w:rPr>
          <w:rFonts w:ascii="Times New Roman" w:hAnsi="Times New Roman" w:cs="Times New Roman"/>
          <w:sz w:val="24"/>
          <w:szCs w:val="24"/>
        </w:rPr>
        <w:t xml:space="preserve"> CdCl</w:t>
      </w:r>
      <w:r w:rsidRPr="00C15465">
        <w:rPr>
          <w:rFonts w:ascii="Times New Roman" w:hAnsi="Times New Roman" w:cs="Times New Roman"/>
          <w:sz w:val="24"/>
          <w:szCs w:val="24"/>
          <w:vertAlign w:val="subscript"/>
        </w:rPr>
        <w:t>2</w:t>
      </w:r>
      <w:r>
        <w:rPr>
          <w:rFonts w:ascii="Times New Roman" w:hAnsi="Times New Roman" w:cs="Times New Roman"/>
          <w:sz w:val="24"/>
          <w:szCs w:val="24"/>
        </w:rPr>
        <w:t xml:space="preserve">. This Cd concentration was chosen according to the Cd-to-biochar ratio of the </w:t>
      </w:r>
      <w:r w:rsidRPr="00C15465">
        <w:rPr>
          <w:rFonts w:ascii="Times New Roman" w:eastAsia="宋体" w:hAnsi="Times New Roman" w:cs="Times New Roman"/>
          <w:kern w:val="0"/>
          <w:sz w:val="24"/>
          <w:szCs w:val="24"/>
        </w:rPr>
        <w:t>“</w:t>
      </w:r>
      <w:r>
        <w:rPr>
          <w:rFonts w:ascii="Times New Roman" w:hAnsi="Times New Roman" w:cs="Times New Roman"/>
          <w:sz w:val="24"/>
          <w:szCs w:val="24"/>
        </w:rPr>
        <w:t>BC + High Cd</w:t>
      </w:r>
      <w:r>
        <w:rPr>
          <w:rStyle w:val="af0"/>
          <w:rFonts w:ascii="Times New Roman" w:eastAsia="Segoe UI" w:hAnsi="Times New Roman" w:cs="Times New Roman"/>
          <w:b w:val="0"/>
          <w:color w:val="0F1115"/>
          <w:sz w:val="24"/>
          <w:szCs w:val="24"/>
          <w:shd w:val="clear" w:color="auto" w:fill="FFFFFF"/>
        </w:rPr>
        <w:t>”</w:t>
      </w:r>
      <w:r>
        <w:rPr>
          <w:rFonts w:ascii="Times New Roman" w:hAnsi="Times New Roman" w:cs="Times New Roman"/>
          <w:sz w:val="24"/>
          <w:szCs w:val="24"/>
        </w:rPr>
        <w:t xml:space="preserve"> group. Following 48 h equilibration in the dark on a shaker, the mixtures were centrifuged at 4000 rpm for 5 min. The resulting supernatants </w:t>
      </w:r>
      <w:bookmarkStart w:id="11" w:name="xsc00lmviqpzgt"/>
      <w:r>
        <w:rPr>
          <w:rFonts w:ascii="Times New Roman" w:hAnsi="Times New Roman" w:cs="Times New Roman"/>
          <w:sz w:val="24"/>
          <w:szCs w:val="24"/>
        </w:rPr>
        <w:t>were analyzed with</w:t>
      </w:r>
      <w:bookmarkEnd w:id="11"/>
      <w:r>
        <w:rPr>
          <w:rFonts w:ascii="Times New Roman" w:hAnsi="Times New Roman" w:cs="Times New Roman"/>
          <w:sz w:val="24"/>
          <w:szCs w:val="24"/>
        </w:rPr>
        <w:t xml:space="preserve"> a TOC analyzer (TOC-L, Shimadzu, Japan) to determine their DOC concentrations. Biochar-only controls and duplicate setups were employed to account for background leaching and ensure reproducibility, respectively. Finally, the data were fitted using the Freundlich adsorption isotherm model.</w:t>
      </w:r>
      <w:bookmarkEnd w:id="8"/>
      <w:r>
        <w:rPr>
          <w:rFonts w:ascii="Times New Roman" w:hAnsi="Times New Roman" w:cs="Times New Roman"/>
          <w:sz w:val="24"/>
          <w:szCs w:val="24"/>
        </w:rPr>
        <w:br w:type="page"/>
      </w:r>
    </w:p>
    <w:p w14:paraId="561B5C09" w14:textId="77777777" w:rsidR="00CA2AF5" w:rsidRDefault="00CA2AF5">
      <w:pPr>
        <w:spacing w:line="480" w:lineRule="auto"/>
        <w:rPr>
          <w:rFonts w:ascii="Times New Roman" w:hAnsi="Times New Roman" w:cs="Times New Roman"/>
          <w:sz w:val="24"/>
          <w:szCs w:val="24"/>
        </w:rPr>
      </w:pPr>
    </w:p>
    <w:p w14:paraId="4F99E721" w14:textId="77777777" w:rsidR="00CA2AF5" w:rsidRDefault="00000000">
      <w:pPr>
        <w:widowControl/>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b/>
          <w:bCs/>
          <w:kern w:val="0"/>
          <w:sz w:val="24"/>
          <w:szCs w:val="24"/>
        </w:rPr>
        <w:t xml:space="preserve">Table S1. </w:t>
      </w:r>
      <w:r>
        <w:rPr>
          <w:rFonts w:ascii="Times New Roman" w:hAnsi="Times New Roman" w:cs="Times New Roman" w:hint="eastAsia"/>
          <w:sz w:val="24"/>
          <w:szCs w:val="24"/>
        </w:rPr>
        <w:t>The basic properties of the biochar used in this study</w:t>
      </w:r>
    </w:p>
    <w:tbl>
      <w:tblPr>
        <w:tblStyle w:val="af"/>
        <w:tblW w:w="70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2648"/>
      </w:tblGrid>
      <w:tr w:rsidR="00CA2AF5" w14:paraId="07090E40" w14:textId="77777777">
        <w:trPr>
          <w:trHeight w:val="454"/>
          <w:jc w:val="center"/>
        </w:trPr>
        <w:tc>
          <w:tcPr>
            <w:tcW w:w="4380" w:type="dxa"/>
            <w:tcBorders>
              <w:top w:val="single" w:sz="12" w:space="0" w:color="auto"/>
              <w:bottom w:val="single" w:sz="8" w:space="0" w:color="auto"/>
            </w:tcBorders>
            <w:vAlign w:val="center"/>
          </w:tcPr>
          <w:p w14:paraId="33813E46" w14:textId="77777777" w:rsidR="00CA2AF5" w:rsidRDefault="00000000">
            <w:pPr>
              <w:widowControl/>
              <w:jc w:val="center"/>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Property</w:t>
            </w:r>
          </w:p>
        </w:tc>
        <w:tc>
          <w:tcPr>
            <w:tcW w:w="2648" w:type="dxa"/>
            <w:tcBorders>
              <w:top w:val="single" w:sz="12" w:space="0" w:color="auto"/>
              <w:bottom w:val="single" w:sz="8" w:space="0" w:color="auto"/>
            </w:tcBorders>
            <w:vAlign w:val="center"/>
          </w:tcPr>
          <w:p w14:paraId="003EDF4C" w14:textId="77777777" w:rsidR="00CA2AF5" w:rsidRDefault="00000000">
            <w:pPr>
              <w:widowControl/>
              <w:jc w:val="center"/>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Biochar</w:t>
            </w:r>
          </w:p>
        </w:tc>
      </w:tr>
      <w:tr w:rsidR="00CA2AF5" w14:paraId="16EBF92F" w14:textId="77777777">
        <w:trPr>
          <w:trHeight w:val="454"/>
          <w:jc w:val="center"/>
        </w:trPr>
        <w:tc>
          <w:tcPr>
            <w:tcW w:w="4380" w:type="dxa"/>
            <w:tcBorders>
              <w:top w:val="single" w:sz="8" w:space="0" w:color="auto"/>
            </w:tcBorders>
            <w:vAlign w:val="center"/>
          </w:tcPr>
          <w:p w14:paraId="0174641A"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kern w:val="0"/>
                <w:sz w:val="24"/>
                <w:szCs w:val="24"/>
              </w:rPr>
              <w:t>pH</w:t>
            </w:r>
          </w:p>
        </w:tc>
        <w:tc>
          <w:tcPr>
            <w:tcW w:w="2648" w:type="dxa"/>
            <w:tcBorders>
              <w:top w:val="single" w:sz="8" w:space="0" w:color="auto"/>
            </w:tcBorders>
            <w:vAlign w:val="center"/>
          </w:tcPr>
          <w:p w14:paraId="6930F9CC"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9.7</w:t>
            </w:r>
          </w:p>
        </w:tc>
      </w:tr>
      <w:tr w:rsidR="00CA2AF5" w14:paraId="6D335E6C" w14:textId="77777777">
        <w:trPr>
          <w:trHeight w:val="454"/>
          <w:jc w:val="center"/>
        </w:trPr>
        <w:tc>
          <w:tcPr>
            <w:tcW w:w="4380" w:type="dxa"/>
            <w:vAlign w:val="center"/>
          </w:tcPr>
          <w:p w14:paraId="75C33199"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 xml:space="preserve"> Total C (%)</w:t>
            </w:r>
          </w:p>
        </w:tc>
        <w:tc>
          <w:tcPr>
            <w:tcW w:w="2648" w:type="dxa"/>
            <w:vAlign w:val="center"/>
          </w:tcPr>
          <w:p w14:paraId="5C52BD41"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68.51</w:t>
            </w:r>
          </w:p>
        </w:tc>
      </w:tr>
      <w:tr w:rsidR="00CA2AF5" w14:paraId="39672EB7" w14:textId="77777777">
        <w:trPr>
          <w:trHeight w:val="454"/>
          <w:jc w:val="center"/>
        </w:trPr>
        <w:tc>
          <w:tcPr>
            <w:tcW w:w="4380" w:type="dxa"/>
            <w:vAlign w:val="center"/>
          </w:tcPr>
          <w:p w14:paraId="66BA4015"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Total N (%)</w:t>
            </w:r>
          </w:p>
        </w:tc>
        <w:tc>
          <w:tcPr>
            <w:tcW w:w="2648" w:type="dxa"/>
            <w:vAlign w:val="center"/>
          </w:tcPr>
          <w:p w14:paraId="1239405F"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1.88</w:t>
            </w:r>
          </w:p>
        </w:tc>
      </w:tr>
      <w:tr w:rsidR="00CA2AF5" w14:paraId="44248018" w14:textId="77777777">
        <w:trPr>
          <w:trHeight w:val="454"/>
          <w:jc w:val="center"/>
        </w:trPr>
        <w:tc>
          <w:tcPr>
            <w:tcW w:w="4380" w:type="dxa"/>
            <w:vAlign w:val="center"/>
          </w:tcPr>
          <w:p w14:paraId="4677F0C8"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Total H (%)</w:t>
            </w:r>
          </w:p>
        </w:tc>
        <w:tc>
          <w:tcPr>
            <w:tcW w:w="2648" w:type="dxa"/>
            <w:vAlign w:val="center"/>
          </w:tcPr>
          <w:p w14:paraId="025CFB62"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3.74</w:t>
            </w:r>
          </w:p>
        </w:tc>
      </w:tr>
      <w:tr w:rsidR="00CA2AF5" w14:paraId="7F66FD9F" w14:textId="77777777">
        <w:trPr>
          <w:trHeight w:val="454"/>
          <w:jc w:val="center"/>
        </w:trPr>
        <w:tc>
          <w:tcPr>
            <w:tcW w:w="4380" w:type="dxa"/>
            <w:vAlign w:val="center"/>
          </w:tcPr>
          <w:p w14:paraId="4752F9FA"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Total O (%)</w:t>
            </w:r>
          </w:p>
        </w:tc>
        <w:tc>
          <w:tcPr>
            <w:tcW w:w="2648" w:type="dxa"/>
            <w:vAlign w:val="center"/>
          </w:tcPr>
          <w:p w14:paraId="554CD3D2"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18.19</w:t>
            </w:r>
          </w:p>
        </w:tc>
      </w:tr>
      <w:tr w:rsidR="00CA2AF5" w14:paraId="6DED6D26" w14:textId="77777777">
        <w:trPr>
          <w:trHeight w:val="454"/>
          <w:jc w:val="center"/>
        </w:trPr>
        <w:tc>
          <w:tcPr>
            <w:tcW w:w="4380" w:type="dxa"/>
            <w:vAlign w:val="center"/>
          </w:tcPr>
          <w:p w14:paraId="2D1CB0E7"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Atomic H/C</w:t>
            </w:r>
          </w:p>
        </w:tc>
        <w:tc>
          <w:tcPr>
            <w:tcW w:w="2648" w:type="dxa"/>
            <w:vAlign w:val="center"/>
          </w:tcPr>
          <w:p w14:paraId="40BB5660"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0.66</w:t>
            </w:r>
          </w:p>
        </w:tc>
      </w:tr>
      <w:tr w:rsidR="00CA2AF5" w14:paraId="6792C458" w14:textId="77777777">
        <w:trPr>
          <w:trHeight w:val="454"/>
          <w:jc w:val="center"/>
        </w:trPr>
        <w:tc>
          <w:tcPr>
            <w:tcW w:w="4380" w:type="dxa"/>
            <w:vAlign w:val="center"/>
          </w:tcPr>
          <w:p w14:paraId="4881478F"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Atomic O/C</w:t>
            </w:r>
          </w:p>
        </w:tc>
        <w:tc>
          <w:tcPr>
            <w:tcW w:w="2648" w:type="dxa"/>
            <w:vAlign w:val="center"/>
          </w:tcPr>
          <w:p w14:paraId="22A3236D"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0.20</w:t>
            </w:r>
          </w:p>
        </w:tc>
      </w:tr>
      <w:tr w:rsidR="00CA2AF5" w14:paraId="71C0AF87" w14:textId="77777777">
        <w:trPr>
          <w:trHeight w:val="454"/>
          <w:jc w:val="center"/>
        </w:trPr>
        <w:tc>
          <w:tcPr>
            <w:tcW w:w="4380" w:type="dxa"/>
            <w:vAlign w:val="center"/>
          </w:tcPr>
          <w:p w14:paraId="04834335"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Atomic (O+N)/C</w:t>
            </w:r>
          </w:p>
        </w:tc>
        <w:tc>
          <w:tcPr>
            <w:tcW w:w="2648" w:type="dxa"/>
            <w:vAlign w:val="center"/>
          </w:tcPr>
          <w:p w14:paraId="3AB5F68F" w14:textId="77777777" w:rsidR="00CA2AF5" w:rsidRDefault="00000000">
            <w:pPr>
              <w:widowControl/>
              <w:jc w:val="center"/>
              <w:rPr>
                <w:rFonts w:ascii="Times New Roman" w:eastAsia="宋体" w:hAnsi="Times New Roman" w:cs="Times New Roman"/>
                <w:kern w:val="0"/>
                <w:sz w:val="24"/>
                <w:szCs w:val="24"/>
              </w:rPr>
            </w:pPr>
            <w:r>
              <w:rPr>
                <w:rFonts w:ascii="Times New Roman" w:hAnsi="Times New Roman" w:cs="Times New Roman" w:hint="eastAsia"/>
                <w:kern w:val="0"/>
                <w:sz w:val="24"/>
                <w:szCs w:val="24"/>
              </w:rPr>
              <w:t>0.22</w:t>
            </w:r>
          </w:p>
        </w:tc>
      </w:tr>
      <w:tr w:rsidR="00CA2AF5" w14:paraId="5AB502E7" w14:textId="77777777">
        <w:trPr>
          <w:trHeight w:val="454"/>
          <w:jc w:val="center"/>
        </w:trPr>
        <w:tc>
          <w:tcPr>
            <w:tcW w:w="4380" w:type="dxa"/>
            <w:vAlign w:val="center"/>
          </w:tcPr>
          <w:p w14:paraId="081AB73F"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kern w:val="0"/>
                <w:sz w:val="24"/>
                <w:szCs w:val="24"/>
              </w:rPr>
              <w:t>δ</w:t>
            </w:r>
            <w:r>
              <w:rPr>
                <w:rFonts w:ascii="Times New Roman" w:hAnsi="Times New Roman" w:cs="Times New Roman"/>
                <w:kern w:val="0"/>
                <w:sz w:val="24"/>
                <w:szCs w:val="24"/>
                <w:vertAlign w:val="superscript"/>
              </w:rPr>
              <w:t>13</w:t>
            </w:r>
            <w:r>
              <w:rPr>
                <w:rFonts w:ascii="Times New Roman" w:hAnsi="Times New Roman" w:cs="Times New Roman"/>
                <w:kern w:val="0"/>
                <w:sz w:val="24"/>
                <w:szCs w:val="24"/>
              </w:rPr>
              <w:t>C</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w:t>
            </w:r>
            <w:r>
              <w:rPr>
                <w:rFonts w:ascii="Times New Roman" w:hAnsi="Times New Roman" w:cs="Times New Roman" w:hint="eastAsia"/>
                <w:kern w:val="0"/>
                <w:sz w:val="24"/>
                <w:szCs w:val="24"/>
              </w:rPr>
              <w:t>)</w:t>
            </w:r>
          </w:p>
        </w:tc>
        <w:tc>
          <w:tcPr>
            <w:tcW w:w="2648" w:type="dxa"/>
            <w:vAlign w:val="center"/>
          </w:tcPr>
          <w:p w14:paraId="03F4A044" w14:textId="3527A305" w:rsidR="00CA2AF5" w:rsidRDefault="00000000">
            <w:pPr>
              <w:widowControl/>
              <w:jc w:val="center"/>
              <w:rPr>
                <w:rFonts w:ascii="Times New Roman" w:hAnsi="Times New Roman" w:cs="Times New Roman"/>
                <w:kern w:val="0"/>
                <w:sz w:val="24"/>
                <w:szCs w:val="24"/>
              </w:rPr>
            </w:pPr>
            <w:r>
              <w:rPr>
                <w:rFonts w:ascii="Times New Roman" w:hAnsi="Times New Roman" w:cs="Times New Roman"/>
                <w:sz w:val="24"/>
                <w:szCs w:val="24"/>
              </w:rPr>
              <w:t>−</w:t>
            </w:r>
            <w:r>
              <w:rPr>
                <w:rFonts w:ascii="Times New Roman" w:hAnsi="Times New Roman" w:cs="Times New Roman" w:hint="eastAsia"/>
                <w:kern w:val="0"/>
                <w:sz w:val="24"/>
                <w:szCs w:val="24"/>
              </w:rPr>
              <w:t>13.44</w:t>
            </w:r>
          </w:p>
        </w:tc>
      </w:tr>
      <w:tr w:rsidR="00CA2AF5" w14:paraId="093513C4" w14:textId="77777777">
        <w:trPr>
          <w:trHeight w:val="454"/>
          <w:jc w:val="center"/>
        </w:trPr>
        <w:tc>
          <w:tcPr>
            <w:tcW w:w="4380" w:type="dxa"/>
            <w:vAlign w:val="center"/>
          </w:tcPr>
          <w:p w14:paraId="33225192" w14:textId="4CA5C3D8"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DOC (g C kg</w:t>
            </w:r>
            <w:r>
              <w:rPr>
                <w:rFonts w:ascii="Times New Roman" w:hAnsi="Times New Roman" w:cs="Times New Roman"/>
                <w:sz w:val="24"/>
                <w:szCs w:val="24"/>
                <w:vertAlign w:val="superscript"/>
              </w:rPr>
              <w:t>−</w:t>
            </w:r>
            <w:r>
              <w:rPr>
                <w:rFonts w:ascii="Times New Roman" w:hAnsi="Times New Roman" w:cs="Times New Roman" w:hint="eastAsia"/>
                <w:kern w:val="0"/>
                <w:sz w:val="24"/>
                <w:szCs w:val="24"/>
                <w:vertAlign w:val="superscript"/>
              </w:rPr>
              <w:t>1</w:t>
            </w:r>
            <w:r>
              <w:rPr>
                <w:rFonts w:ascii="Times New Roman" w:hAnsi="Times New Roman" w:cs="Times New Roman" w:hint="eastAsia"/>
                <w:kern w:val="0"/>
                <w:sz w:val="24"/>
                <w:szCs w:val="24"/>
              </w:rPr>
              <w:t>)</w:t>
            </w:r>
          </w:p>
        </w:tc>
        <w:tc>
          <w:tcPr>
            <w:tcW w:w="2648" w:type="dxa"/>
            <w:vAlign w:val="center"/>
          </w:tcPr>
          <w:p w14:paraId="46A02841"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1.49</w:t>
            </w:r>
          </w:p>
        </w:tc>
      </w:tr>
      <w:tr w:rsidR="00CA2AF5" w14:paraId="68D2ED0D" w14:textId="77777777">
        <w:trPr>
          <w:trHeight w:val="454"/>
          <w:jc w:val="center"/>
        </w:trPr>
        <w:tc>
          <w:tcPr>
            <w:tcW w:w="4380" w:type="dxa"/>
            <w:vAlign w:val="center"/>
          </w:tcPr>
          <w:p w14:paraId="6D3D4C94" w14:textId="3B60AD7A"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SUVA</w:t>
            </w:r>
            <w:r>
              <w:rPr>
                <w:rFonts w:ascii="Times New Roman" w:hAnsi="Times New Roman" w:cs="Times New Roman" w:hint="eastAsia"/>
                <w:kern w:val="0"/>
                <w:sz w:val="24"/>
                <w:szCs w:val="24"/>
                <w:vertAlign w:val="subscript"/>
              </w:rPr>
              <w:t>254</w:t>
            </w:r>
            <w:r>
              <w:rPr>
                <w:rFonts w:ascii="Times New Roman" w:hAnsi="Times New Roman" w:cs="Times New Roman" w:hint="eastAsia"/>
                <w:kern w:val="0"/>
                <w:sz w:val="24"/>
                <w:szCs w:val="24"/>
              </w:rPr>
              <w:t xml:space="preserve"> (L mg C</w:t>
            </w:r>
            <w:r>
              <w:rPr>
                <w:rFonts w:ascii="Times New Roman" w:hAnsi="Times New Roman" w:cs="Times New Roman"/>
                <w:sz w:val="24"/>
                <w:szCs w:val="24"/>
                <w:vertAlign w:val="superscript"/>
              </w:rPr>
              <w:t>−</w:t>
            </w:r>
            <w:r>
              <w:rPr>
                <w:rFonts w:ascii="Times New Roman" w:hAnsi="Times New Roman" w:cs="Times New Roman" w:hint="eastAsia"/>
                <w:kern w:val="0"/>
                <w:sz w:val="24"/>
                <w:szCs w:val="24"/>
                <w:vertAlign w:val="superscript"/>
              </w:rPr>
              <w:t>1</w:t>
            </w:r>
            <w:r>
              <w:rPr>
                <w:rFonts w:ascii="Times New Roman" w:hAnsi="Times New Roman" w:cs="Times New Roman" w:hint="eastAsia"/>
                <w:kern w:val="0"/>
                <w:sz w:val="24"/>
                <w:szCs w:val="24"/>
              </w:rPr>
              <w:t xml:space="preserve"> m</w:t>
            </w:r>
            <w:r>
              <w:rPr>
                <w:rFonts w:ascii="Times New Roman" w:hAnsi="Times New Roman" w:cs="Times New Roman"/>
                <w:sz w:val="24"/>
                <w:szCs w:val="24"/>
                <w:vertAlign w:val="superscript"/>
              </w:rPr>
              <w:t>−</w:t>
            </w:r>
            <w:r>
              <w:rPr>
                <w:rFonts w:ascii="Times New Roman" w:hAnsi="Times New Roman" w:cs="Times New Roman" w:hint="eastAsia"/>
                <w:kern w:val="0"/>
                <w:sz w:val="24"/>
                <w:szCs w:val="24"/>
                <w:vertAlign w:val="superscript"/>
              </w:rPr>
              <w:t>1</w:t>
            </w:r>
            <w:r>
              <w:rPr>
                <w:rFonts w:ascii="Times New Roman" w:hAnsi="Times New Roman" w:cs="Times New Roman" w:hint="eastAsia"/>
                <w:kern w:val="0"/>
                <w:sz w:val="24"/>
                <w:szCs w:val="24"/>
              </w:rPr>
              <w:t>)</w:t>
            </w:r>
          </w:p>
        </w:tc>
        <w:tc>
          <w:tcPr>
            <w:tcW w:w="2648" w:type="dxa"/>
            <w:vAlign w:val="center"/>
          </w:tcPr>
          <w:p w14:paraId="63AFC2D9"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2.62</w:t>
            </w:r>
          </w:p>
        </w:tc>
      </w:tr>
      <w:tr w:rsidR="00CA2AF5" w14:paraId="426B0E30" w14:textId="77777777">
        <w:trPr>
          <w:trHeight w:val="454"/>
          <w:jc w:val="center"/>
        </w:trPr>
        <w:tc>
          <w:tcPr>
            <w:tcW w:w="4380" w:type="dxa"/>
            <w:vAlign w:val="center"/>
          </w:tcPr>
          <w:p w14:paraId="7EDCECFA" w14:textId="06EBFC36"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CEC (</w:t>
            </w:r>
            <w:proofErr w:type="spellStart"/>
            <w:proofErr w:type="gramStart"/>
            <w:r>
              <w:rPr>
                <w:rFonts w:ascii="Times New Roman" w:hAnsi="Times New Roman" w:cs="Times New Roman" w:hint="eastAsia"/>
                <w:kern w:val="0"/>
                <w:sz w:val="24"/>
                <w:szCs w:val="24"/>
              </w:rPr>
              <w:t>cmol</w:t>
            </w:r>
            <w:proofErr w:type="spellEnd"/>
            <w:r>
              <w:rPr>
                <w:rFonts w:ascii="Times New Roman" w:hAnsi="Times New Roman" w:cs="Times New Roman" w:hint="eastAsia"/>
                <w:kern w:val="0"/>
                <w:sz w:val="24"/>
                <w:szCs w:val="24"/>
              </w:rPr>
              <w:t xml:space="preserve">  kg</w:t>
            </w:r>
            <w:proofErr w:type="gramEnd"/>
            <w:r>
              <w:rPr>
                <w:rFonts w:ascii="Times New Roman" w:hAnsi="Times New Roman" w:cs="Times New Roman"/>
                <w:sz w:val="24"/>
                <w:szCs w:val="24"/>
                <w:vertAlign w:val="superscript"/>
              </w:rPr>
              <w:t>−</w:t>
            </w:r>
            <w:r>
              <w:rPr>
                <w:rFonts w:ascii="Times New Roman" w:hAnsi="Times New Roman" w:cs="Times New Roman" w:hint="eastAsia"/>
                <w:kern w:val="0"/>
                <w:sz w:val="24"/>
                <w:szCs w:val="24"/>
                <w:vertAlign w:val="superscript"/>
              </w:rPr>
              <w:t>1</w:t>
            </w:r>
            <w:r>
              <w:rPr>
                <w:rFonts w:ascii="Times New Roman" w:hAnsi="Times New Roman" w:cs="Times New Roman" w:hint="eastAsia"/>
                <w:kern w:val="0"/>
                <w:sz w:val="24"/>
                <w:szCs w:val="24"/>
              </w:rPr>
              <w:t>)</w:t>
            </w:r>
          </w:p>
        </w:tc>
        <w:tc>
          <w:tcPr>
            <w:tcW w:w="2648" w:type="dxa"/>
            <w:vAlign w:val="center"/>
          </w:tcPr>
          <w:p w14:paraId="7C7C2A2D"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34.27</w:t>
            </w:r>
          </w:p>
        </w:tc>
      </w:tr>
      <w:tr w:rsidR="00CA2AF5" w14:paraId="1170D527" w14:textId="77777777">
        <w:trPr>
          <w:trHeight w:val="454"/>
          <w:jc w:val="center"/>
        </w:trPr>
        <w:tc>
          <w:tcPr>
            <w:tcW w:w="4380" w:type="dxa"/>
            <w:vAlign w:val="center"/>
          </w:tcPr>
          <w:p w14:paraId="200C1B6F" w14:textId="263763C2"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Available P (g kg</w:t>
            </w:r>
            <w:r>
              <w:rPr>
                <w:rFonts w:ascii="Times New Roman" w:hAnsi="Times New Roman" w:cs="Times New Roman"/>
                <w:sz w:val="24"/>
                <w:szCs w:val="24"/>
                <w:vertAlign w:val="superscript"/>
              </w:rPr>
              <w:t>−</w:t>
            </w:r>
            <w:r>
              <w:rPr>
                <w:rFonts w:ascii="Times New Roman" w:hAnsi="Times New Roman" w:cs="Times New Roman" w:hint="eastAsia"/>
                <w:kern w:val="0"/>
                <w:sz w:val="24"/>
                <w:szCs w:val="24"/>
                <w:vertAlign w:val="superscript"/>
              </w:rPr>
              <w:t>1</w:t>
            </w:r>
            <w:r>
              <w:rPr>
                <w:rFonts w:ascii="Times New Roman" w:hAnsi="Times New Roman" w:cs="Times New Roman" w:hint="eastAsia"/>
                <w:kern w:val="0"/>
                <w:sz w:val="24"/>
                <w:szCs w:val="24"/>
              </w:rPr>
              <w:t>)</w:t>
            </w:r>
          </w:p>
        </w:tc>
        <w:tc>
          <w:tcPr>
            <w:tcW w:w="2648" w:type="dxa"/>
            <w:vAlign w:val="center"/>
          </w:tcPr>
          <w:p w14:paraId="0B853C8E"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0.65</w:t>
            </w:r>
          </w:p>
        </w:tc>
      </w:tr>
      <w:tr w:rsidR="00CA2AF5" w14:paraId="68C87098" w14:textId="77777777">
        <w:trPr>
          <w:trHeight w:val="454"/>
          <w:jc w:val="center"/>
        </w:trPr>
        <w:tc>
          <w:tcPr>
            <w:tcW w:w="4380" w:type="dxa"/>
            <w:vAlign w:val="center"/>
          </w:tcPr>
          <w:p w14:paraId="26800295" w14:textId="35FACF89"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Available K (g kg</w:t>
            </w:r>
            <w:r>
              <w:rPr>
                <w:rFonts w:ascii="Times New Roman" w:hAnsi="Times New Roman" w:cs="Times New Roman"/>
                <w:sz w:val="24"/>
                <w:szCs w:val="24"/>
                <w:vertAlign w:val="superscript"/>
              </w:rPr>
              <w:t>−</w:t>
            </w:r>
            <w:r>
              <w:rPr>
                <w:rFonts w:ascii="Times New Roman" w:hAnsi="Times New Roman" w:cs="Times New Roman" w:hint="eastAsia"/>
                <w:kern w:val="0"/>
                <w:sz w:val="24"/>
                <w:szCs w:val="24"/>
                <w:vertAlign w:val="superscript"/>
              </w:rPr>
              <w:t>1</w:t>
            </w:r>
            <w:r>
              <w:rPr>
                <w:rFonts w:ascii="Times New Roman" w:hAnsi="Times New Roman" w:cs="Times New Roman" w:hint="eastAsia"/>
                <w:kern w:val="0"/>
                <w:sz w:val="24"/>
                <w:szCs w:val="24"/>
              </w:rPr>
              <w:t>)</w:t>
            </w:r>
          </w:p>
        </w:tc>
        <w:tc>
          <w:tcPr>
            <w:tcW w:w="2648" w:type="dxa"/>
            <w:vAlign w:val="center"/>
          </w:tcPr>
          <w:p w14:paraId="17EFE247"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34.31</w:t>
            </w:r>
          </w:p>
        </w:tc>
      </w:tr>
      <w:tr w:rsidR="00CA2AF5" w14:paraId="07208509" w14:textId="77777777">
        <w:trPr>
          <w:trHeight w:val="454"/>
          <w:jc w:val="center"/>
        </w:trPr>
        <w:tc>
          <w:tcPr>
            <w:tcW w:w="4380" w:type="dxa"/>
            <w:vAlign w:val="center"/>
          </w:tcPr>
          <w:p w14:paraId="30ADEA2C" w14:textId="71F88E3D"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SSA (m</w:t>
            </w:r>
            <w:r>
              <w:rPr>
                <w:rFonts w:ascii="Times New Roman" w:hAnsi="Times New Roman" w:cs="Times New Roman" w:hint="eastAsia"/>
                <w:kern w:val="0"/>
                <w:sz w:val="24"/>
                <w:szCs w:val="24"/>
                <w:vertAlign w:val="superscript"/>
              </w:rPr>
              <w:t>2</w:t>
            </w:r>
            <w:r>
              <w:rPr>
                <w:rFonts w:ascii="Times New Roman" w:hAnsi="Times New Roman" w:cs="Times New Roman" w:hint="eastAsia"/>
                <w:kern w:val="0"/>
                <w:sz w:val="24"/>
                <w:szCs w:val="24"/>
              </w:rPr>
              <w:t xml:space="preserve"> g</w:t>
            </w:r>
            <w:r>
              <w:rPr>
                <w:rFonts w:ascii="Times New Roman" w:hAnsi="Times New Roman" w:cs="Times New Roman"/>
                <w:sz w:val="24"/>
                <w:szCs w:val="24"/>
                <w:vertAlign w:val="superscript"/>
              </w:rPr>
              <w:t>−</w:t>
            </w:r>
            <w:r>
              <w:rPr>
                <w:rFonts w:ascii="Times New Roman" w:hAnsi="Times New Roman" w:cs="Times New Roman" w:hint="eastAsia"/>
                <w:kern w:val="0"/>
                <w:sz w:val="24"/>
                <w:szCs w:val="24"/>
                <w:vertAlign w:val="superscript"/>
              </w:rPr>
              <w:t>1</w:t>
            </w:r>
            <w:r>
              <w:rPr>
                <w:rFonts w:ascii="Times New Roman" w:hAnsi="Times New Roman" w:cs="Times New Roman" w:hint="eastAsia"/>
                <w:kern w:val="0"/>
                <w:sz w:val="24"/>
                <w:szCs w:val="24"/>
              </w:rPr>
              <w:t>)</w:t>
            </w:r>
          </w:p>
        </w:tc>
        <w:tc>
          <w:tcPr>
            <w:tcW w:w="2648" w:type="dxa"/>
            <w:vAlign w:val="center"/>
          </w:tcPr>
          <w:p w14:paraId="1AFD6BE2"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4.33</w:t>
            </w:r>
          </w:p>
        </w:tc>
      </w:tr>
      <w:tr w:rsidR="00CA2AF5" w14:paraId="3736DB03" w14:textId="77777777">
        <w:trPr>
          <w:trHeight w:val="454"/>
          <w:jc w:val="center"/>
        </w:trPr>
        <w:tc>
          <w:tcPr>
            <w:tcW w:w="4380" w:type="dxa"/>
            <w:tcBorders>
              <w:bottom w:val="single" w:sz="8" w:space="0" w:color="auto"/>
            </w:tcBorders>
            <w:vAlign w:val="center"/>
          </w:tcPr>
          <w:p w14:paraId="41C55EDA" w14:textId="6775A156"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Pore volume (cm</w:t>
            </w:r>
            <w:r>
              <w:rPr>
                <w:rFonts w:ascii="Times New Roman" w:hAnsi="Times New Roman" w:cs="Times New Roman" w:hint="eastAsia"/>
                <w:kern w:val="0"/>
                <w:sz w:val="24"/>
                <w:szCs w:val="24"/>
                <w:vertAlign w:val="superscript"/>
              </w:rPr>
              <w:t>3</w:t>
            </w:r>
            <w:r>
              <w:rPr>
                <w:rFonts w:ascii="Times New Roman" w:hAnsi="Times New Roman" w:cs="Times New Roman" w:hint="eastAsia"/>
                <w:kern w:val="0"/>
                <w:sz w:val="24"/>
                <w:szCs w:val="24"/>
              </w:rPr>
              <w:t xml:space="preserve"> g</w:t>
            </w:r>
            <w:r>
              <w:rPr>
                <w:rFonts w:ascii="Times New Roman" w:hAnsi="Times New Roman" w:cs="Times New Roman"/>
                <w:sz w:val="24"/>
                <w:szCs w:val="24"/>
                <w:vertAlign w:val="superscript"/>
              </w:rPr>
              <w:t>−</w:t>
            </w:r>
            <w:r>
              <w:rPr>
                <w:rFonts w:ascii="Times New Roman" w:hAnsi="Times New Roman" w:cs="Times New Roman" w:hint="eastAsia"/>
                <w:kern w:val="0"/>
                <w:sz w:val="24"/>
                <w:szCs w:val="24"/>
                <w:vertAlign w:val="superscript"/>
              </w:rPr>
              <w:t>1</w:t>
            </w:r>
            <w:r>
              <w:rPr>
                <w:rFonts w:ascii="Times New Roman" w:hAnsi="Times New Roman" w:cs="Times New Roman" w:hint="eastAsia"/>
                <w:kern w:val="0"/>
                <w:sz w:val="24"/>
                <w:szCs w:val="24"/>
              </w:rPr>
              <w:t>)</w:t>
            </w:r>
          </w:p>
        </w:tc>
        <w:tc>
          <w:tcPr>
            <w:tcW w:w="2648" w:type="dxa"/>
            <w:tcBorders>
              <w:bottom w:val="single" w:sz="8" w:space="0" w:color="auto"/>
            </w:tcBorders>
            <w:vAlign w:val="center"/>
          </w:tcPr>
          <w:p w14:paraId="4BD4A125" w14:textId="77777777" w:rsidR="00CA2AF5" w:rsidRDefault="00000000">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0.011</w:t>
            </w:r>
          </w:p>
        </w:tc>
      </w:tr>
    </w:tbl>
    <w:p w14:paraId="63E49961" w14:textId="77777777" w:rsidR="00CA2AF5" w:rsidRDefault="00000000">
      <w:pPr>
        <w:rPr>
          <w:rFonts w:ascii="Times New Roman" w:eastAsia="宋体" w:hAnsi="Times New Roman" w:cs="Times New Roman"/>
          <w:sz w:val="18"/>
          <w:szCs w:val="20"/>
        </w:rPr>
      </w:pPr>
      <w:r>
        <w:rPr>
          <w:rFonts w:ascii="Times New Roman" w:eastAsia="宋体" w:hAnsi="Times New Roman" w:cs="Times New Roman"/>
          <w:sz w:val="18"/>
          <w:szCs w:val="20"/>
        </w:rPr>
        <w:t>Note that DOC</w:t>
      </w:r>
      <w:r>
        <w:rPr>
          <w:rFonts w:ascii="Times New Roman" w:eastAsia="宋体" w:hAnsi="Times New Roman" w:cs="Times New Roman" w:hint="eastAsia"/>
          <w:sz w:val="18"/>
          <w:szCs w:val="20"/>
        </w:rPr>
        <w:t xml:space="preserve"> </w:t>
      </w:r>
      <w:r>
        <w:rPr>
          <w:rFonts w:ascii="Times New Roman" w:eastAsia="宋体" w:hAnsi="Times New Roman" w:cs="Times New Roman"/>
          <w:sz w:val="18"/>
          <w:szCs w:val="20"/>
        </w:rPr>
        <w:t>means</w:t>
      </w:r>
      <w:r>
        <w:rPr>
          <w:rFonts w:ascii="Times New Roman" w:eastAsia="宋体" w:hAnsi="Times New Roman" w:cs="Times New Roman" w:hint="eastAsia"/>
          <w:sz w:val="18"/>
          <w:szCs w:val="20"/>
        </w:rPr>
        <w:t xml:space="preserve"> </w:t>
      </w:r>
      <w:r>
        <w:rPr>
          <w:rFonts w:ascii="Times New Roman" w:eastAsia="宋体" w:hAnsi="Times New Roman" w:cs="Times New Roman"/>
          <w:sz w:val="18"/>
          <w:szCs w:val="20"/>
        </w:rPr>
        <w:t>dissolved organic carbon; CEC, cation exchange capacity</w:t>
      </w:r>
      <w:r>
        <w:rPr>
          <w:rFonts w:ascii="Times New Roman" w:eastAsia="宋体" w:hAnsi="Times New Roman" w:cs="Times New Roman" w:hint="eastAsia"/>
          <w:sz w:val="18"/>
          <w:szCs w:val="20"/>
        </w:rPr>
        <w:t xml:space="preserve">; </w:t>
      </w:r>
      <w:r>
        <w:rPr>
          <w:rFonts w:ascii="Times New Roman" w:eastAsia="宋体" w:hAnsi="Times New Roman" w:cs="Times New Roman"/>
          <w:sz w:val="18"/>
          <w:szCs w:val="20"/>
        </w:rPr>
        <w:t xml:space="preserve">SSA, specific surface </w:t>
      </w:r>
      <w:proofErr w:type="gramStart"/>
      <w:r>
        <w:rPr>
          <w:rFonts w:ascii="Times New Roman" w:eastAsia="宋体" w:hAnsi="Times New Roman" w:cs="Times New Roman"/>
          <w:sz w:val="18"/>
          <w:szCs w:val="20"/>
        </w:rPr>
        <w:t xml:space="preserve">area; </w:t>
      </w:r>
      <w:r>
        <w:rPr>
          <w:rFonts w:ascii="Times New Roman" w:eastAsia="宋体" w:hAnsi="Times New Roman" w:cs="Times New Roman" w:hint="eastAsia"/>
          <w:sz w:val="18"/>
          <w:szCs w:val="20"/>
        </w:rPr>
        <w:t xml:space="preserve"> SUVA</w:t>
      </w:r>
      <w:proofErr w:type="gramEnd"/>
      <w:r>
        <w:rPr>
          <w:rFonts w:ascii="Times New Roman" w:eastAsia="宋体" w:hAnsi="Times New Roman" w:cs="Times New Roman" w:hint="eastAsia"/>
          <w:sz w:val="18"/>
          <w:szCs w:val="20"/>
          <w:vertAlign w:val="subscript"/>
        </w:rPr>
        <w:t>254</w:t>
      </w:r>
      <w:r>
        <w:rPr>
          <w:rFonts w:ascii="Times New Roman" w:eastAsia="宋体" w:hAnsi="Times New Roman" w:cs="Times New Roman" w:hint="eastAsia"/>
          <w:sz w:val="18"/>
          <w:szCs w:val="20"/>
        </w:rPr>
        <w:t>, s</w:t>
      </w:r>
      <w:r>
        <w:rPr>
          <w:rFonts w:ascii="Times New Roman" w:eastAsia="宋体" w:hAnsi="Times New Roman" w:cs="Times New Roman"/>
          <w:sz w:val="18"/>
          <w:szCs w:val="20"/>
        </w:rPr>
        <w:t xml:space="preserve">pecific </w:t>
      </w:r>
      <w:r>
        <w:rPr>
          <w:rFonts w:ascii="Times New Roman" w:eastAsia="宋体" w:hAnsi="Times New Roman" w:cs="Times New Roman" w:hint="eastAsia"/>
          <w:sz w:val="18"/>
          <w:szCs w:val="20"/>
        </w:rPr>
        <w:t>u</w:t>
      </w:r>
      <w:r>
        <w:rPr>
          <w:rFonts w:ascii="Times New Roman" w:eastAsia="宋体" w:hAnsi="Times New Roman" w:cs="Times New Roman"/>
          <w:sz w:val="18"/>
          <w:szCs w:val="20"/>
        </w:rPr>
        <w:t xml:space="preserve">ltraviolet </w:t>
      </w:r>
      <w:r>
        <w:rPr>
          <w:rFonts w:ascii="Times New Roman" w:eastAsia="宋体" w:hAnsi="Times New Roman" w:cs="Times New Roman" w:hint="eastAsia"/>
          <w:sz w:val="18"/>
          <w:szCs w:val="20"/>
        </w:rPr>
        <w:t>a</w:t>
      </w:r>
      <w:r>
        <w:rPr>
          <w:rFonts w:ascii="Times New Roman" w:eastAsia="宋体" w:hAnsi="Times New Roman" w:cs="Times New Roman"/>
          <w:sz w:val="18"/>
          <w:szCs w:val="20"/>
        </w:rPr>
        <w:t>bsorbance at 254 nm</w:t>
      </w:r>
      <w:r>
        <w:rPr>
          <w:rFonts w:ascii="Times New Roman" w:eastAsia="宋体" w:hAnsi="Times New Roman" w:cs="Times New Roman" w:hint="eastAsia"/>
          <w:sz w:val="18"/>
          <w:szCs w:val="20"/>
        </w:rPr>
        <w:t>.</w:t>
      </w:r>
    </w:p>
    <w:p w14:paraId="5F41E2F9" w14:textId="77777777" w:rsidR="00CA2AF5" w:rsidRDefault="00000000">
      <w:pPr>
        <w:widowControl/>
        <w:jc w:val="left"/>
        <w:rPr>
          <w:rFonts w:ascii="Times New Roman" w:hAnsi="Times New Roman" w:cs="Times New Roman"/>
        </w:rPr>
        <w:sectPr w:rsidR="00CA2AF5">
          <w:pgSz w:w="11906" w:h="16838"/>
          <w:pgMar w:top="1440" w:right="1797" w:bottom="1440" w:left="1797" w:header="851" w:footer="992" w:gutter="0"/>
          <w:lnNumType w:countBy="1" w:restart="continuous"/>
          <w:cols w:space="425"/>
          <w:docGrid w:type="linesAndChars" w:linePitch="312"/>
        </w:sectPr>
      </w:pPr>
      <w:r>
        <w:rPr>
          <w:rFonts w:ascii="Times New Roman" w:hAnsi="Times New Roman" w:cs="Times New Roman"/>
        </w:rPr>
        <w:br w:type="page"/>
      </w:r>
    </w:p>
    <w:p w14:paraId="2AFAC929" w14:textId="77777777" w:rsidR="00CA2AF5" w:rsidRDefault="00CA2AF5">
      <w:pPr>
        <w:widowControl/>
        <w:jc w:val="left"/>
        <w:rPr>
          <w:rFonts w:ascii="Times New Roman" w:hAnsi="Times New Roman" w:cs="Times New Roman"/>
        </w:rPr>
      </w:pPr>
    </w:p>
    <w:p w14:paraId="7203EFE0" w14:textId="77777777" w:rsidR="00CA2AF5" w:rsidRDefault="00000000">
      <w:pPr>
        <w:widowControl/>
        <w:spacing w:afterLines="20" w:after="62"/>
        <w:rPr>
          <w:rFonts w:ascii="Times New Roman" w:hAnsi="Times New Roman" w:cs="Times New Roman"/>
          <w:sz w:val="24"/>
          <w:szCs w:val="24"/>
        </w:rPr>
      </w:pPr>
      <w:r>
        <w:rPr>
          <w:rFonts w:ascii="Times New Roman" w:hAnsi="Times New Roman" w:cs="Times New Roman"/>
          <w:b/>
          <w:sz w:val="24"/>
          <w:szCs w:val="24"/>
        </w:rPr>
        <w:t>Table S</w:t>
      </w: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bCs/>
          <w:sz w:val="24"/>
          <w:szCs w:val="24"/>
        </w:rPr>
        <w:t xml:space="preserve">Functional groups from the </w:t>
      </w:r>
      <w:r>
        <w:rPr>
          <w:rFonts w:ascii="Times New Roman" w:hAnsi="Times New Roman" w:cs="Times New Roman"/>
          <w:bCs/>
          <w:sz w:val="24"/>
          <w:szCs w:val="24"/>
          <w:vertAlign w:val="superscript"/>
        </w:rPr>
        <w:t>13</w:t>
      </w:r>
      <w:r>
        <w:rPr>
          <w:rFonts w:ascii="Times New Roman" w:hAnsi="Times New Roman" w:cs="Times New Roman"/>
          <w:bCs/>
          <w:sz w:val="24"/>
          <w:szCs w:val="24"/>
        </w:rPr>
        <w:t>C NMR spectra of biochar.</w:t>
      </w:r>
    </w:p>
    <w:tbl>
      <w:tblPr>
        <w:tblW w:w="5000" w:type="pct"/>
        <w:jc w:val="center"/>
        <w:tblLook w:val="04A0" w:firstRow="1" w:lastRow="0" w:firstColumn="1" w:lastColumn="0" w:noHBand="0" w:noVBand="1"/>
      </w:tblPr>
      <w:tblGrid>
        <w:gridCol w:w="22"/>
        <w:gridCol w:w="1334"/>
        <w:gridCol w:w="1463"/>
        <w:gridCol w:w="2359"/>
        <w:gridCol w:w="1306"/>
        <w:gridCol w:w="1494"/>
        <w:gridCol w:w="1681"/>
        <w:gridCol w:w="2244"/>
        <w:gridCol w:w="2055"/>
      </w:tblGrid>
      <w:tr w:rsidR="00CA2AF5" w14:paraId="5A63784A" w14:textId="77777777">
        <w:trPr>
          <w:gridBefore w:val="1"/>
          <w:wBefore w:w="8" w:type="pct"/>
          <w:trHeight w:val="422"/>
          <w:jc w:val="center"/>
        </w:trPr>
        <w:tc>
          <w:tcPr>
            <w:tcW w:w="4256" w:type="pct"/>
            <w:gridSpan w:val="7"/>
            <w:tcBorders>
              <w:top w:val="single" w:sz="8" w:space="0" w:color="000000"/>
              <w:left w:val="nil"/>
              <w:bottom w:val="single" w:sz="8" w:space="0" w:color="auto"/>
              <w:right w:val="nil"/>
            </w:tcBorders>
            <w:vAlign w:val="center"/>
          </w:tcPr>
          <w:p w14:paraId="1C16573E" w14:textId="77777777" w:rsidR="00CA2AF5" w:rsidRDefault="00000000">
            <w:pPr>
              <w:widowControl/>
              <w:ind w:firstLineChars="500" w:firstLine="1200"/>
              <w:jc w:val="center"/>
              <w:rPr>
                <w:rFonts w:ascii="Times New Roman" w:hAnsi="Times New Roman" w:cs="Times New Roman"/>
                <w:b/>
                <w:sz w:val="24"/>
                <w:szCs w:val="24"/>
              </w:rPr>
            </w:pPr>
            <w:r>
              <w:rPr>
                <w:rFonts w:ascii="Times New Roman" w:hAnsi="Times New Roman" w:cs="Times New Roman"/>
                <w:b/>
                <w:sz w:val="24"/>
                <w:szCs w:val="24"/>
              </w:rPr>
              <w:t>Distribution (%) of C chemical shift (ppm)</w:t>
            </w:r>
          </w:p>
        </w:tc>
        <w:tc>
          <w:tcPr>
            <w:tcW w:w="736" w:type="pct"/>
            <w:vMerge w:val="restart"/>
            <w:tcBorders>
              <w:top w:val="single" w:sz="8" w:space="0" w:color="000000"/>
              <w:left w:val="nil"/>
              <w:bottom w:val="single" w:sz="8" w:space="0" w:color="000000"/>
              <w:right w:val="nil"/>
            </w:tcBorders>
            <w:vAlign w:val="center"/>
          </w:tcPr>
          <w:p w14:paraId="201DAA89" w14:textId="77777777" w:rsidR="00CA2AF5" w:rsidRDefault="00000000">
            <w:pPr>
              <w:widowControl/>
              <w:jc w:val="center"/>
              <w:rPr>
                <w:rFonts w:ascii="Times New Roman" w:hAnsi="Times New Roman" w:cs="Times New Roman"/>
                <w:b/>
                <w:i/>
                <w:sz w:val="24"/>
                <w:szCs w:val="24"/>
                <w:vertAlign w:val="superscript"/>
              </w:rPr>
            </w:pPr>
            <w:proofErr w:type="spellStart"/>
            <w:r>
              <w:rPr>
                <w:rFonts w:ascii="Times New Roman" w:hAnsi="Times New Roman" w:cs="Times New Roman"/>
                <w:b/>
                <w:sz w:val="24"/>
                <w:szCs w:val="24"/>
              </w:rPr>
              <w:t>Aromaticity</w:t>
            </w:r>
            <w:r>
              <w:rPr>
                <w:rFonts w:ascii="Times New Roman" w:hAnsi="Times New Roman" w:cs="Times New Roman"/>
                <w:b/>
                <w:i/>
                <w:sz w:val="24"/>
                <w:szCs w:val="24"/>
                <w:vertAlign w:val="superscript"/>
              </w:rPr>
              <w:t>a</w:t>
            </w:r>
            <w:proofErr w:type="spellEnd"/>
          </w:p>
          <w:p w14:paraId="2D240869" w14:textId="7777777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w:t>
            </w:r>
          </w:p>
        </w:tc>
      </w:tr>
      <w:tr w:rsidR="00CA2AF5" w14:paraId="54528A82" w14:textId="77777777">
        <w:trPr>
          <w:trHeight w:val="730"/>
          <w:jc w:val="center"/>
        </w:trPr>
        <w:tc>
          <w:tcPr>
            <w:tcW w:w="486" w:type="pct"/>
            <w:gridSpan w:val="2"/>
            <w:tcBorders>
              <w:top w:val="single" w:sz="8" w:space="0" w:color="auto"/>
              <w:left w:val="nil"/>
              <w:bottom w:val="single" w:sz="8" w:space="0" w:color="000000"/>
              <w:right w:val="nil"/>
            </w:tcBorders>
            <w:vAlign w:val="center"/>
          </w:tcPr>
          <w:p w14:paraId="350A880C" w14:textId="7777777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Alkyl</w:t>
            </w:r>
          </w:p>
          <w:p w14:paraId="7012140A" w14:textId="26BB3EBB"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0</w:t>
            </w:r>
            <w:r w:rsidRPr="00C15465">
              <w:rPr>
                <w:rFonts w:ascii="Times New Roman" w:eastAsia="宋体" w:hAnsi="Times New Roman" w:cs="Times New Roman"/>
                <w:b/>
                <w:bCs/>
                <w:color w:val="000000" w:themeColor="text1"/>
                <w:sz w:val="24"/>
                <w:szCs w:val="24"/>
              </w:rPr>
              <w:t>–</w:t>
            </w:r>
            <w:r>
              <w:rPr>
                <w:rFonts w:ascii="Times New Roman" w:hAnsi="Times New Roman" w:cs="Times New Roman"/>
                <w:b/>
                <w:sz w:val="24"/>
                <w:szCs w:val="24"/>
              </w:rPr>
              <w:t>45</w:t>
            </w:r>
          </w:p>
        </w:tc>
        <w:tc>
          <w:tcPr>
            <w:tcW w:w="524" w:type="pct"/>
            <w:tcBorders>
              <w:top w:val="single" w:sz="8" w:space="0" w:color="auto"/>
              <w:left w:val="nil"/>
              <w:bottom w:val="single" w:sz="8" w:space="0" w:color="000000"/>
              <w:right w:val="nil"/>
            </w:tcBorders>
            <w:vAlign w:val="center"/>
          </w:tcPr>
          <w:p w14:paraId="0097C21E" w14:textId="78624148" w:rsidR="00CA2AF5" w:rsidRDefault="00000000">
            <w:pPr>
              <w:widowControl/>
              <w:jc w:val="center"/>
              <w:rPr>
                <w:rFonts w:ascii="Times New Roman" w:hAnsi="Times New Roman" w:cs="Times New Roman"/>
                <w:b/>
                <w:sz w:val="24"/>
                <w:szCs w:val="24"/>
              </w:rPr>
            </w:pPr>
            <w:proofErr w:type="spellStart"/>
            <w:r>
              <w:rPr>
                <w:rFonts w:ascii="Times New Roman" w:hAnsi="Times New Roman" w:cs="Times New Roman"/>
                <w:b/>
                <w:sz w:val="24"/>
                <w:szCs w:val="24"/>
              </w:rPr>
              <w:t>Methoxyl</w:t>
            </w:r>
            <w:proofErr w:type="spellEnd"/>
            <w:r>
              <w:rPr>
                <w:rFonts w:ascii="Times New Roman" w:hAnsi="Times New Roman" w:cs="Times New Roman"/>
                <w:b/>
                <w:sz w:val="24"/>
                <w:szCs w:val="24"/>
              </w:rPr>
              <w:t xml:space="preserve"> 45</w:t>
            </w:r>
            <w:r>
              <w:rPr>
                <w:rFonts w:ascii="Times New Roman" w:eastAsia="宋体" w:hAnsi="Times New Roman" w:cs="Times New Roman"/>
                <w:b/>
                <w:bCs/>
                <w:color w:val="000000" w:themeColor="text1"/>
                <w:sz w:val="24"/>
                <w:szCs w:val="24"/>
              </w:rPr>
              <w:t>–</w:t>
            </w:r>
            <w:r>
              <w:rPr>
                <w:rFonts w:ascii="Times New Roman" w:hAnsi="Times New Roman" w:cs="Times New Roman"/>
                <w:b/>
                <w:sz w:val="24"/>
                <w:szCs w:val="24"/>
              </w:rPr>
              <w:t>63</w:t>
            </w:r>
          </w:p>
        </w:tc>
        <w:tc>
          <w:tcPr>
            <w:tcW w:w="845" w:type="pct"/>
            <w:tcBorders>
              <w:top w:val="single" w:sz="8" w:space="0" w:color="auto"/>
              <w:left w:val="nil"/>
              <w:bottom w:val="single" w:sz="8" w:space="0" w:color="000000"/>
              <w:right w:val="nil"/>
            </w:tcBorders>
            <w:vAlign w:val="center"/>
          </w:tcPr>
          <w:p w14:paraId="58FE9D63" w14:textId="7777777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Carbohydrate</w:t>
            </w:r>
          </w:p>
          <w:p w14:paraId="3AE8CA6A" w14:textId="6C6F4D95"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63</w:t>
            </w:r>
            <w:r>
              <w:rPr>
                <w:rFonts w:ascii="Times New Roman" w:eastAsia="宋体" w:hAnsi="Times New Roman" w:cs="Times New Roman"/>
                <w:b/>
                <w:bCs/>
                <w:color w:val="000000" w:themeColor="text1"/>
                <w:sz w:val="24"/>
                <w:szCs w:val="24"/>
              </w:rPr>
              <w:t>–</w:t>
            </w:r>
            <w:r>
              <w:rPr>
                <w:rFonts w:ascii="Times New Roman" w:hAnsi="Times New Roman" w:cs="Times New Roman"/>
                <w:b/>
                <w:sz w:val="24"/>
                <w:szCs w:val="24"/>
              </w:rPr>
              <w:t>93</w:t>
            </w:r>
          </w:p>
        </w:tc>
        <w:tc>
          <w:tcPr>
            <w:tcW w:w="468" w:type="pct"/>
            <w:tcBorders>
              <w:top w:val="single" w:sz="8" w:space="0" w:color="auto"/>
              <w:left w:val="nil"/>
              <w:bottom w:val="single" w:sz="8" w:space="0" w:color="000000"/>
              <w:right w:val="nil"/>
            </w:tcBorders>
            <w:vAlign w:val="center"/>
          </w:tcPr>
          <w:p w14:paraId="0FAA1595" w14:textId="7777777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Aryl</w:t>
            </w:r>
          </w:p>
          <w:p w14:paraId="0B0ABD23" w14:textId="050032A9"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93</w:t>
            </w:r>
            <w:r>
              <w:rPr>
                <w:rFonts w:ascii="Times New Roman" w:eastAsia="宋体" w:hAnsi="Times New Roman" w:cs="Times New Roman"/>
                <w:b/>
                <w:bCs/>
                <w:color w:val="000000" w:themeColor="text1"/>
                <w:sz w:val="24"/>
                <w:szCs w:val="24"/>
              </w:rPr>
              <w:t>–</w:t>
            </w:r>
            <w:r>
              <w:rPr>
                <w:rFonts w:ascii="Times New Roman" w:hAnsi="Times New Roman" w:cs="Times New Roman"/>
                <w:b/>
                <w:sz w:val="24"/>
                <w:szCs w:val="24"/>
              </w:rPr>
              <w:t>148</w:t>
            </w:r>
          </w:p>
        </w:tc>
        <w:tc>
          <w:tcPr>
            <w:tcW w:w="535" w:type="pct"/>
            <w:tcBorders>
              <w:top w:val="single" w:sz="8" w:space="0" w:color="auto"/>
              <w:left w:val="nil"/>
              <w:bottom w:val="single" w:sz="8" w:space="0" w:color="000000"/>
              <w:right w:val="nil"/>
            </w:tcBorders>
            <w:vAlign w:val="center"/>
          </w:tcPr>
          <w:p w14:paraId="3606B08C" w14:textId="7777777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O-Aryl</w:t>
            </w:r>
          </w:p>
          <w:p w14:paraId="39AFB39E" w14:textId="73A435AA"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148</w:t>
            </w:r>
            <w:r>
              <w:rPr>
                <w:rFonts w:ascii="Times New Roman" w:eastAsia="宋体" w:hAnsi="Times New Roman" w:cs="Times New Roman"/>
                <w:b/>
                <w:bCs/>
                <w:color w:val="000000" w:themeColor="text1"/>
                <w:sz w:val="24"/>
                <w:szCs w:val="24"/>
              </w:rPr>
              <w:t>–</w:t>
            </w:r>
            <w:r>
              <w:rPr>
                <w:rFonts w:ascii="Times New Roman" w:hAnsi="Times New Roman" w:cs="Times New Roman"/>
                <w:b/>
                <w:sz w:val="24"/>
                <w:szCs w:val="24"/>
              </w:rPr>
              <w:t>165</w:t>
            </w:r>
          </w:p>
        </w:tc>
        <w:tc>
          <w:tcPr>
            <w:tcW w:w="602" w:type="pct"/>
            <w:tcBorders>
              <w:top w:val="single" w:sz="8" w:space="0" w:color="auto"/>
              <w:left w:val="nil"/>
              <w:bottom w:val="single" w:sz="8" w:space="0" w:color="000000"/>
              <w:right w:val="nil"/>
            </w:tcBorders>
            <w:vAlign w:val="center"/>
          </w:tcPr>
          <w:p w14:paraId="248A7630" w14:textId="7777777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Carboxyl</w:t>
            </w:r>
          </w:p>
          <w:p w14:paraId="6EE4D558" w14:textId="7DABA46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165</w:t>
            </w:r>
            <w:r>
              <w:rPr>
                <w:rFonts w:ascii="Times New Roman" w:eastAsia="宋体" w:hAnsi="Times New Roman" w:cs="Times New Roman"/>
                <w:b/>
                <w:bCs/>
                <w:color w:val="000000" w:themeColor="text1"/>
                <w:sz w:val="24"/>
                <w:szCs w:val="24"/>
              </w:rPr>
              <w:t>–</w:t>
            </w:r>
            <w:r>
              <w:rPr>
                <w:rFonts w:ascii="Times New Roman" w:hAnsi="Times New Roman" w:cs="Times New Roman"/>
                <w:b/>
                <w:sz w:val="24"/>
                <w:szCs w:val="24"/>
              </w:rPr>
              <w:t>187</w:t>
            </w:r>
          </w:p>
        </w:tc>
        <w:tc>
          <w:tcPr>
            <w:tcW w:w="803" w:type="pct"/>
            <w:tcBorders>
              <w:top w:val="single" w:sz="8" w:space="0" w:color="auto"/>
              <w:left w:val="nil"/>
              <w:bottom w:val="single" w:sz="8" w:space="0" w:color="000000"/>
              <w:right w:val="nil"/>
            </w:tcBorders>
            <w:vAlign w:val="center"/>
          </w:tcPr>
          <w:p w14:paraId="5BD97CDD" w14:textId="7777777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Carbonyl</w:t>
            </w:r>
          </w:p>
          <w:p w14:paraId="419819B4" w14:textId="77777777" w:rsidR="00CA2AF5" w:rsidRDefault="00000000">
            <w:pPr>
              <w:widowControl/>
              <w:jc w:val="center"/>
              <w:rPr>
                <w:rFonts w:ascii="Times New Roman" w:hAnsi="Times New Roman" w:cs="Times New Roman"/>
                <w:b/>
                <w:sz w:val="24"/>
                <w:szCs w:val="24"/>
              </w:rPr>
            </w:pPr>
            <w:r>
              <w:rPr>
                <w:rFonts w:ascii="Times New Roman" w:hAnsi="Times New Roman" w:cs="Times New Roman"/>
                <w:b/>
                <w:sz w:val="24"/>
                <w:szCs w:val="24"/>
              </w:rPr>
              <w:t>187-220</w:t>
            </w:r>
          </w:p>
        </w:tc>
        <w:tc>
          <w:tcPr>
            <w:tcW w:w="736" w:type="pct"/>
            <w:vMerge/>
            <w:tcBorders>
              <w:top w:val="single" w:sz="8" w:space="0" w:color="000000"/>
              <w:left w:val="nil"/>
              <w:bottom w:val="single" w:sz="8" w:space="0" w:color="000000"/>
              <w:right w:val="nil"/>
            </w:tcBorders>
            <w:vAlign w:val="center"/>
          </w:tcPr>
          <w:p w14:paraId="031EEC0E" w14:textId="77777777" w:rsidR="00CA2AF5" w:rsidRDefault="00CA2AF5">
            <w:pPr>
              <w:widowControl/>
              <w:jc w:val="center"/>
              <w:rPr>
                <w:rFonts w:ascii="Times New Roman" w:hAnsi="Times New Roman" w:cs="Times New Roman"/>
                <w:b/>
                <w:sz w:val="24"/>
                <w:szCs w:val="24"/>
              </w:rPr>
            </w:pPr>
          </w:p>
        </w:tc>
      </w:tr>
      <w:tr w:rsidR="00CA2AF5" w14:paraId="57457741" w14:textId="77777777">
        <w:trPr>
          <w:trHeight w:hRule="exact" w:val="525"/>
          <w:jc w:val="center"/>
        </w:trPr>
        <w:tc>
          <w:tcPr>
            <w:tcW w:w="486" w:type="pct"/>
            <w:gridSpan w:val="2"/>
            <w:tcBorders>
              <w:top w:val="single" w:sz="8" w:space="0" w:color="000000"/>
              <w:bottom w:val="single" w:sz="8" w:space="0" w:color="auto"/>
            </w:tcBorders>
            <w:vAlign w:val="center"/>
          </w:tcPr>
          <w:p w14:paraId="7D988A9F" w14:textId="77777777" w:rsidR="00CA2AF5" w:rsidRDefault="00000000">
            <w:pPr>
              <w:widowControl/>
              <w:jc w:val="center"/>
              <w:rPr>
                <w:rFonts w:ascii="Times New Roman" w:hAnsi="Times New Roman" w:cs="Times New Roman"/>
                <w:sz w:val="24"/>
                <w:szCs w:val="24"/>
              </w:rPr>
            </w:pPr>
            <w:r>
              <w:rPr>
                <w:rFonts w:ascii="Times New Roman" w:hAnsi="Times New Roman" w:cs="Times New Roman"/>
                <w:sz w:val="24"/>
                <w:szCs w:val="24"/>
              </w:rPr>
              <w:t>18.89</w:t>
            </w:r>
          </w:p>
        </w:tc>
        <w:tc>
          <w:tcPr>
            <w:tcW w:w="524" w:type="pct"/>
            <w:tcBorders>
              <w:top w:val="single" w:sz="8" w:space="0" w:color="000000"/>
              <w:bottom w:val="single" w:sz="8" w:space="0" w:color="auto"/>
            </w:tcBorders>
            <w:vAlign w:val="center"/>
          </w:tcPr>
          <w:p w14:paraId="600AEE18" w14:textId="77777777" w:rsidR="00CA2AF5" w:rsidRDefault="00000000">
            <w:pPr>
              <w:widowControl/>
              <w:jc w:val="center"/>
              <w:rPr>
                <w:rFonts w:ascii="Times New Roman" w:hAnsi="Times New Roman" w:cs="Times New Roman"/>
                <w:sz w:val="24"/>
                <w:szCs w:val="24"/>
              </w:rPr>
            </w:pPr>
            <w:r>
              <w:rPr>
                <w:rFonts w:ascii="Times New Roman" w:hAnsi="Times New Roman" w:cs="Times New Roman"/>
                <w:sz w:val="24"/>
                <w:szCs w:val="24"/>
              </w:rPr>
              <w:t>4.11</w:t>
            </w:r>
          </w:p>
        </w:tc>
        <w:tc>
          <w:tcPr>
            <w:tcW w:w="845" w:type="pct"/>
            <w:tcBorders>
              <w:top w:val="single" w:sz="8" w:space="0" w:color="000000"/>
              <w:bottom w:val="single" w:sz="8" w:space="0" w:color="auto"/>
            </w:tcBorders>
            <w:vAlign w:val="center"/>
          </w:tcPr>
          <w:p w14:paraId="1E5D0422" w14:textId="77777777" w:rsidR="00CA2AF5" w:rsidRDefault="00000000">
            <w:pPr>
              <w:widowControl/>
              <w:jc w:val="center"/>
              <w:rPr>
                <w:rFonts w:ascii="Times New Roman" w:hAnsi="Times New Roman" w:cs="Times New Roman"/>
                <w:sz w:val="24"/>
                <w:szCs w:val="24"/>
              </w:rPr>
            </w:pPr>
            <w:r>
              <w:rPr>
                <w:rFonts w:ascii="Times New Roman" w:hAnsi="Times New Roman" w:cs="Times New Roman"/>
                <w:sz w:val="24"/>
                <w:szCs w:val="24"/>
              </w:rPr>
              <w:t>6.32</w:t>
            </w:r>
          </w:p>
        </w:tc>
        <w:tc>
          <w:tcPr>
            <w:tcW w:w="468" w:type="pct"/>
            <w:tcBorders>
              <w:top w:val="single" w:sz="8" w:space="0" w:color="000000"/>
              <w:bottom w:val="single" w:sz="8" w:space="0" w:color="auto"/>
            </w:tcBorders>
            <w:vAlign w:val="center"/>
          </w:tcPr>
          <w:p w14:paraId="71745807" w14:textId="77777777" w:rsidR="00CA2AF5" w:rsidRDefault="00000000">
            <w:pPr>
              <w:widowControl/>
              <w:jc w:val="center"/>
              <w:rPr>
                <w:rFonts w:ascii="Times New Roman" w:hAnsi="Times New Roman" w:cs="Times New Roman"/>
                <w:sz w:val="24"/>
                <w:szCs w:val="24"/>
              </w:rPr>
            </w:pPr>
            <w:r>
              <w:rPr>
                <w:rFonts w:ascii="Times New Roman" w:hAnsi="Times New Roman" w:cs="Times New Roman"/>
                <w:sz w:val="24"/>
                <w:szCs w:val="24"/>
              </w:rPr>
              <w:t>58.81</w:t>
            </w:r>
          </w:p>
        </w:tc>
        <w:tc>
          <w:tcPr>
            <w:tcW w:w="535" w:type="pct"/>
            <w:tcBorders>
              <w:top w:val="single" w:sz="8" w:space="0" w:color="000000"/>
              <w:bottom w:val="single" w:sz="8" w:space="0" w:color="auto"/>
            </w:tcBorders>
            <w:vAlign w:val="center"/>
          </w:tcPr>
          <w:p w14:paraId="1761EFEB" w14:textId="77777777" w:rsidR="00CA2AF5" w:rsidRDefault="00000000">
            <w:pPr>
              <w:widowControl/>
              <w:jc w:val="center"/>
              <w:rPr>
                <w:rFonts w:ascii="Times New Roman" w:hAnsi="Times New Roman" w:cs="Times New Roman"/>
                <w:sz w:val="24"/>
                <w:szCs w:val="24"/>
              </w:rPr>
            </w:pPr>
            <w:r>
              <w:rPr>
                <w:rFonts w:ascii="Times New Roman" w:hAnsi="Times New Roman" w:cs="Times New Roman"/>
                <w:sz w:val="24"/>
                <w:szCs w:val="24"/>
              </w:rPr>
              <w:t>6.17</w:t>
            </w:r>
          </w:p>
        </w:tc>
        <w:tc>
          <w:tcPr>
            <w:tcW w:w="602" w:type="pct"/>
            <w:tcBorders>
              <w:top w:val="single" w:sz="8" w:space="0" w:color="000000"/>
              <w:bottom w:val="single" w:sz="8" w:space="0" w:color="auto"/>
            </w:tcBorders>
            <w:vAlign w:val="center"/>
          </w:tcPr>
          <w:p w14:paraId="233DC917" w14:textId="77777777" w:rsidR="00CA2AF5" w:rsidRDefault="00000000">
            <w:pPr>
              <w:widowControl/>
              <w:jc w:val="center"/>
              <w:rPr>
                <w:rFonts w:ascii="Times New Roman" w:hAnsi="Times New Roman" w:cs="Times New Roman"/>
                <w:sz w:val="24"/>
                <w:szCs w:val="24"/>
              </w:rPr>
            </w:pPr>
            <w:r>
              <w:rPr>
                <w:rFonts w:ascii="Times New Roman" w:hAnsi="Times New Roman" w:cs="Times New Roman"/>
                <w:sz w:val="24"/>
                <w:szCs w:val="24"/>
              </w:rPr>
              <w:t>2.80</w:t>
            </w:r>
          </w:p>
        </w:tc>
        <w:tc>
          <w:tcPr>
            <w:tcW w:w="803" w:type="pct"/>
            <w:tcBorders>
              <w:top w:val="single" w:sz="8" w:space="0" w:color="000000"/>
              <w:bottom w:val="single" w:sz="8" w:space="0" w:color="auto"/>
            </w:tcBorders>
            <w:vAlign w:val="center"/>
          </w:tcPr>
          <w:p w14:paraId="14582C1C" w14:textId="77777777" w:rsidR="00CA2AF5" w:rsidRDefault="00000000">
            <w:pPr>
              <w:widowControl/>
              <w:jc w:val="center"/>
              <w:rPr>
                <w:rFonts w:ascii="Times New Roman" w:hAnsi="Times New Roman" w:cs="Times New Roman"/>
                <w:sz w:val="24"/>
                <w:szCs w:val="24"/>
              </w:rPr>
            </w:pPr>
            <w:r>
              <w:rPr>
                <w:rFonts w:ascii="Times New Roman" w:hAnsi="Times New Roman" w:cs="Times New Roman"/>
                <w:sz w:val="24"/>
                <w:szCs w:val="24"/>
              </w:rPr>
              <w:t>2.91</w:t>
            </w:r>
          </w:p>
        </w:tc>
        <w:tc>
          <w:tcPr>
            <w:tcW w:w="736" w:type="pct"/>
            <w:tcBorders>
              <w:top w:val="single" w:sz="8" w:space="0" w:color="000000"/>
              <w:bottom w:val="single" w:sz="8" w:space="0" w:color="auto"/>
            </w:tcBorders>
            <w:vAlign w:val="center"/>
          </w:tcPr>
          <w:p w14:paraId="15A0DCDB" w14:textId="77777777" w:rsidR="00CA2AF5" w:rsidRDefault="00000000">
            <w:pPr>
              <w:widowControl/>
              <w:jc w:val="center"/>
              <w:rPr>
                <w:rFonts w:ascii="Times New Roman" w:hAnsi="Times New Roman" w:cs="Times New Roman"/>
                <w:sz w:val="24"/>
                <w:szCs w:val="24"/>
              </w:rPr>
            </w:pPr>
            <w:r>
              <w:rPr>
                <w:rFonts w:ascii="Times New Roman" w:hAnsi="Times New Roman" w:cs="Times New Roman"/>
                <w:sz w:val="24"/>
                <w:szCs w:val="24"/>
              </w:rPr>
              <w:t>68.91</w:t>
            </w:r>
          </w:p>
        </w:tc>
      </w:tr>
    </w:tbl>
    <w:p w14:paraId="14517AB4" w14:textId="112F7907" w:rsidR="00CA2AF5" w:rsidRDefault="00000000">
      <w:pPr>
        <w:widowControl/>
        <w:jc w:val="left"/>
        <w:rPr>
          <w:rFonts w:ascii="Times New Roman" w:hAnsi="Times New Roman" w:cs="Times New Roman"/>
        </w:rPr>
      </w:pPr>
      <w:proofErr w:type="spellStart"/>
      <w:r>
        <w:rPr>
          <w:rFonts w:ascii="Times New Roman" w:hAnsi="Times New Roman" w:cs="Times New Roman"/>
          <w:bCs/>
          <w:i/>
          <w:vertAlign w:val="superscript"/>
        </w:rPr>
        <w:t>a</w:t>
      </w:r>
      <w:r>
        <w:rPr>
          <w:rFonts w:ascii="Times New Roman" w:hAnsi="Times New Roman" w:cs="Times New Roman"/>
        </w:rPr>
        <w:t>Aromatici</w:t>
      </w:r>
      <w:r>
        <w:rPr>
          <w:rFonts w:ascii="Times New Roman" w:hAnsi="Times New Roman" w:cs="Times New Roman" w:hint="eastAsia"/>
        </w:rPr>
        <w:t>t</w:t>
      </w:r>
      <w:r>
        <w:rPr>
          <w:rFonts w:ascii="Times New Roman" w:hAnsi="Times New Roman" w:cs="Times New Roman"/>
        </w:rPr>
        <w:t>y</w:t>
      </w:r>
      <w:proofErr w:type="spellEnd"/>
      <w:r>
        <w:rPr>
          <w:rFonts w:ascii="Times New Roman" w:hAnsi="Times New Roman" w:cs="Times New Roman"/>
        </w:rPr>
        <w:t xml:space="preserve"> =100% × aromatic C (93</w:t>
      </w:r>
      <w:r w:rsidRPr="00C15465">
        <w:rPr>
          <w:rFonts w:ascii="Times New Roman" w:eastAsia="宋体" w:hAnsi="Times New Roman" w:cs="Times New Roman"/>
          <w:color w:val="000000" w:themeColor="text1"/>
          <w:szCs w:val="21"/>
        </w:rPr>
        <w:t>–</w:t>
      </w:r>
      <w:r>
        <w:rPr>
          <w:rFonts w:ascii="Times New Roman" w:hAnsi="Times New Roman" w:cs="Times New Roman"/>
        </w:rPr>
        <w:t>165 ppm) / [aromatic C (93</w:t>
      </w:r>
      <w:r>
        <w:rPr>
          <w:rFonts w:ascii="Times New Roman" w:eastAsia="宋体" w:hAnsi="Times New Roman" w:cs="Times New Roman"/>
          <w:color w:val="000000" w:themeColor="text1"/>
          <w:szCs w:val="21"/>
        </w:rPr>
        <w:t>–</w:t>
      </w:r>
      <w:r>
        <w:rPr>
          <w:rFonts w:ascii="Times New Roman" w:hAnsi="Times New Roman" w:cs="Times New Roman"/>
        </w:rPr>
        <w:t>165 ppm) + aliphatic C (0</w:t>
      </w:r>
      <w:r>
        <w:rPr>
          <w:rFonts w:ascii="Times New Roman" w:eastAsia="宋体" w:hAnsi="Times New Roman" w:cs="Times New Roman"/>
          <w:color w:val="000000" w:themeColor="text1"/>
          <w:szCs w:val="21"/>
        </w:rPr>
        <w:t>–</w:t>
      </w:r>
      <w:r>
        <w:rPr>
          <w:rFonts w:ascii="Times New Roman" w:hAnsi="Times New Roman" w:cs="Times New Roman"/>
        </w:rPr>
        <w:t>93 ppm)].</w:t>
      </w:r>
    </w:p>
    <w:p w14:paraId="3B49E58C" w14:textId="77777777" w:rsidR="00CA2AF5" w:rsidRDefault="00CA2AF5">
      <w:pPr>
        <w:widowControl/>
        <w:jc w:val="left"/>
        <w:rPr>
          <w:rFonts w:ascii="Times New Roman" w:hAnsi="Times New Roman" w:cs="Times New Roman"/>
        </w:rPr>
        <w:sectPr w:rsidR="00CA2AF5">
          <w:pgSz w:w="16838" w:h="11906" w:orient="landscape"/>
          <w:pgMar w:top="1797" w:right="1440" w:bottom="1797" w:left="1440" w:header="851" w:footer="992" w:gutter="0"/>
          <w:lnNumType w:countBy="1" w:restart="continuous"/>
          <w:cols w:space="425"/>
          <w:docGrid w:type="linesAndChars" w:linePitch="312"/>
        </w:sectPr>
      </w:pPr>
    </w:p>
    <w:p w14:paraId="72682CAB" w14:textId="77777777" w:rsidR="00CA2AF5" w:rsidRDefault="00CA2AF5">
      <w:pPr>
        <w:widowControl/>
        <w:spacing w:line="360" w:lineRule="auto"/>
        <w:rPr>
          <w:rFonts w:ascii="Times New Roman" w:hAnsi="Times New Roman" w:cs="Times New Roman"/>
        </w:rPr>
      </w:pPr>
    </w:p>
    <w:tbl>
      <w:tblPr>
        <w:tblStyle w:val="af"/>
        <w:tblW w:w="5000" w:type="pct"/>
        <w:tblLook w:val="04A0" w:firstRow="1" w:lastRow="0" w:firstColumn="1" w:lastColumn="0" w:noHBand="0" w:noVBand="1"/>
      </w:tblPr>
      <w:tblGrid>
        <w:gridCol w:w="2086"/>
        <w:gridCol w:w="2075"/>
        <w:gridCol w:w="2073"/>
        <w:gridCol w:w="2078"/>
      </w:tblGrid>
      <w:tr w:rsidR="00CA2AF5" w14:paraId="03C6B091" w14:textId="77777777">
        <w:trPr>
          <w:trHeight w:val="614"/>
        </w:trPr>
        <w:tc>
          <w:tcPr>
            <w:tcW w:w="5000" w:type="pct"/>
            <w:gridSpan w:val="4"/>
            <w:tcBorders>
              <w:top w:val="nil"/>
              <w:left w:val="nil"/>
              <w:bottom w:val="single" w:sz="12" w:space="0" w:color="auto"/>
              <w:right w:val="nil"/>
            </w:tcBorders>
            <w:vAlign w:val="center"/>
          </w:tcPr>
          <w:p w14:paraId="24DB1523" w14:textId="77777777" w:rsidR="00CA2AF5" w:rsidRDefault="00000000">
            <w:pPr>
              <w:rPr>
                <w:rFonts w:ascii="Times New Roman" w:hAnsi="Times New Roman" w:cs="Times New Roman"/>
                <w:i/>
                <w:iCs/>
                <w:kern w:val="0"/>
                <w:sz w:val="24"/>
                <w:szCs w:val="24"/>
              </w:rPr>
            </w:pPr>
            <w:r>
              <w:rPr>
                <w:rFonts w:hint="eastAsia"/>
                <w:kern w:val="0"/>
                <w:sz w:val="20"/>
                <w:szCs w:val="20"/>
              </w:rPr>
              <w:br w:type="page"/>
            </w:r>
            <w:r>
              <w:rPr>
                <w:rFonts w:ascii="Times New Roman" w:hAnsi="Times New Roman" w:cs="Times New Roman"/>
                <w:b/>
                <w:bCs/>
                <w:kern w:val="0"/>
                <w:sz w:val="24"/>
                <w:szCs w:val="24"/>
              </w:rPr>
              <w:t>Table S</w:t>
            </w:r>
            <w:r>
              <w:rPr>
                <w:rFonts w:ascii="Times New Roman" w:hAnsi="Times New Roman" w:cs="Times New Roman" w:hint="eastAsia"/>
                <w:b/>
                <w:bCs/>
                <w:kern w:val="0"/>
                <w:sz w:val="24"/>
                <w:szCs w:val="24"/>
              </w:rPr>
              <w:t>3</w:t>
            </w:r>
            <w:r>
              <w:rPr>
                <w:rFonts w:ascii="Times New Roman" w:hAnsi="Times New Roman" w:cs="Times New Roman"/>
                <w:b/>
                <w:bCs/>
                <w:kern w:val="0"/>
                <w:sz w:val="24"/>
                <w:szCs w:val="24"/>
              </w:rPr>
              <w:t>.</w:t>
            </w:r>
            <w:r>
              <w:rPr>
                <w:rFonts w:ascii="Times New Roman" w:hAnsi="Times New Roman" w:cs="Times New Roman"/>
                <w:kern w:val="0"/>
                <w:sz w:val="24"/>
                <w:szCs w:val="24"/>
              </w:rPr>
              <w:t xml:space="preserve"> Freundlich fitted parameters for adsorption isotherms of dissolved organic </w:t>
            </w:r>
            <w:r>
              <w:rPr>
                <w:rFonts w:ascii="Times New Roman" w:hAnsi="Times New Roman" w:cs="Times New Roman" w:hint="eastAsia"/>
                <w:kern w:val="0"/>
                <w:sz w:val="24"/>
                <w:szCs w:val="24"/>
              </w:rPr>
              <w:t>carbon</w:t>
            </w:r>
            <w:r>
              <w:rPr>
                <w:rFonts w:ascii="Times New Roman" w:hAnsi="Times New Roman" w:cs="Times New Roman"/>
                <w:kern w:val="0"/>
                <w:sz w:val="24"/>
                <w:szCs w:val="24"/>
              </w:rPr>
              <w:t xml:space="preserve"> by </w:t>
            </w:r>
            <w:r>
              <w:rPr>
                <w:rFonts w:ascii="Times New Roman" w:hAnsi="Times New Roman" w:cs="Times New Roman" w:hint="eastAsia"/>
                <w:kern w:val="0"/>
                <w:sz w:val="24"/>
                <w:szCs w:val="24"/>
              </w:rPr>
              <w:t xml:space="preserve">biochar </w:t>
            </w:r>
            <w:r>
              <w:rPr>
                <w:rFonts w:ascii="Times New Roman" w:hAnsi="Times New Roman" w:cs="Times New Roman"/>
                <w:kern w:val="0"/>
                <w:sz w:val="24"/>
                <w:szCs w:val="24"/>
              </w:rPr>
              <w:t>samples.</w:t>
            </w:r>
          </w:p>
        </w:tc>
      </w:tr>
      <w:tr w:rsidR="00CA2AF5" w14:paraId="77751295" w14:textId="77777777">
        <w:trPr>
          <w:trHeight w:hRule="exact" w:val="510"/>
        </w:trPr>
        <w:tc>
          <w:tcPr>
            <w:tcW w:w="1255" w:type="pct"/>
            <w:tcBorders>
              <w:top w:val="single" w:sz="12" w:space="0" w:color="auto"/>
              <w:left w:val="nil"/>
              <w:bottom w:val="single" w:sz="8" w:space="0" w:color="auto"/>
              <w:right w:val="nil"/>
            </w:tcBorders>
            <w:vAlign w:val="center"/>
          </w:tcPr>
          <w:p w14:paraId="78705DC6" w14:textId="77777777" w:rsidR="00CA2AF5" w:rsidRDefault="00000000">
            <w:pPr>
              <w:jc w:val="center"/>
              <w:rPr>
                <w:rFonts w:ascii="Times New Roman" w:hAnsi="Times New Roman" w:cs="Times New Roman"/>
                <w:b/>
                <w:bCs/>
                <w:kern w:val="0"/>
                <w:sz w:val="24"/>
                <w:szCs w:val="24"/>
              </w:rPr>
            </w:pPr>
            <w:r>
              <w:rPr>
                <w:rFonts w:ascii="Times New Roman" w:hAnsi="Times New Roman" w:cs="Times New Roman"/>
                <w:b/>
                <w:bCs/>
                <w:kern w:val="0"/>
                <w:sz w:val="24"/>
                <w:szCs w:val="24"/>
              </w:rPr>
              <w:t>Samples</w:t>
            </w:r>
          </w:p>
        </w:tc>
        <w:tc>
          <w:tcPr>
            <w:tcW w:w="1248" w:type="pct"/>
            <w:tcBorders>
              <w:top w:val="single" w:sz="12" w:space="0" w:color="auto"/>
              <w:left w:val="nil"/>
              <w:bottom w:val="single" w:sz="8" w:space="0" w:color="auto"/>
              <w:right w:val="nil"/>
            </w:tcBorders>
            <w:vAlign w:val="center"/>
          </w:tcPr>
          <w:p w14:paraId="09CA707D" w14:textId="6542BBE9" w:rsidR="00CA2AF5" w:rsidRDefault="00000000">
            <w:pPr>
              <w:jc w:val="center"/>
              <w:rPr>
                <w:rFonts w:ascii="Times New Roman" w:hAnsi="Times New Roman" w:cs="Times New Roman"/>
                <w:b/>
                <w:bCs/>
                <w:kern w:val="0"/>
                <w:sz w:val="24"/>
                <w:szCs w:val="24"/>
              </w:rPr>
            </w:pPr>
            <w:proofErr w:type="spellStart"/>
            <w:r>
              <w:rPr>
                <w:rFonts w:ascii="Times New Roman" w:hAnsi="Times New Roman" w:cs="Times New Roman"/>
                <w:b/>
                <w:bCs/>
                <w:i/>
                <w:iCs/>
                <w:kern w:val="0"/>
                <w:sz w:val="24"/>
                <w:szCs w:val="24"/>
              </w:rPr>
              <w:t>K</w:t>
            </w:r>
            <w:r>
              <w:rPr>
                <w:rFonts w:ascii="Times New Roman" w:hAnsi="Times New Roman" w:cs="Times New Roman"/>
                <w:b/>
                <w:bCs/>
                <w:kern w:val="0"/>
                <w:sz w:val="24"/>
                <w:szCs w:val="24"/>
                <w:vertAlign w:val="subscript"/>
              </w:rPr>
              <w:t>f</w:t>
            </w:r>
            <w:proofErr w:type="spellEnd"/>
            <w:r>
              <w:rPr>
                <w:rFonts w:ascii="Times New Roman" w:hAnsi="Times New Roman" w:cs="Times New Roman"/>
                <w:b/>
                <w:bCs/>
                <w:kern w:val="0"/>
                <w:sz w:val="24"/>
                <w:szCs w:val="24"/>
              </w:rPr>
              <w:t xml:space="preserve"> (mg</w:t>
            </w:r>
            <w:r>
              <w:rPr>
                <w:rFonts w:ascii="Times New Roman" w:hAnsi="Times New Roman" w:cs="Times New Roman"/>
                <w:b/>
                <w:bCs/>
                <w:kern w:val="0"/>
                <w:sz w:val="24"/>
                <w:szCs w:val="24"/>
                <w:vertAlign w:val="superscript"/>
              </w:rPr>
              <w:t>1-n</w:t>
            </w:r>
            <w:r>
              <w:rPr>
                <w:rFonts w:ascii="Times New Roman" w:hAnsi="Times New Roman" w:cs="Times New Roman"/>
                <w:b/>
                <w:bCs/>
                <w:kern w:val="0"/>
                <w:sz w:val="24"/>
                <w:szCs w:val="24"/>
              </w:rPr>
              <w:t xml:space="preserve"> L</w:t>
            </w:r>
            <w:r>
              <w:rPr>
                <w:rFonts w:ascii="Times New Roman" w:hAnsi="Times New Roman" w:cs="Times New Roman"/>
                <w:b/>
                <w:bCs/>
                <w:kern w:val="0"/>
                <w:sz w:val="24"/>
                <w:szCs w:val="24"/>
                <w:vertAlign w:val="superscript"/>
              </w:rPr>
              <w:t>n</w:t>
            </w:r>
            <w:r>
              <w:rPr>
                <w:rFonts w:ascii="Times New Roman" w:hAnsi="Times New Roman" w:cs="Times New Roman"/>
                <w:b/>
                <w:bCs/>
                <w:kern w:val="0"/>
                <w:sz w:val="24"/>
                <w:szCs w:val="24"/>
              </w:rPr>
              <w:t xml:space="preserve"> kg</w:t>
            </w:r>
            <w:r>
              <w:rPr>
                <w:rFonts w:ascii="Times New Roman" w:hAnsi="Times New Roman" w:cs="Times New Roman"/>
                <w:sz w:val="24"/>
                <w:szCs w:val="24"/>
                <w:vertAlign w:val="superscript"/>
              </w:rPr>
              <w:t>−</w:t>
            </w:r>
            <w:r>
              <w:rPr>
                <w:rFonts w:ascii="Times New Roman" w:hAnsi="Times New Roman" w:cs="Times New Roman"/>
                <w:b/>
                <w:bCs/>
                <w:kern w:val="0"/>
                <w:sz w:val="24"/>
                <w:szCs w:val="24"/>
                <w:vertAlign w:val="superscript"/>
              </w:rPr>
              <w:t>1</w:t>
            </w:r>
            <w:r>
              <w:rPr>
                <w:rFonts w:ascii="Times New Roman" w:hAnsi="Times New Roman" w:cs="Times New Roman"/>
                <w:b/>
                <w:bCs/>
                <w:kern w:val="0"/>
                <w:sz w:val="24"/>
                <w:szCs w:val="24"/>
              </w:rPr>
              <w:t>)</w:t>
            </w:r>
          </w:p>
        </w:tc>
        <w:tc>
          <w:tcPr>
            <w:tcW w:w="1247" w:type="pct"/>
            <w:tcBorders>
              <w:top w:val="single" w:sz="12" w:space="0" w:color="auto"/>
              <w:left w:val="nil"/>
              <w:bottom w:val="single" w:sz="8" w:space="0" w:color="auto"/>
              <w:right w:val="nil"/>
            </w:tcBorders>
            <w:vAlign w:val="center"/>
          </w:tcPr>
          <w:p w14:paraId="364A331E" w14:textId="77777777" w:rsidR="00CA2AF5" w:rsidRDefault="00000000">
            <w:pPr>
              <w:jc w:val="center"/>
              <w:rPr>
                <w:rFonts w:ascii="Times New Roman" w:hAnsi="Times New Roman" w:cs="Times New Roman"/>
                <w:b/>
                <w:bCs/>
                <w:kern w:val="0"/>
                <w:sz w:val="24"/>
                <w:szCs w:val="24"/>
              </w:rPr>
            </w:pPr>
            <w:r>
              <w:rPr>
                <w:rFonts w:ascii="Times New Roman" w:hAnsi="Times New Roman" w:cs="Times New Roman"/>
                <w:b/>
                <w:bCs/>
                <w:i/>
                <w:iCs/>
                <w:kern w:val="0"/>
                <w:sz w:val="24"/>
                <w:szCs w:val="24"/>
              </w:rPr>
              <w:t>n</w:t>
            </w:r>
          </w:p>
        </w:tc>
        <w:tc>
          <w:tcPr>
            <w:tcW w:w="1250" w:type="pct"/>
            <w:tcBorders>
              <w:top w:val="single" w:sz="12" w:space="0" w:color="auto"/>
              <w:left w:val="nil"/>
              <w:bottom w:val="single" w:sz="8" w:space="0" w:color="auto"/>
              <w:right w:val="nil"/>
            </w:tcBorders>
            <w:vAlign w:val="center"/>
          </w:tcPr>
          <w:p w14:paraId="5797D938" w14:textId="77777777" w:rsidR="00CA2AF5" w:rsidRDefault="00000000">
            <w:pPr>
              <w:jc w:val="center"/>
              <w:rPr>
                <w:rFonts w:ascii="Times New Roman" w:hAnsi="Times New Roman" w:cs="Times New Roman"/>
                <w:b/>
                <w:bCs/>
                <w:kern w:val="0"/>
                <w:sz w:val="24"/>
                <w:szCs w:val="24"/>
              </w:rPr>
            </w:pPr>
            <w:r>
              <w:rPr>
                <w:rFonts w:ascii="Times New Roman" w:hAnsi="Times New Roman" w:cs="Times New Roman"/>
                <w:b/>
                <w:bCs/>
                <w:i/>
                <w:iCs/>
                <w:kern w:val="0"/>
                <w:sz w:val="24"/>
                <w:szCs w:val="24"/>
              </w:rPr>
              <w:t>R</w:t>
            </w:r>
            <w:r>
              <w:rPr>
                <w:rFonts w:ascii="Times New Roman" w:hAnsi="Times New Roman" w:cs="Times New Roman"/>
                <w:b/>
                <w:bCs/>
                <w:kern w:val="0"/>
                <w:sz w:val="24"/>
                <w:szCs w:val="24"/>
                <w:vertAlign w:val="superscript"/>
              </w:rPr>
              <w:t>2</w:t>
            </w:r>
          </w:p>
        </w:tc>
      </w:tr>
      <w:tr w:rsidR="00CA2AF5" w14:paraId="2B2DC4AC" w14:textId="77777777">
        <w:trPr>
          <w:trHeight w:hRule="exact" w:val="510"/>
        </w:trPr>
        <w:tc>
          <w:tcPr>
            <w:tcW w:w="1255" w:type="pct"/>
            <w:tcBorders>
              <w:top w:val="single" w:sz="8" w:space="0" w:color="auto"/>
              <w:left w:val="nil"/>
              <w:bottom w:val="nil"/>
              <w:right w:val="nil"/>
            </w:tcBorders>
            <w:vAlign w:val="center"/>
          </w:tcPr>
          <w:p w14:paraId="6156C4C7" w14:textId="4C2FC697" w:rsidR="00CA2AF5" w:rsidRDefault="00000000">
            <w:pPr>
              <w:jc w:val="center"/>
              <w:rPr>
                <w:rFonts w:ascii="Times New Roman" w:hAnsi="Times New Roman" w:cs="Times New Roman"/>
                <w:kern w:val="0"/>
                <w:sz w:val="24"/>
                <w:szCs w:val="24"/>
              </w:rPr>
            </w:pPr>
            <w:r>
              <w:rPr>
                <w:rFonts w:ascii="Times New Roman" w:hAnsi="Times New Roman" w:cs="Times New Roman" w:hint="eastAsia"/>
                <w:kern w:val="0"/>
                <w:sz w:val="24"/>
                <w:szCs w:val="24"/>
              </w:rPr>
              <w:t>No-Cd</w:t>
            </w:r>
          </w:p>
        </w:tc>
        <w:tc>
          <w:tcPr>
            <w:tcW w:w="1248" w:type="pct"/>
            <w:tcBorders>
              <w:top w:val="single" w:sz="8" w:space="0" w:color="auto"/>
              <w:left w:val="nil"/>
              <w:bottom w:val="nil"/>
              <w:right w:val="nil"/>
            </w:tcBorders>
            <w:vAlign w:val="center"/>
          </w:tcPr>
          <w:p w14:paraId="58C800CD" w14:textId="77777777" w:rsidR="00CA2AF5" w:rsidRDefault="00000000">
            <w:pPr>
              <w:jc w:val="center"/>
              <w:rPr>
                <w:rFonts w:ascii="Times New Roman" w:hAnsi="Times New Roman" w:cs="Times New Roman"/>
                <w:kern w:val="0"/>
                <w:sz w:val="24"/>
                <w:szCs w:val="24"/>
              </w:rPr>
            </w:pPr>
            <w:r>
              <w:rPr>
                <w:rFonts w:ascii="Times New Roman" w:hAnsi="Times New Roman" w:cs="Times New Roman"/>
                <w:kern w:val="0"/>
                <w:sz w:val="24"/>
                <w:szCs w:val="24"/>
              </w:rPr>
              <w:t>125</w:t>
            </w:r>
            <w:r>
              <w:rPr>
                <w:rFonts w:ascii="Times New Roman" w:hAnsi="Times New Roman" w:cs="Times New Roman" w:hint="eastAsia"/>
                <w:kern w:val="0"/>
                <w:sz w:val="24"/>
                <w:szCs w:val="24"/>
              </w:rPr>
              <w:t>6</w:t>
            </w:r>
          </w:p>
        </w:tc>
        <w:tc>
          <w:tcPr>
            <w:tcW w:w="1247" w:type="pct"/>
            <w:tcBorders>
              <w:top w:val="single" w:sz="8" w:space="0" w:color="auto"/>
              <w:left w:val="nil"/>
              <w:bottom w:val="nil"/>
              <w:right w:val="nil"/>
            </w:tcBorders>
            <w:vAlign w:val="center"/>
          </w:tcPr>
          <w:p w14:paraId="0BD391A4" w14:textId="77777777" w:rsidR="00CA2AF5" w:rsidRDefault="00000000">
            <w:pPr>
              <w:jc w:val="center"/>
              <w:rPr>
                <w:rFonts w:ascii="Times New Roman" w:hAnsi="Times New Roman" w:cs="Times New Roman"/>
                <w:kern w:val="0"/>
                <w:sz w:val="24"/>
                <w:szCs w:val="24"/>
              </w:rPr>
            </w:pPr>
            <w:r>
              <w:rPr>
                <w:rFonts w:ascii="Times New Roman" w:hAnsi="Times New Roman" w:cs="Times New Roman"/>
                <w:kern w:val="0"/>
                <w:sz w:val="24"/>
                <w:szCs w:val="24"/>
              </w:rPr>
              <w:t>0.73</w:t>
            </w:r>
          </w:p>
        </w:tc>
        <w:tc>
          <w:tcPr>
            <w:tcW w:w="1250" w:type="pct"/>
            <w:tcBorders>
              <w:top w:val="single" w:sz="8" w:space="0" w:color="auto"/>
              <w:left w:val="nil"/>
              <w:bottom w:val="nil"/>
              <w:right w:val="nil"/>
            </w:tcBorders>
            <w:vAlign w:val="center"/>
          </w:tcPr>
          <w:p w14:paraId="4E86F9E6" w14:textId="77777777" w:rsidR="00CA2AF5" w:rsidRDefault="00000000">
            <w:pPr>
              <w:jc w:val="center"/>
              <w:rPr>
                <w:rFonts w:ascii="Times New Roman" w:hAnsi="Times New Roman" w:cs="Times New Roman"/>
                <w:kern w:val="0"/>
                <w:sz w:val="24"/>
                <w:szCs w:val="24"/>
              </w:rPr>
            </w:pPr>
            <w:r>
              <w:rPr>
                <w:rFonts w:ascii="Times New Roman" w:hAnsi="Times New Roman" w:cs="Times New Roman"/>
                <w:kern w:val="0"/>
                <w:sz w:val="24"/>
                <w:szCs w:val="24"/>
              </w:rPr>
              <w:t>0.94</w:t>
            </w:r>
            <w:r>
              <w:rPr>
                <w:rFonts w:ascii="Times New Roman" w:hAnsi="Times New Roman" w:cs="Times New Roman" w:hint="eastAsia"/>
                <w:kern w:val="0"/>
                <w:sz w:val="24"/>
                <w:szCs w:val="24"/>
              </w:rPr>
              <w:t>4</w:t>
            </w:r>
          </w:p>
        </w:tc>
      </w:tr>
      <w:tr w:rsidR="00CA2AF5" w14:paraId="70E4C9A8" w14:textId="77777777">
        <w:trPr>
          <w:trHeight w:hRule="exact" w:val="510"/>
        </w:trPr>
        <w:tc>
          <w:tcPr>
            <w:tcW w:w="1255" w:type="pct"/>
            <w:tcBorders>
              <w:top w:val="nil"/>
              <w:left w:val="nil"/>
              <w:bottom w:val="single" w:sz="8" w:space="0" w:color="auto"/>
              <w:right w:val="nil"/>
            </w:tcBorders>
            <w:vAlign w:val="center"/>
          </w:tcPr>
          <w:p w14:paraId="15DEC557" w14:textId="77777777" w:rsidR="00CA2AF5" w:rsidRDefault="00000000">
            <w:pPr>
              <w:jc w:val="center"/>
              <w:rPr>
                <w:rFonts w:ascii="Times New Roman" w:hAnsi="Times New Roman" w:cs="Times New Roman"/>
                <w:kern w:val="0"/>
                <w:sz w:val="24"/>
                <w:szCs w:val="24"/>
              </w:rPr>
            </w:pPr>
            <w:r>
              <w:rPr>
                <w:rFonts w:ascii="Times New Roman" w:hAnsi="Times New Roman" w:cs="Times New Roman" w:hint="eastAsia"/>
                <w:kern w:val="0"/>
                <w:sz w:val="24"/>
                <w:szCs w:val="24"/>
              </w:rPr>
              <w:t>Cd</w:t>
            </w:r>
          </w:p>
        </w:tc>
        <w:tc>
          <w:tcPr>
            <w:tcW w:w="1248" w:type="pct"/>
            <w:tcBorders>
              <w:top w:val="nil"/>
              <w:left w:val="nil"/>
              <w:bottom w:val="single" w:sz="8" w:space="0" w:color="auto"/>
              <w:right w:val="nil"/>
            </w:tcBorders>
            <w:vAlign w:val="center"/>
          </w:tcPr>
          <w:p w14:paraId="1E455FB1" w14:textId="77777777" w:rsidR="00CA2AF5" w:rsidRDefault="00000000">
            <w:pPr>
              <w:jc w:val="center"/>
              <w:rPr>
                <w:rFonts w:ascii="Times New Roman" w:hAnsi="Times New Roman" w:cs="Times New Roman"/>
                <w:kern w:val="0"/>
                <w:sz w:val="24"/>
                <w:szCs w:val="24"/>
              </w:rPr>
            </w:pPr>
            <w:r>
              <w:rPr>
                <w:rFonts w:ascii="Times New Roman" w:hAnsi="Times New Roman" w:cs="Times New Roman" w:hint="eastAsia"/>
                <w:kern w:val="0"/>
                <w:sz w:val="24"/>
                <w:szCs w:val="24"/>
              </w:rPr>
              <w:t>3676</w:t>
            </w:r>
          </w:p>
        </w:tc>
        <w:tc>
          <w:tcPr>
            <w:tcW w:w="1247" w:type="pct"/>
            <w:tcBorders>
              <w:top w:val="nil"/>
              <w:left w:val="nil"/>
              <w:bottom w:val="single" w:sz="8" w:space="0" w:color="auto"/>
              <w:right w:val="nil"/>
            </w:tcBorders>
            <w:vAlign w:val="center"/>
          </w:tcPr>
          <w:p w14:paraId="6674CEE8" w14:textId="77777777" w:rsidR="00CA2AF5" w:rsidRDefault="00000000">
            <w:pPr>
              <w:jc w:val="center"/>
              <w:rPr>
                <w:rFonts w:ascii="Times New Roman" w:hAnsi="Times New Roman" w:cs="Times New Roman"/>
                <w:kern w:val="0"/>
                <w:sz w:val="24"/>
                <w:szCs w:val="24"/>
              </w:rPr>
            </w:pPr>
            <w:r>
              <w:rPr>
                <w:rFonts w:ascii="Times New Roman" w:hAnsi="Times New Roman" w:cs="Times New Roman"/>
                <w:kern w:val="0"/>
                <w:sz w:val="24"/>
                <w:szCs w:val="24"/>
              </w:rPr>
              <w:t>0.</w:t>
            </w:r>
            <w:r>
              <w:rPr>
                <w:rFonts w:ascii="Times New Roman" w:hAnsi="Times New Roman" w:cs="Times New Roman" w:hint="eastAsia"/>
                <w:kern w:val="0"/>
                <w:sz w:val="24"/>
                <w:szCs w:val="24"/>
              </w:rPr>
              <w:t>37</w:t>
            </w:r>
          </w:p>
        </w:tc>
        <w:tc>
          <w:tcPr>
            <w:tcW w:w="1250" w:type="pct"/>
            <w:tcBorders>
              <w:top w:val="nil"/>
              <w:left w:val="nil"/>
              <w:bottom w:val="single" w:sz="8" w:space="0" w:color="auto"/>
              <w:right w:val="nil"/>
            </w:tcBorders>
            <w:vAlign w:val="center"/>
          </w:tcPr>
          <w:p w14:paraId="2A3290AB" w14:textId="77777777" w:rsidR="00CA2AF5" w:rsidRDefault="00000000">
            <w:pPr>
              <w:jc w:val="center"/>
              <w:rPr>
                <w:rFonts w:ascii="Times New Roman" w:hAnsi="Times New Roman" w:cs="Times New Roman"/>
                <w:kern w:val="0"/>
                <w:sz w:val="24"/>
                <w:szCs w:val="24"/>
              </w:rPr>
            </w:pPr>
            <w:r>
              <w:rPr>
                <w:rFonts w:ascii="Times New Roman" w:hAnsi="Times New Roman" w:cs="Times New Roman"/>
                <w:kern w:val="0"/>
                <w:sz w:val="24"/>
                <w:szCs w:val="24"/>
              </w:rPr>
              <w:t>0.9</w:t>
            </w:r>
            <w:r>
              <w:rPr>
                <w:rFonts w:ascii="Times New Roman" w:hAnsi="Times New Roman" w:cs="Times New Roman" w:hint="eastAsia"/>
                <w:kern w:val="0"/>
                <w:sz w:val="24"/>
                <w:szCs w:val="24"/>
              </w:rPr>
              <w:t>49</w:t>
            </w:r>
          </w:p>
        </w:tc>
      </w:tr>
      <w:tr w:rsidR="00CA2AF5" w14:paraId="2602159D" w14:textId="77777777">
        <w:trPr>
          <w:trHeight w:hRule="exact" w:val="996"/>
        </w:trPr>
        <w:tc>
          <w:tcPr>
            <w:tcW w:w="5000" w:type="pct"/>
            <w:gridSpan w:val="4"/>
            <w:tcBorders>
              <w:top w:val="single" w:sz="8" w:space="0" w:color="auto"/>
              <w:left w:val="nil"/>
              <w:bottom w:val="nil"/>
              <w:right w:val="nil"/>
            </w:tcBorders>
            <w:vAlign w:val="center"/>
          </w:tcPr>
          <w:p w14:paraId="1419348F" w14:textId="0C727F5B" w:rsidR="00CA2AF5" w:rsidRDefault="00000000">
            <w:pPr>
              <w:rPr>
                <w:rFonts w:hint="eastAsia"/>
                <w:kern w:val="0"/>
                <w:szCs w:val="21"/>
              </w:rPr>
            </w:pPr>
            <w:proofErr w:type="spellStart"/>
            <w:r>
              <w:rPr>
                <w:rFonts w:ascii="Times New Roman" w:hAnsi="Times New Roman" w:cs="Times New Roman"/>
                <w:i/>
                <w:iCs/>
                <w:kern w:val="0"/>
                <w:szCs w:val="21"/>
              </w:rPr>
              <w:t>K</w:t>
            </w:r>
            <w:r>
              <w:rPr>
                <w:rFonts w:ascii="Times New Roman" w:hAnsi="Times New Roman" w:cs="Times New Roman"/>
                <w:i/>
                <w:iCs/>
                <w:kern w:val="0"/>
                <w:szCs w:val="21"/>
                <w:vertAlign w:val="subscript"/>
              </w:rPr>
              <w:t>f</w:t>
            </w:r>
            <w:proofErr w:type="spellEnd"/>
            <w:r>
              <w:rPr>
                <w:rFonts w:ascii="Times New Roman" w:hAnsi="Times New Roman" w:cs="Times New Roman"/>
                <w:kern w:val="0"/>
                <w:szCs w:val="21"/>
              </w:rPr>
              <w:t xml:space="preserve"> and </w:t>
            </w:r>
            <w:r>
              <w:rPr>
                <w:rFonts w:ascii="Times New Roman" w:hAnsi="Times New Roman" w:cs="Times New Roman"/>
                <w:i/>
                <w:iCs/>
                <w:kern w:val="0"/>
                <w:szCs w:val="21"/>
              </w:rPr>
              <w:t>n</w:t>
            </w:r>
            <w:r>
              <w:rPr>
                <w:rFonts w:ascii="Times New Roman" w:hAnsi="Times New Roman" w:cs="Times New Roman"/>
                <w:kern w:val="0"/>
                <w:szCs w:val="21"/>
              </w:rPr>
              <w:t xml:space="preserve"> are the Freundlich empirical constant</w:t>
            </w:r>
            <w:r>
              <w:rPr>
                <w:rFonts w:ascii="Times New Roman" w:hAnsi="Times New Roman" w:cs="Times New Roman" w:hint="eastAsia"/>
                <w:kern w:val="0"/>
                <w:szCs w:val="21"/>
              </w:rPr>
              <w:t>s</w:t>
            </w:r>
            <w:r>
              <w:rPr>
                <w:rFonts w:ascii="Times New Roman" w:hAnsi="Times New Roman" w:cs="Times New Roman"/>
                <w:kern w:val="0"/>
                <w:szCs w:val="21"/>
              </w:rPr>
              <w:t xml:space="preserve"> indicative of sorption affinity and nonlinearity, respectively. </w:t>
            </w:r>
            <w:r>
              <w:rPr>
                <w:rFonts w:ascii="Times New Roman" w:eastAsia="宋体" w:hAnsi="Times New Roman" w:cs="Times New Roman"/>
                <w:kern w:val="0"/>
                <w:szCs w:val="21"/>
              </w:rPr>
              <w:t>“No-Cd” represent</w:t>
            </w:r>
            <w:r>
              <w:rPr>
                <w:rFonts w:ascii="Times New Roman" w:eastAsia="宋体" w:hAnsi="Times New Roman" w:cs="Times New Roman" w:hint="eastAsia"/>
                <w:kern w:val="0"/>
                <w:szCs w:val="21"/>
              </w:rPr>
              <w:t>s</w:t>
            </w:r>
            <w:r>
              <w:rPr>
                <w:rFonts w:ascii="Times New Roman" w:eastAsia="宋体" w:hAnsi="Times New Roman" w:cs="Times New Roman"/>
                <w:kern w:val="0"/>
                <w:szCs w:val="21"/>
              </w:rPr>
              <w:t xml:space="preserve"> soils without Cd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addition. “Cd” represent</w:t>
            </w:r>
            <w:r>
              <w:rPr>
                <w:rFonts w:ascii="Times New Roman" w:eastAsia="宋体" w:hAnsi="Times New Roman" w:cs="Times New Roman" w:hint="eastAsia"/>
                <w:kern w:val="0"/>
                <w:szCs w:val="21"/>
              </w:rPr>
              <w:t>s</w:t>
            </w:r>
            <w:r>
              <w:rPr>
                <w:rFonts w:ascii="Times New Roman" w:eastAsia="宋体" w:hAnsi="Times New Roman" w:cs="Times New Roman"/>
                <w:kern w:val="0"/>
                <w:szCs w:val="21"/>
              </w:rPr>
              <w:t xml:space="preserve"> soils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with Cd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addition</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p>
        </w:tc>
      </w:tr>
    </w:tbl>
    <w:p w14:paraId="0B55875E" w14:textId="77777777" w:rsidR="00CA2AF5" w:rsidRDefault="00CA2AF5">
      <w:pPr>
        <w:widowControl/>
        <w:spacing w:line="360" w:lineRule="auto"/>
        <w:ind w:firstLineChars="200" w:firstLine="480"/>
        <w:rPr>
          <w:rFonts w:ascii="Times New Roman" w:hAnsi="Times New Roman" w:cs="Times New Roman"/>
          <w:sz w:val="24"/>
          <w:szCs w:val="24"/>
        </w:rPr>
      </w:pPr>
    </w:p>
    <w:p w14:paraId="205B2A3D" w14:textId="77777777" w:rsidR="00CA2AF5"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D5D5F53" w14:textId="77777777" w:rsidR="00CA2AF5" w:rsidRDefault="00CA2AF5">
      <w:pPr>
        <w:widowControl/>
        <w:rPr>
          <w:rFonts w:ascii="Times New Roman" w:hAnsi="Times New Roman" w:cs="Times New Roman"/>
          <w:sz w:val="24"/>
          <w:szCs w:val="24"/>
        </w:rPr>
      </w:pPr>
    </w:p>
    <w:p w14:paraId="5332F484" w14:textId="77777777" w:rsidR="00CA2AF5" w:rsidRDefault="00000000">
      <w:pPr>
        <w:rPr>
          <w:rFonts w:ascii="Times New Roman" w:eastAsia="宋体" w:hAnsi="Times New Roman" w:cs="Times New Roman"/>
          <w:sz w:val="24"/>
          <w:szCs w:val="24"/>
        </w:rPr>
      </w:pPr>
      <w:r>
        <w:rPr>
          <w:rFonts w:ascii="Times New Roman" w:hAnsi="Times New Roman" w:cs="Times New Roman"/>
          <w:b/>
          <w:bCs/>
          <w:kern w:val="0"/>
          <w:sz w:val="24"/>
          <w:szCs w:val="24"/>
        </w:rPr>
        <w:t>Table S</w:t>
      </w:r>
      <w:r>
        <w:rPr>
          <w:rFonts w:ascii="Times New Roman" w:hAnsi="Times New Roman" w:cs="Times New Roman" w:hint="eastAsia"/>
          <w:b/>
          <w:bCs/>
          <w:kern w:val="0"/>
          <w:sz w:val="24"/>
          <w:szCs w:val="24"/>
        </w:rPr>
        <w:t>4.</w:t>
      </w:r>
      <w:r>
        <w:rPr>
          <w:rFonts w:ascii="Times New Roman" w:hAnsi="Times New Roman" w:cs="Times New Roman"/>
          <w:b/>
          <w:bCs/>
          <w:kern w:val="0"/>
          <w:sz w:val="24"/>
          <w:szCs w:val="24"/>
        </w:rPr>
        <w:t xml:space="preserve"> </w:t>
      </w:r>
      <w:r>
        <w:rPr>
          <w:rFonts w:ascii="Times New Roman" w:eastAsia="宋体" w:hAnsi="Times New Roman" w:cs="Times New Roman"/>
          <w:sz w:val="24"/>
          <w:szCs w:val="24"/>
        </w:rPr>
        <w:t xml:space="preserve">The proportions of soil </w:t>
      </w:r>
      <w:r>
        <w:rPr>
          <w:rFonts w:ascii="Times New Roman" w:eastAsia="宋体" w:hAnsi="Times New Roman" w:cs="Times New Roman" w:hint="eastAsia"/>
          <w:sz w:val="24"/>
          <w:szCs w:val="24"/>
        </w:rPr>
        <w:t>macro-</w:t>
      </w:r>
      <w:r>
        <w:rPr>
          <w:rFonts w:ascii="Times New Roman" w:eastAsia="宋体" w:hAnsi="Times New Roman" w:cs="Times New Roman"/>
          <w:sz w:val="24"/>
          <w:szCs w:val="24"/>
        </w:rPr>
        <w:t>aggregates and micro-aggregates in different treatments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3118"/>
        <w:gridCol w:w="3047"/>
      </w:tblGrid>
      <w:tr w:rsidR="00CA2AF5" w14:paraId="2539B887" w14:textId="77777777">
        <w:trPr>
          <w:trHeight w:val="454"/>
        </w:trPr>
        <w:tc>
          <w:tcPr>
            <w:tcW w:w="2006" w:type="dxa"/>
            <w:tcBorders>
              <w:top w:val="single" w:sz="12" w:space="0" w:color="auto"/>
              <w:bottom w:val="single" w:sz="8" w:space="0" w:color="auto"/>
            </w:tcBorders>
            <w:vAlign w:val="center"/>
          </w:tcPr>
          <w:p w14:paraId="2E85AEEA" w14:textId="77777777" w:rsidR="00CA2AF5" w:rsidRDefault="00000000">
            <w:pPr>
              <w:jc w:val="center"/>
              <w:rPr>
                <w:rFonts w:ascii="Times New Roman" w:eastAsia="宋体" w:hAnsi="Times New Roman" w:cs="Times New Roman"/>
                <w:b/>
                <w:bCs/>
                <w:kern w:val="0"/>
                <w:sz w:val="24"/>
                <w:szCs w:val="24"/>
              </w:rPr>
            </w:pPr>
            <w:r>
              <w:rPr>
                <w:rFonts w:hint="eastAsia"/>
                <w:kern w:val="0"/>
                <w:sz w:val="20"/>
                <w:szCs w:val="20"/>
              </w:rPr>
              <w:br w:type="page"/>
            </w:r>
            <w:bookmarkStart w:id="12" w:name="_Hlk198368288"/>
            <w:bookmarkStart w:id="13" w:name="_Hlk198389466"/>
            <w:r>
              <w:rPr>
                <w:rFonts w:ascii="Times New Roman" w:eastAsia="宋体" w:hAnsi="Times New Roman" w:cs="Times New Roman" w:hint="eastAsia"/>
                <w:b/>
                <w:bCs/>
                <w:kern w:val="0"/>
                <w:sz w:val="24"/>
                <w:szCs w:val="24"/>
              </w:rPr>
              <w:t>Group</w:t>
            </w:r>
          </w:p>
        </w:tc>
        <w:tc>
          <w:tcPr>
            <w:tcW w:w="3118" w:type="dxa"/>
            <w:tcBorders>
              <w:top w:val="single" w:sz="12" w:space="0" w:color="auto"/>
              <w:bottom w:val="single" w:sz="8" w:space="0" w:color="auto"/>
            </w:tcBorders>
            <w:vAlign w:val="center"/>
          </w:tcPr>
          <w:p w14:paraId="59941036" w14:textId="6C334206" w:rsidR="00CA2AF5" w:rsidRDefault="00000000">
            <w:pPr>
              <w:jc w:val="center"/>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Macroaggregate (</w:t>
            </w:r>
            <w:r>
              <w:rPr>
                <w:rFonts w:ascii="Times New Roman" w:eastAsia="宋体" w:hAnsi="Times New Roman" w:cs="Times New Roman"/>
                <w:b/>
                <w:bCs/>
                <w:kern w:val="0"/>
                <w:sz w:val="24"/>
                <w:szCs w:val="24"/>
              </w:rPr>
              <w:t>%</w:t>
            </w:r>
            <w:r>
              <w:rPr>
                <w:rFonts w:ascii="Times New Roman" w:eastAsia="宋体" w:hAnsi="Times New Roman" w:cs="Times New Roman" w:hint="eastAsia"/>
                <w:b/>
                <w:bCs/>
                <w:kern w:val="0"/>
                <w:sz w:val="24"/>
                <w:szCs w:val="24"/>
              </w:rPr>
              <w:t>)</w:t>
            </w:r>
          </w:p>
        </w:tc>
        <w:tc>
          <w:tcPr>
            <w:tcW w:w="3047" w:type="dxa"/>
            <w:tcBorders>
              <w:top w:val="single" w:sz="12" w:space="0" w:color="auto"/>
              <w:bottom w:val="single" w:sz="8" w:space="0" w:color="auto"/>
            </w:tcBorders>
            <w:vAlign w:val="center"/>
          </w:tcPr>
          <w:p w14:paraId="203ED337" w14:textId="0767B6D2" w:rsidR="00CA2AF5" w:rsidRDefault="00000000">
            <w:pPr>
              <w:jc w:val="center"/>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Microaggregate (</w:t>
            </w:r>
            <w:r>
              <w:rPr>
                <w:rFonts w:ascii="Times New Roman" w:eastAsia="宋体" w:hAnsi="Times New Roman" w:cs="Times New Roman"/>
                <w:b/>
                <w:bCs/>
                <w:kern w:val="0"/>
                <w:sz w:val="24"/>
                <w:szCs w:val="24"/>
              </w:rPr>
              <w:t>%</w:t>
            </w:r>
            <w:r>
              <w:rPr>
                <w:rFonts w:ascii="Times New Roman" w:eastAsia="宋体" w:hAnsi="Times New Roman" w:cs="Times New Roman" w:hint="eastAsia"/>
                <w:b/>
                <w:bCs/>
                <w:kern w:val="0"/>
                <w:sz w:val="24"/>
                <w:szCs w:val="24"/>
              </w:rPr>
              <w:t>)</w:t>
            </w:r>
          </w:p>
        </w:tc>
      </w:tr>
      <w:tr w:rsidR="00CA2AF5" w14:paraId="06B8EB27" w14:textId="77777777">
        <w:trPr>
          <w:trHeight w:val="510"/>
        </w:trPr>
        <w:tc>
          <w:tcPr>
            <w:tcW w:w="2006" w:type="dxa"/>
            <w:tcBorders>
              <w:top w:val="single" w:sz="8" w:space="0" w:color="auto"/>
            </w:tcBorders>
            <w:vAlign w:val="center"/>
          </w:tcPr>
          <w:p w14:paraId="3268DAD3" w14:textId="30DD49D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No-Cd</w:t>
            </w:r>
          </w:p>
        </w:tc>
        <w:tc>
          <w:tcPr>
            <w:tcW w:w="3118" w:type="dxa"/>
            <w:tcBorders>
              <w:top w:val="single" w:sz="8" w:space="0" w:color="auto"/>
            </w:tcBorders>
            <w:vAlign w:val="center"/>
          </w:tcPr>
          <w:p w14:paraId="7B9FAAF0"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13.24 ± 3.04</w:t>
            </w:r>
            <w:r>
              <w:rPr>
                <w:rFonts w:ascii="Times New Roman" w:eastAsia="宋体" w:hAnsi="Times New Roman" w:cs="Times New Roman" w:hint="eastAsia"/>
                <w:kern w:val="0"/>
                <w:sz w:val="24"/>
                <w:szCs w:val="24"/>
              </w:rPr>
              <w:t xml:space="preserve"> c</w:t>
            </w:r>
          </w:p>
        </w:tc>
        <w:tc>
          <w:tcPr>
            <w:tcW w:w="3047" w:type="dxa"/>
            <w:tcBorders>
              <w:top w:val="single" w:sz="8" w:space="0" w:color="auto"/>
            </w:tcBorders>
            <w:vAlign w:val="center"/>
          </w:tcPr>
          <w:p w14:paraId="376DB4AC"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86.76 ± 3.04</w:t>
            </w:r>
            <w:r>
              <w:rPr>
                <w:rFonts w:ascii="Times New Roman" w:eastAsia="宋体" w:hAnsi="Times New Roman" w:cs="Times New Roman" w:hint="eastAsia"/>
                <w:kern w:val="0"/>
                <w:sz w:val="24"/>
                <w:szCs w:val="24"/>
              </w:rPr>
              <w:t xml:space="preserve"> a</w:t>
            </w:r>
          </w:p>
        </w:tc>
      </w:tr>
      <w:tr w:rsidR="00CA2AF5" w14:paraId="56E66F59" w14:textId="77777777">
        <w:trPr>
          <w:trHeight w:val="510"/>
        </w:trPr>
        <w:tc>
          <w:tcPr>
            <w:tcW w:w="2006" w:type="dxa"/>
            <w:vAlign w:val="center"/>
          </w:tcPr>
          <w:p w14:paraId="7F21E146"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Low-Cd</w:t>
            </w:r>
          </w:p>
        </w:tc>
        <w:tc>
          <w:tcPr>
            <w:tcW w:w="3118" w:type="dxa"/>
            <w:vAlign w:val="center"/>
          </w:tcPr>
          <w:p w14:paraId="51CC3DC7"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13.36 ± 1.21</w:t>
            </w:r>
            <w:r>
              <w:rPr>
                <w:rFonts w:ascii="Times New Roman" w:eastAsia="宋体" w:hAnsi="Times New Roman" w:cs="Times New Roman" w:hint="eastAsia"/>
                <w:kern w:val="0"/>
                <w:sz w:val="24"/>
                <w:szCs w:val="24"/>
              </w:rPr>
              <w:t xml:space="preserve"> c</w:t>
            </w:r>
          </w:p>
        </w:tc>
        <w:tc>
          <w:tcPr>
            <w:tcW w:w="3047" w:type="dxa"/>
            <w:vAlign w:val="center"/>
          </w:tcPr>
          <w:p w14:paraId="236AE52B"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86.64 ± 7.48</w:t>
            </w:r>
            <w:r>
              <w:rPr>
                <w:rFonts w:ascii="Times New Roman" w:eastAsia="宋体" w:hAnsi="Times New Roman" w:cs="Times New Roman" w:hint="eastAsia"/>
                <w:kern w:val="0"/>
                <w:sz w:val="24"/>
                <w:szCs w:val="24"/>
              </w:rPr>
              <w:t xml:space="preserve"> a</w:t>
            </w:r>
          </w:p>
        </w:tc>
      </w:tr>
      <w:tr w:rsidR="00CA2AF5" w14:paraId="20602B77" w14:textId="77777777">
        <w:trPr>
          <w:trHeight w:val="510"/>
        </w:trPr>
        <w:tc>
          <w:tcPr>
            <w:tcW w:w="2006" w:type="dxa"/>
            <w:vAlign w:val="center"/>
          </w:tcPr>
          <w:p w14:paraId="614A832B"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Medium-Cd</w:t>
            </w:r>
          </w:p>
        </w:tc>
        <w:tc>
          <w:tcPr>
            <w:tcW w:w="3118" w:type="dxa"/>
            <w:vAlign w:val="center"/>
          </w:tcPr>
          <w:p w14:paraId="029700A9"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12.10 ± 2.59</w:t>
            </w:r>
            <w:r>
              <w:rPr>
                <w:rFonts w:ascii="Times New Roman" w:eastAsia="宋体" w:hAnsi="Times New Roman" w:cs="Times New Roman" w:hint="eastAsia"/>
                <w:kern w:val="0"/>
                <w:sz w:val="24"/>
                <w:szCs w:val="24"/>
              </w:rPr>
              <w:t xml:space="preserve"> c</w:t>
            </w:r>
          </w:p>
        </w:tc>
        <w:tc>
          <w:tcPr>
            <w:tcW w:w="3047" w:type="dxa"/>
            <w:vAlign w:val="center"/>
          </w:tcPr>
          <w:p w14:paraId="7601066B"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87.90 ± 2.59</w:t>
            </w:r>
            <w:r>
              <w:rPr>
                <w:rFonts w:ascii="Times New Roman" w:eastAsia="宋体" w:hAnsi="Times New Roman" w:cs="Times New Roman" w:hint="eastAsia"/>
                <w:kern w:val="0"/>
                <w:sz w:val="24"/>
                <w:szCs w:val="24"/>
              </w:rPr>
              <w:t xml:space="preserve"> a</w:t>
            </w:r>
          </w:p>
        </w:tc>
      </w:tr>
      <w:tr w:rsidR="00CA2AF5" w14:paraId="6D58028A" w14:textId="77777777">
        <w:trPr>
          <w:trHeight w:val="510"/>
        </w:trPr>
        <w:tc>
          <w:tcPr>
            <w:tcW w:w="2006" w:type="dxa"/>
            <w:vAlign w:val="center"/>
          </w:tcPr>
          <w:p w14:paraId="247030B3"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High-Cd</w:t>
            </w:r>
          </w:p>
        </w:tc>
        <w:tc>
          <w:tcPr>
            <w:tcW w:w="3118" w:type="dxa"/>
            <w:vAlign w:val="center"/>
          </w:tcPr>
          <w:p w14:paraId="7F090CE7"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13.97 ± 4.38</w:t>
            </w:r>
            <w:r>
              <w:rPr>
                <w:rFonts w:ascii="Times New Roman" w:eastAsia="宋体" w:hAnsi="Times New Roman" w:cs="Times New Roman" w:hint="eastAsia"/>
                <w:kern w:val="0"/>
                <w:sz w:val="24"/>
                <w:szCs w:val="24"/>
              </w:rPr>
              <w:t xml:space="preserve"> c</w:t>
            </w:r>
          </w:p>
        </w:tc>
        <w:tc>
          <w:tcPr>
            <w:tcW w:w="3047" w:type="dxa"/>
            <w:vAlign w:val="center"/>
          </w:tcPr>
          <w:p w14:paraId="1940FDDF"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86.03 ± 4.38</w:t>
            </w:r>
            <w:r>
              <w:rPr>
                <w:rFonts w:ascii="Times New Roman" w:eastAsia="宋体" w:hAnsi="Times New Roman" w:cs="Times New Roman" w:hint="eastAsia"/>
                <w:kern w:val="0"/>
                <w:sz w:val="24"/>
                <w:szCs w:val="24"/>
              </w:rPr>
              <w:t xml:space="preserve"> a</w:t>
            </w:r>
          </w:p>
        </w:tc>
      </w:tr>
      <w:tr w:rsidR="00CA2AF5" w14:paraId="00DE3066" w14:textId="77777777">
        <w:trPr>
          <w:trHeight w:val="510"/>
        </w:trPr>
        <w:tc>
          <w:tcPr>
            <w:tcW w:w="2006" w:type="dxa"/>
            <w:vAlign w:val="center"/>
          </w:tcPr>
          <w:p w14:paraId="6466609E" w14:textId="346695BF" w:rsidR="00CA2AF5" w:rsidRDefault="00000000">
            <w:pPr>
              <w:jc w:val="center"/>
              <w:rPr>
                <w:rFonts w:ascii="Times New Roman" w:eastAsia="宋体" w:hAnsi="Times New Roman" w:cs="Times New Roman"/>
                <w:kern w:val="0"/>
                <w:sz w:val="24"/>
                <w:szCs w:val="24"/>
              </w:rPr>
            </w:pPr>
            <w:proofErr w:type="spellStart"/>
            <w:r>
              <w:rPr>
                <w:rFonts w:ascii="Times New Roman" w:hAnsi="Times New Roman" w:cs="Times New Roman" w:hint="eastAsia"/>
                <w:kern w:val="0"/>
                <w:sz w:val="24"/>
                <w:szCs w:val="24"/>
              </w:rPr>
              <w:t>BC</w:t>
            </w:r>
            <w:r>
              <w:rPr>
                <w:rFonts w:ascii="Times New Roman" w:eastAsia="宋体" w:hAnsi="Times New Roman" w:cs="Times New Roman"/>
                <w:kern w:val="0"/>
                <w:sz w:val="24"/>
                <w:szCs w:val="24"/>
              </w:rPr>
              <w:t>+No-Cd</w:t>
            </w:r>
            <w:proofErr w:type="spellEnd"/>
          </w:p>
        </w:tc>
        <w:tc>
          <w:tcPr>
            <w:tcW w:w="3118" w:type="dxa"/>
            <w:vAlign w:val="center"/>
          </w:tcPr>
          <w:p w14:paraId="46956A3C"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14.91 ± 1.92</w:t>
            </w:r>
            <w:r>
              <w:rPr>
                <w:rFonts w:ascii="Times New Roman" w:eastAsia="宋体" w:hAnsi="Times New Roman" w:cs="Times New Roman" w:hint="eastAsia"/>
                <w:kern w:val="0"/>
                <w:sz w:val="24"/>
                <w:szCs w:val="24"/>
              </w:rPr>
              <w:t xml:space="preserve"> c</w:t>
            </w:r>
          </w:p>
        </w:tc>
        <w:tc>
          <w:tcPr>
            <w:tcW w:w="3047" w:type="dxa"/>
            <w:vAlign w:val="center"/>
          </w:tcPr>
          <w:p w14:paraId="6D195BA8"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85.09 ± 1.92</w:t>
            </w:r>
            <w:r>
              <w:rPr>
                <w:rFonts w:ascii="Times New Roman" w:eastAsia="宋体" w:hAnsi="Times New Roman" w:cs="Times New Roman" w:hint="eastAsia"/>
                <w:kern w:val="0"/>
                <w:sz w:val="24"/>
                <w:szCs w:val="24"/>
              </w:rPr>
              <w:t xml:space="preserve"> a</w:t>
            </w:r>
          </w:p>
        </w:tc>
      </w:tr>
      <w:tr w:rsidR="00CA2AF5" w14:paraId="733ECFCB" w14:textId="77777777">
        <w:trPr>
          <w:trHeight w:val="510"/>
        </w:trPr>
        <w:tc>
          <w:tcPr>
            <w:tcW w:w="2006" w:type="dxa"/>
            <w:vAlign w:val="center"/>
          </w:tcPr>
          <w:p w14:paraId="66F36FFA" w14:textId="77777777" w:rsidR="00CA2AF5" w:rsidRDefault="00000000">
            <w:pPr>
              <w:jc w:val="center"/>
              <w:rPr>
                <w:rFonts w:ascii="Times New Roman" w:eastAsia="宋体" w:hAnsi="Times New Roman" w:cs="Times New Roman"/>
                <w:kern w:val="0"/>
                <w:sz w:val="24"/>
                <w:szCs w:val="24"/>
              </w:rPr>
            </w:pPr>
            <w:proofErr w:type="spellStart"/>
            <w:r>
              <w:rPr>
                <w:rFonts w:ascii="Times New Roman" w:hAnsi="Times New Roman" w:cs="Times New Roman" w:hint="eastAsia"/>
                <w:kern w:val="0"/>
                <w:sz w:val="24"/>
                <w:szCs w:val="24"/>
              </w:rPr>
              <w:t>BC</w:t>
            </w:r>
            <w:r>
              <w:rPr>
                <w:rFonts w:ascii="Times New Roman" w:eastAsia="宋体" w:hAnsi="Times New Roman" w:cs="Times New Roman"/>
                <w:kern w:val="0"/>
                <w:sz w:val="24"/>
                <w:szCs w:val="24"/>
              </w:rPr>
              <w:t>+Low-Cd</w:t>
            </w:r>
            <w:proofErr w:type="spellEnd"/>
          </w:p>
        </w:tc>
        <w:tc>
          <w:tcPr>
            <w:tcW w:w="3118" w:type="dxa"/>
            <w:vAlign w:val="center"/>
          </w:tcPr>
          <w:p w14:paraId="241BA922"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23.79 ± 3.60</w:t>
            </w:r>
            <w:r>
              <w:rPr>
                <w:rFonts w:ascii="Times New Roman" w:eastAsia="宋体" w:hAnsi="Times New Roman" w:cs="Times New Roman" w:hint="eastAsia"/>
                <w:kern w:val="0"/>
                <w:sz w:val="24"/>
                <w:szCs w:val="24"/>
              </w:rPr>
              <w:t xml:space="preserve"> b</w:t>
            </w:r>
          </w:p>
        </w:tc>
        <w:tc>
          <w:tcPr>
            <w:tcW w:w="3047" w:type="dxa"/>
            <w:vAlign w:val="center"/>
          </w:tcPr>
          <w:p w14:paraId="54343E17"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76.21 ± 3.60</w:t>
            </w:r>
            <w:r>
              <w:rPr>
                <w:rFonts w:ascii="Times New Roman" w:eastAsia="宋体" w:hAnsi="Times New Roman" w:cs="Times New Roman" w:hint="eastAsia"/>
                <w:kern w:val="0"/>
                <w:sz w:val="24"/>
                <w:szCs w:val="24"/>
              </w:rPr>
              <w:t xml:space="preserve"> b</w:t>
            </w:r>
          </w:p>
        </w:tc>
      </w:tr>
      <w:tr w:rsidR="00CA2AF5" w14:paraId="14E1EF7F" w14:textId="77777777">
        <w:trPr>
          <w:trHeight w:val="510"/>
        </w:trPr>
        <w:tc>
          <w:tcPr>
            <w:tcW w:w="2006" w:type="dxa"/>
            <w:vAlign w:val="center"/>
          </w:tcPr>
          <w:p w14:paraId="4BB69DF9" w14:textId="77777777" w:rsidR="00CA2AF5" w:rsidRDefault="00000000">
            <w:pPr>
              <w:jc w:val="center"/>
              <w:rPr>
                <w:rFonts w:ascii="Times New Roman" w:eastAsia="宋体" w:hAnsi="Times New Roman" w:cs="Times New Roman"/>
                <w:kern w:val="0"/>
                <w:sz w:val="24"/>
                <w:szCs w:val="24"/>
              </w:rPr>
            </w:pPr>
            <w:proofErr w:type="spellStart"/>
            <w:r>
              <w:rPr>
                <w:rFonts w:ascii="Times New Roman" w:hAnsi="Times New Roman" w:cs="Times New Roman" w:hint="eastAsia"/>
                <w:kern w:val="0"/>
                <w:sz w:val="24"/>
                <w:szCs w:val="24"/>
              </w:rPr>
              <w:t>BC</w:t>
            </w:r>
            <w:r>
              <w:rPr>
                <w:rFonts w:ascii="Times New Roman" w:eastAsia="宋体" w:hAnsi="Times New Roman" w:cs="Times New Roman"/>
                <w:kern w:val="0"/>
                <w:sz w:val="24"/>
                <w:szCs w:val="24"/>
              </w:rPr>
              <w:t>+Medium-Cd</w:t>
            </w:r>
            <w:proofErr w:type="spellEnd"/>
          </w:p>
        </w:tc>
        <w:tc>
          <w:tcPr>
            <w:tcW w:w="3118" w:type="dxa"/>
            <w:vAlign w:val="center"/>
          </w:tcPr>
          <w:p w14:paraId="37D743C8"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25.36 ± 1.97</w:t>
            </w:r>
            <w:r>
              <w:rPr>
                <w:rFonts w:ascii="Times New Roman" w:eastAsia="宋体" w:hAnsi="Times New Roman" w:cs="Times New Roman" w:hint="eastAsia"/>
                <w:kern w:val="0"/>
                <w:sz w:val="24"/>
                <w:szCs w:val="24"/>
              </w:rPr>
              <w:t xml:space="preserve"> ab</w:t>
            </w:r>
          </w:p>
        </w:tc>
        <w:tc>
          <w:tcPr>
            <w:tcW w:w="3047" w:type="dxa"/>
            <w:vAlign w:val="center"/>
          </w:tcPr>
          <w:p w14:paraId="58501FD4"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74.64 ± 1.97</w:t>
            </w:r>
            <w:r>
              <w:rPr>
                <w:rFonts w:ascii="Times New Roman" w:eastAsia="宋体" w:hAnsi="Times New Roman" w:cs="Times New Roman" w:hint="eastAsia"/>
                <w:kern w:val="0"/>
                <w:sz w:val="24"/>
                <w:szCs w:val="24"/>
              </w:rPr>
              <w:t xml:space="preserve"> </w:t>
            </w:r>
            <w:proofErr w:type="spellStart"/>
            <w:r>
              <w:rPr>
                <w:rFonts w:ascii="Times New Roman" w:eastAsia="宋体" w:hAnsi="Times New Roman" w:cs="Times New Roman" w:hint="eastAsia"/>
                <w:kern w:val="0"/>
                <w:sz w:val="24"/>
                <w:szCs w:val="24"/>
              </w:rPr>
              <w:t>bc</w:t>
            </w:r>
            <w:proofErr w:type="spellEnd"/>
          </w:p>
        </w:tc>
      </w:tr>
      <w:tr w:rsidR="00CA2AF5" w14:paraId="75D5ECA5" w14:textId="77777777">
        <w:trPr>
          <w:trHeight w:val="510"/>
        </w:trPr>
        <w:tc>
          <w:tcPr>
            <w:tcW w:w="2006" w:type="dxa"/>
            <w:tcBorders>
              <w:bottom w:val="single" w:sz="12" w:space="0" w:color="auto"/>
            </w:tcBorders>
            <w:vAlign w:val="center"/>
          </w:tcPr>
          <w:p w14:paraId="3AAD88B2" w14:textId="77777777" w:rsidR="00CA2AF5" w:rsidRDefault="00000000">
            <w:pPr>
              <w:jc w:val="center"/>
              <w:rPr>
                <w:rFonts w:ascii="Times New Roman" w:eastAsia="宋体" w:hAnsi="Times New Roman" w:cs="Times New Roman"/>
                <w:kern w:val="0"/>
                <w:sz w:val="24"/>
                <w:szCs w:val="24"/>
              </w:rPr>
            </w:pPr>
            <w:proofErr w:type="spellStart"/>
            <w:r>
              <w:rPr>
                <w:rFonts w:ascii="Times New Roman" w:hAnsi="Times New Roman" w:cs="Times New Roman" w:hint="eastAsia"/>
                <w:kern w:val="0"/>
                <w:sz w:val="24"/>
                <w:szCs w:val="24"/>
              </w:rPr>
              <w:t>BC</w:t>
            </w:r>
            <w:r>
              <w:rPr>
                <w:rFonts w:ascii="Times New Roman" w:eastAsia="宋体" w:hAnsi="Times New Roman" w:cs="Times New Roman"/>
                <w:kern w:val="0"/>
                <w:sz w:val="24"/>
                <w:szCs w:val="24"/>
              </w:rPr>
              <w:t>+High-Cd</w:t>
            </w:r>
            <w:proofErr w:type="spellEnd"/>
          </w:p>
        </w:tc>
        <w:tc>
          <w:tcPr>
            <w:tcW w:w="3118" w:type="dxa"/>
            <w:tcBorders>
              <w:bottom w:val="single" w:sz="12" w:space="0" w:color="auto"/>
            </w:tcBorders>
            <w:vAlign w:val="center"/>
          </w:tcPr>
          <w:p w14:paraId="2E61D8ED"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30.93 ± 0.91</w:t>
            </w:r>
            <w:r>
              <w:rPr>
                <w:rFonts w:ascii="Times New Roman" w:eastAsia="宋体" w:hAnsi="Times New Roman" w:cs="Times New Roman" w:hint="eastAsia"/>
                <w:kern w:val="0"/>
                <w:sz w:val="24"/>
                <w:szCs w:val="24"/>
              </w:rPr>
              <w:t xml:space="preserve"> a</w:t>
            </w:r>
          </w:p>
        </w:tc>
        <w:tc>
          <w:tcPr>
            <w:tcW w:w="3047" w:type="dxa"/>
            <w:tcBorders>
              <w:bottom w:val="single" w:sz="12" w:space="0" w:color="auto"/>
            </w:tcBorders>
            <w:vAlign w:val="center"/>
          </w:tcPr>
          <w:p w14:paraId="7ACBC1C7" w14:textId="77777777" w:rsidR="00CA2AF5" w:rsidRDefault="00000000">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69.07 ± 0.91</w:t>
            </w:r>
            <w:r>
              <w:rPr>
                <w:rFonts w:ascii="Times New Roman" w:eastAsia="宋体" w:hAnsi="Times New Roman" w:cs="Times New Roman" w:hint="eastAsia"/>
                <w:kern w:val="0"/>
                <w:sz w:val="24"/>
                <w:szCs w:val="24"/>
              </w:rPr>
              <w:t xml:space="preserve"> c</w:t>
            </w:r>
          </w:p>
        </w:tc>
      </w:tr>
    </w:tbl>
    <w:bookmarkEnd w:id="12"/>
    <w:p w14:paraId="6C213E96" w14:textId="02B6B745" w:rsidR="00CA2AF5" w:rsidRDefault="00000000">
      <w:pPr>
        <w:rPr>
          <w:rFonts w:ascii="Times New Roman" w:eastAsia="宋体" w:hAnsi="Times New Roman" w:cs="Times New Roman"/>
          <w:sz w:val="18"/>
          <w:szCs w:val="20"/>
        </w:rPr>
      </w:pPr>
      <w:r>
        <w:rPr>
          <w:rFonts w:ascii="Times New Roman" w:eastAsia="宋体" w:hAnsi="Times New Roman" w:cs="Times New Roman" w:hint="eastAsia"/>
          <w:sz w:val="18"/>
          <w:szCs w:val="20"/>
        </w:rPr>
        <w:t xml:space="preserve">Note: The data in the table are the mean </w:t>
      </w:r>
      <w:r w:rsidRPr="00C15465">
        <w:rPr>
          <w:rFonts w:ascii="Times New Roman" w:eastAsia="Segoe UI" w:hAnsi="Times New Roman" w:cs="Times New Roman"/>
          <w:color w:val="0F1115"/>
          <w:sz w:val="18"/>
          <w:szCs w:val="18"/>
          <w:shd w:val="clear" w:color="auto" w:fill="FFFFFF"/>
        </w:rPr>
        <w:t>±</w:t>
      </w:r>
      <w:r>
        <w:rPr>
          <w:rFonts w:ascii="Times New Roman" w:eastAsia="宋体" w:hAnsi="Times New Roman" w:cs="Times New Roman" w:hint="eastAsia"/>
          <w:sz w:val="18"/>
          <w:szCs w:val="20"/>
        </w:rPr>
        <w:t xml:space="preserve"> standard deviation (</w:t>
      </w:r>
      <w:r>
        <w:rPr>
          <w:rFonts w:ascii="Times New Roman" w:eastAsia="宋体" w:hAnsi="Times New Roman" w:cs="Times New Roman" w:hint="eastAsia"/>
          <w:i/>
          <w:iCs/>
          <w:sz w:val="18"/>
          <w:szCs w:val="20"/>
        </w:rPr>
        <w:t xml:space="preserve">n </w:t>
      </w:r>
      <w:r>
        <w:rPr>
          <w:rFonts w:ascii="Times New Roman" w:eastAsia="宋体" w:hAnsi="Times New Roman" w:cs="Times New Roman" w:hint="eastAsia"/>
          <w:sz w:val="18"/>
          <w:szCs w:val="20"/>
        </w:rPr>
        <w:t>= 3). Different lowercase letters indicate significant differences among the treatment groups in the same column (</w:t>
      </w:r>
      <w:r>
        <w:rPr>
          <w:rFonts w:ascii="Times New Roman" w:eastAsia="宋体" w:hAnsi="Times New Roman" w:cs="Times New Roman" w:hint="eastAsia"/>
          <w:i/>
          <w:iCs/>
          <w:sz w:val="18"/>
          <w:szCs w:val="20"/>
        </w:rPr>
        <w:t>p</w:t>
      </w:r>
      <w:r>
        <w:rPr>
          <w:rFonts w:ascii="Times New Roman" w:eastAsia="宋体" w:hAnsi="Times New Roman" w:cs="Times New Roman" w:hint="eastAsia"/>
          <w:sz w:val="18"/>
          <w:szCs w:val="20"/>
        </w:rPr>
        <w:t xml:space="preserve"> &lt; 0.05). No-Cd, Low-Cd, Medium-Cd, and High-Cd represent the soils without Cd addition, with low Cd addition, with medium Cd addition, and with high Cd addition, respectively. </w:t>
      </w:r>
      <w:proofErr w:type="spellStart"/>
      <w:r>
        <w:rPr>
          <w:rFonts w:ascii="Times New Roman" w:eastAsia="宋体" w:hAnsi="Times New Roman" w:cs="Times New Roman" w:hint="eastAsia"/>
          <w:sz w:val="18"/>
          <w:szCs w:val="20"/>
        </w:rPr>
        <w:t>BC+No-Cd</w:t>
      </w:r>
      <w:proofErr w:type="spellEnd"/>
      <w:r>
        <w:rPr>
          <w:rFonts w:ascii="Times New Roman" w:eastAsia="宋体" w:hAnsi="Times New Roman" w:cs="Times New Roman" w:hint="eastAsia"/>
          <w:sz w:val="18"/>
          <w:szCs w:val="20"/>
        </w:rPr>
        <w:t xml:space="preserve">, </w:t>
      </w:r>
      <w:proofErr w:type="spellStart"/>
      <w:r>
        <w:rPr>
          <w:rFonts w:ascii="Times New Roman" w:eastAsia="宋体" w:hAnsi="Times New Roman" w:cs="Times New Roman" w:hint="eastAsia"/>
          <w:sz w:val="18"/>
          <w:szCs w:val="20"/>
        </w:rPr>
        <w:t>BC+Low-Cd</w:t>
      </w:r>
      <w:proofErr w:type="spellEnd"/>
      <w:r>
        <w:rPr>
          <w:rFonts w:ascii="Times New Roman" w:eastAsia="宋体" w:hAnsi="Times New Roman" w:cs="Times New Roman" w:hint="eastAsia"/>
          <w:sz w:val="18"/>
          <w:szCs w:val="20"/>
        </w:rPr>
        <w:t xml:space="preserve">, </w:t>
      </w:r>
      <w:proofErr w:type="spellStart"/>
      <w:r>
        <w:rPr>
          <w:rFonts w:ascii="Times New Roman" w:eastAsia="宋体" w:hAnsi="Times New Roman" w:cs="Times New Roman" w:hint="eastAsia"/>
          <w:sz w:val="18"/>
          <w:szCs w:val="20"/>
        </w:rPr>
        <w:t>BC+Medium-Cd</w:t>
      </w:r>
      <w:proofErr w:type="spellEnd"/>
      <w:r>
        <w:rPr>
          <w:rFonts w:ascii="Times New Roman" w:eastAsia="宋体" w:hAnsi="Times New Roman" w:cs="Times New Roman" w:hint="eastAsia"/>
          <w:sz w:val="18"/>
          <w:szCs w:val="20"/>
        </w:rPr>
        <w:t xml:space="preserve">, </w:t>
      </w:r>
      <w:proofErr w:type="spellStart"/>
      <w:r>
        <w:rPr>
          <w:rFonts w:ascii="Times New Roman" w:eastAsia="宋体" w:hAnsi="Times New Roman" w:cs="Times New Roman" w:hint="eastAsia"/>
          <w:sz w:val="18"/>
          <w:szCs w:val="20"/>
        </w:rPr>
        <w:t>BC+High-Cd</w:t>
      </w:r>
      <w:proofErr w:type="spellEnd"/>
      <w:r>
        <w:rPr>
          <w:rFonts w:ascii="Times New Roman" w:eastAsia="宋体" w:hAnsi="Times New Roman" w:cs="Times New Roman" w:hint="eastAsia"/>
          <w:sz w:val="18"/>
          <w:szCs w:val="20"/>
        </w:rPr>
        <w:t xml:space="preserve"> represent the soils amended with biochar without Cd addition, with low Cd addition, with medium Cd addition, and with high Cd addition, respectively.</w:t>
      </w:r>
    </w:p>
    <w:p w14:paraId="013875D1" w14:textId="77777777" w:rsidR="00CA2AF5" w:rsidRDefault="00CA2AF5">
      <w:pPr>
        <w:rPr>
          <w:rFonts w:ascii="Times New Roman" w:eastAsia="宋体" w:hAnsi="Times New Roman" w:cs="Times New Roman"/>
          <w:sz w:val="18"/>
          <w:szCs w:val="20"/>
        </w:rPr>
        <w:sectPr w:rsidR="00CA2AF5">
          <w:pgSz w:w="11906" w:h="16838"/>
          <w:pgMar w:top="1440" w:right="1797" w:bottom="1440" w:left="1797" w:header="851" w:footer="992" w:gutter="0"/>
          <w:lnNumType w:countBy="1" w:restart="continuous"/>
          <w:cols w:space="425"/>
          <w:docGrid w:type="linesAndChars" w:linePitch="312"/>
        </w:sectPr>
      </w:pPr>
    </w:p>
    <w:bookmarkEnd w:id="13"/>
    <w:p w14:paraId="5B378E5F" w14:textId="77777777" w:rsidR="00CA2AF5" w:rsidRDefault="00CA2AF5">
      <w:pPr>
        <w:rPr>
          <w:rFonts w:ascii="Times New Roman" w:eastAsia="宋体" w:hAnsi="Times New Roman" w:cs="Times New Roman"/>
          <w:sz w:val="24"/>
          <w:szCs w:val="24"/>
        </w:rPr>
      </w:pPr>
    </w:p>
    <w:tbl>
      <w:tblPr>
        <w:tblpPr w:leftFromText="180" w:rightFromText="180" w:vertAnchor="page" w:horzAnchor="margin" w:tblpY="1934"/>
        <w:tblW w:w="5000" w:type="pct"/>
        <w:tblLook w:val="04A0" w:firstRow="1" w:lastRow="0" w:firstColumn="1" w:lastColumn="0" w:noHBand="0" w:noVBand="1"/>
      </w:tblPr>
      <w:tblGrid>
        <w:gridCol w:w="3682"/>
        <w:gridCol w:w="4630"/>
      </w:tblGrid>
      <w:tr w:rsidR="00CA2AF5" w14:paraId="11E33A94" w14:textId="77777777">
        <w:trPr>
          <w:trHeight w:val="480"/>
        </w:trPr>
        <w:tc>
          <w:tcPr>
            <w:tcW w:w="5000" w:type="pct"/>
            <w:gridSpan w:val="2"/>
            <w:tcBorders>
              <w:left w:val="nil"/>
              <w:bottom w:val="single" w:sz="8" w:space="0" w:color="auto"/>
              <w:right w:val="nil"/>
            </w:tcBorders>
            <w:vAlign w:val="center"/>
          </w:tcPr>
          <w:p w14:paraId="458B73B8" w14:textId="77777777" w:rsidR="00CA2AF5" w:rsidRDefault="00000000">
            <w:pPr>
              <w:widowControl/>
              <w:rPr>
                <w:rFonts w:ascii="Times New Roman" w:eastAsia="宋体" w:hAnsi="Times New Roman" w:cs="Times New Roman"/>
                <w:b/>
                <w:bCs/>
                <w:color w:val="000000"/>
                <w:kern w:val="0"/>
                <w:sz w:val="24"/>
                <w:szCs w:val="24"/>
                <w14:ligatures w14:val="none"/>
              </w:rPr>
            </w:pPr>
            <w:r>
              <w:rPr>
                <w:rFonts w:ascii="Times New Roman" w:hAnsi="Times New Roman" w:cs="Times New Roman"/>
                <w:b/>
                <w:bCs/>
                <w:kern w:val="0"/>
                <w:sz w:val="24"/>
                <w:szCs w:val="24"/>
              </w:rPr>
              <w:t>Table S</w:t>
            </w:r>
            <w:r>
              <w:rPr>
                <w:rFonts w:ascii="Times New Roman" w:hAnsi="Times New Roman" w:cs="Times New Roman" w:hint="eastAsia"/>
                <w:b/>
                <w:bCs/>
                <w:kern w:val="0"/>
                <w:sz w:val="24"/>
                <w:szCs w:val="24"/>
              </w:rPr>
              <w:t>5.</w:t>
            </w:r>
            <w:r>
              <w:rPr>
                <w:rFonts w:ascii="Times New Roman" w:hAnsi="Times New Roman" w:cs="Times New Roman"/>
                <w:b/>
                <w:bCs/>
                <w:kern w:val="0"/>
                <w:sz w:val="24"/>
                <w:szCs w:val="24"/>
              </w:rPr>
              <w:t xml:space="preserve"> </w:t>
            </w:r>
            <w:r>
              <w:rPr>
                <w:rFonts w:ascii="Times New Roman" w:eastAsia="宋体" w:hAnsi="Times New Roman" w:cs="Times New Roman"/>
                <w:sz w:val="24"/>
                <w:szCs w:val="24"/>
              </w:rPr>
              <w:t xml:space="preserve">The </w:t>
            </w:r>
            <w:r>
              <w:rPr>
                <w:rFonts w:ascii="Times New Roman" w:eastAsia="宋体" w:hAnsi="Times New Roman" w:cs="Times New Roman" w:hint="eastAsia"/>
                <w:sz w:val="24"/>
                <w:szCs w:val="24"/>
              </w:rPr>
              <w:t>contents of microbial biomass carbon in bulk soils of</w:t>
            </w:r>
            <w:r>
              <w:rPr>
                <w:rFonts w:ascii="Times New Roman" w:eastAsia="宋体" w:hAnsi="Times New Roman" w:cs="Times New Roman"/>
                <w:sz w:val="24"/>
                <w:szCs w:val="24"/>
              </w:rPr>
              <w:t xml:space="preserve"> different treatments</w:t>
            </w:r>
          </w:p>
        </w:tc>
      </w:tr>
      <w:tr w:rsidR="00CA2AF5" w14:paraId="7F405977" w14:textId="77777777">
        <w:trPr>
          <w:trHeight w:val="480"/>
        </w:trPr>
        <w:tc>
          <w:tcPr>
            <w:tcW w:w="2215" w:type="pct"/>
            <w:tcBorders>
              <w:top w:val="single" w:sz="12" w:space="0" w:color="auto"/>
              <w:left w:val="nil"/>
              <w:bottom w:val="single" w:sz="8" w:space="0" w:color="auto"/>
              <w:right w:val="nil"/>
            </w:tcBorders>
            <w:vAlign w:val="center"/>
          </w:tcPr>
          <w:p w14:paraId="03F10E4B" w14:textId="77777777" w:rsidR="00CA2AF5" w:rsidRDefault="00000000">
            <w:pPr>
              <w:widowControl/>
              <w:jc w:val="center"/>
              <w:rPr>
                <w:rFonts w:ascii="Times New Roman" w:eastAsia="宋体" w:hAnsi="Times New Roman" w:cs="Times New Roman"/>
                <w:b/>
                <w:bCs/>
                <w:color w:val="000000"/>
                <w:kern w:val="0"/>
                <w:sz w:val="24"/>
                <w:szCs w:val="24"/>
                <w14:ligatures w14:val="none"/>
              </w:rPr>
            </w:pPr>
            <w:bookmarkStart w:id="14" w:name="RANGE!F15"/>
            <w:r>
              <w:rPr>
                <w:rFonts w:ascii="Times New Roman" w:eastAsia="宋体" w:hAnsi="Times New Roman" w:cs="Times New Roman"/>
                <w:b/>
                <w:bCs/>
                <w:color w:val="000000"/>
                <w:kern w:val="0"/>
                <w:sz w:val="24"/>
                <w:szCs w:val="24"/>
                <w14:ligatures w14:val="none"/>
              </w:rPr>
              <w:t>Group</w:t>
            </w:r>
            <w:bookmarkEnd w:id="14"/>
          </w:p>
        </w:tc>
        <w:tc>
          <w:tcPr>
            <w:tcW w:w="2785" w:type="pct"/>
            <w:tcBorders>
              <w:top w:val="single" w:sz="12" w:space="0" w:color="auto"/>
              <w:left w:val="nil"/>
              <w:bottom w:val="single" w:sz="8" w:space="0" w:color="auto"/>
              <w:right w:val="nil"/>
            </w:tcBorders>
            <w:vAlign w:val="center"/>
          </w:tcPr>
          <w:p w14:paraId="51BDF3D7" w14:textId="36A1961A" w:rsidR="00CA2AF5" w:rsidRDefault="00000000">
            <w:pPr>
              <w:widowControl/>
              <w:jc w:val="center"/>
              <w:rPr>
                <w:rFonts w:ascii="Times New Roman" w:eastAsia="宋体" w:hAnsi="Times New Roman" w:cs="Times New Roman"/>
                <w:b/>
                <w:bCs/>
                <w:color w:val="000000"/>
                <w:kern w:val="0"/>
                <w:sz w:val="24"/>
                <w:szCs w:val="24"/>
                <w14:ligatures w14:val="none"/>
              </w:rPr>
            </w:pPr>
            <w:r>
              <w:rPr>
                <w:rFonts w:ascii="Times New Roman" w:eastAsia="宋体" w:hAnsi="Times New Roman" w:cs="Times New Roman"/>
                <w:b/>
                <w:bCs/>
                <w:color w:val="000000"/>
                <w:kern w:val="0"/>
                <w:sz w:val="24"/>
                <w:szCs w:val="24"/>
                <w14:ligatures w14:val="none"/>
              </w:rPr>
              <w:t>MBC content (mg</w:t>
            </w:r>
            <w:r>
              <w:rPr>
                <w:rFonts w:ascii="Times New Roman" w:eastAsia="宋体" w:hAnsi="Times New Roman" w:cs="Times New Roman" w:hint="eastAsia"/>
                <w:b/>
                <w:bCs/>
                <w:color w:val="000000"/>
                <w:kern w:val="0"/>
                <w:sz w:val="24"/>
                <w:szCs w:val="24"/>
                <w14:ligatures w14:val="none"/>
              </w:rPr>
              <w:t xml:space="preserve"> </w:t>
            </w:r>
            <w:r>
              <w:rPr>
                <w:rFonts w:ascii="Times New Roman" w:eastAsia="宋体" w:hAnsi="Times New Roman" w:cs="Times New Roman"/>
                <w:b/>
                <w:bCs/>
                <w:color w:val="000000"/>
                <w:kern w:val="0"/>
                <w:sz w:val="24"/>
                <w:szCs w:val="24"/>
                <w14:ligatures w14:val="none"/>
              </w:rPr>
              <w:t>kg</w:t>
            </w:r>
            <w:r w:rsidRPr="00C15465">
              <w:rPr>
                <w:rFonts w:ascii="Times New Roman" w:hAnsi="Times New Roman" w:cs="Times New Roman"/>
                <w:b/>
                <w:bCs/>
                <w:sz w:val="24"/>
                <w:szCs w:val="24"/>
                <w:vertAlign w:val="superscript"/>
              </w:rPr>
              <w:t>−</w:t>
            </w:r>
            <w:r>
              <w:rPr>
                <w:rFonts w:ascii="Times New Roman" w:eastAsia="宋体" w:hAnsi="Times New Roman" w:cs="Times New Roman"/>
                <w:b/>
                <w:bCs/>
                <w:color w:val="000000"/>
                <w:kern w:val="0"/>
                <w:sz w:val="24"/>
                <w:szCs w:val="24"/>
                <w:vertAlign w:val="superscript"/>
                <w14:ligatures w14:val="none"/>
              </w:rPr>
              <w:t>1</w:t>
            </w:r>
            <w:r>
              <w:rPr>
                <w:rFonts w:ascii="Times New Roman" w:eastAsia="宋体" w:hAnsi="Times New Roman" w:cs="Times New Roman"/>
                <w:b/>
                <w:bCs/>
                <w:color w:val="000000"/>
                <w:kern w:val="0"/>
                <w:sz w:val="24"/>
                <w:szCs w:val="24"/>
                <w14:ligatures w14:val="none"/>
              </w:rPr>
              <w:t>)</w:t>
            </w:r>
          </w:p>
        </w:tc>
      </w:tr>
      <w:tr w:rsidR="00CA2AF5" w14:paraId="567B199E" w14:textId="77777777">
        <w:trPr>
          <w:trHeight w:val="492"/>
        </w:trPr>
        <w:tc>
          <w:tcPr>
            <w:tcW w:w="2215" w:type="pct"/>
            <w:tcBorders>
              <w:top w:val="nil"/>
              <w:left w:val="nil"/>
              <w:bottom w:val="nil"/>
              <w:right w:val="nil"/>
            </w:tcBorders>
            <w:vAlign w:val="center"/>
          </w:tcPr>
          <w:p w14:paraId="62B52CAE" w14:textId="70083A96" w:rsidR="00CA2AF5" w:rsidRDefault="00000000">
            <w:pPr>
              <w:widowControl/>
              <w:jc w:val="center"/>
              <w:rPr>
                <w:rFonts w:ascii="Times New Roman" w:eastAsia="宋体" w:hAnsi="Times New Roman" w:cs="Times New Roman"/>
                <w:color w:val="000000"/>
                <w:kern w:val="0"/>
                <w:sz w:val="24"/>
                <w:szCs w:val="24"/>
                <w14:ligatures w14:val="none"/>
              </w:rPr>
            </w:pPr>
            <w:r>
              <w:rPr>
                <w:rFonts w:ascii="Times New Roman" w:eastAsia="宋体" w:hAnsi="Times New Roman" w:cs="Times New Roman"/>
                <w:color w:val="000000"/>
                <w:kern w:val="0"/>
                <w:sz w:val="24"/>
                <w:szCs w:val="24"/>
                <w14:ligatures w14:val="none"/>
              </w:rPr>
              <w:t>No-Cd</w:t>
            </w:r>
          </w:p>
        </w:tc>
        <w:tc>
          <w:tcPr>
            <w:tcW w:w="2785" w:type="pct"/>
            <w:tcBorders>
              <w:top w:val="nil"/>
              <w:left w:val="nil"/>
              <w:bottom w:val="nil"/>
              <w:right w:val="nil"/>
            </w:tcBorders>
            <w:vAlign w:val="center"/>
          </w:tcPr>
          <w:p w14:paraId="5B7FF231" w14:textId="77777777" w:rsidR="00CA2AF5" w:rsidRDefault="00000000">
            <w:pPr>
              <w:widowControl/>
              <w:jc w:val="center"/>
              <w:rPr>
                <w:rFonts w:ascii="Times New Roman" w:eastAsia="宋体" w:hAnsi="Times New Roman" w:cs="Times New Roman"/>
                <w:color w:val="000000"/>
                <w:kern w:val="0"/>
                <w:sz w:val="24"/>
                <w:szCs w:val="24"/>
                <w14:ligatures w14:val="none"/>
              </w:rPr>
            </w:pPr>
            <w:r>
              <w:rPr>
                <w:rFonts w:ascii="Times New Roman" w:eastAsia="宋体" w:hAnsi="Times New Roman" w:cs="Times New Roman"/>
                <w:color w:val="000000"/>
                <w:kern w:val="0"/>
                <w:sz w:val="24"/>
                <w:szCs w:val="24"/>
                <w14:ligatures w14:val="none"/>
              </w:rPr>
              <w:t>141.77 ± 36.42 a</w:t>
            </w:r>
          </w:p>
        </w:tc>
      </w:tr>
      <w:tr w:rsidR="00CA2AF5" w14:paraId="534C7054" w14:textId="77777777">
        <w:trPr>
          <w:trHeight w:val="516"/>
        </w:trPr>
        <w:tc>
          <w:tcPr>
            <w:tcW w:w="2215" w:type="pct"/>
            <w:tcBorders>
              <w:top w:val="nil"/>
              <w:left w:val="nil"/>
              <w:bottom w:val="nil"/>
              <w:right w:val="nil"/>
            </w:tcBorders>
            <w:vAlign w:val="center"/>
          </w:tcPr>
          <w:p w14:paraId="4B9297BE" w14:textId="77777777" w:rsidR="00CA2AF5" w:rsidRDefault="00000000">
            <w:pPr>
              <w:widowControl/>
              <w:jc w:val="center"/>
              <w:rPr>
                <w:rFonts w:ascii="Times New Roman" w:eastAsia="宋体" w:hAnsi="Times New Roman" w:cs="Times New Roman"/>
                <w:color w:val="000000"/>
                <w:kern w:val="0"/>
                <w:sz w:val="24"/>
                <w:szCs w:val="24"/>
                <w14:ligatures w14:val="none"/>
              </w:rPr>
            </w:pPr>
            <w:r>
              <w:rPr>
                <w:rFonts w:ascii="Times New Roman" w:eastAsia="宋体" w:hAnsi="Times New Roman" w:cs="Times New Roman"/>
                <w:color w:val="000000"/>
                <w:kern w:val="0"/>
                <w:sz w:val="24"/>
                <w:szCs w:val="24"/>
                <w14:ligatures w14:val="none"/>
              </w:rPr>
              <w:t>Low-Cd</w:t>
            </w:r>
          </w:p>
        </w:tc>
        <w:tc>
          <w:tcPr>
            <w:tcW w:w="2785" w:type="pct"/>
            <w:tcBorders>
              <w:top w:val="nil"/>
              <w:left w:val="nil"/>
              <w:bottom w:val="nil"/>
              <w:right w:val="nil"/>
            </w:tcBorders>
            <w:vAlign w:val="center"/>
          </w:tcPr>
          <w:p w14:paraId="51D42997" w14:textId="77777777" w:rsidR="00CA2AF5" w:rsidRDefault="00000000">
            <w:pPr>
              <w:widowControl/>
              <w:jc w:val="center"/>
              <w:rPr>
                <w:rFonts w:ascii="Times New Roman" w:eastAsia="宋体" w:hAnsi="Times New Roman" w:cs="Times New Roman"/>
                <w:color w:val="000000"/>
                <w:kern w:val="0"/>
                <w:sz w:val="24"/>
                <w:szCs w:val="24"/>
                <w14:ligatures w14:val="none"/>
              </w:rPr>
            </w:pPr>
            <w:r>
              <w:rPr>
                <w:rFonts w:ascii="Times New Roman" w:eastAsia="宋体" w:hAnsi="Times New Roman" w:cs="Times New Roman"/>
                <w:color w:val="000000"/>
                <w:kern w:val="0"/>
                <w:sz w:val="24"/>
                <w:szCs w:val="24"/>
                <w14:ligatures w14:val="none"/>
              </w:rPr>
              <w:t>150.21 ± 22.60 a</w:t>
            </w:r>
          </w:p>
        </w:tc>
      </w:tr>
      <w:tr w:rsidR="00CA2AF5" w14:paraId="3551B718" w14:textId="77777777">
        <w:trPr>
          <w:trHeight w:val="480"/>
        </w:trPr>
        <w:tc>
          <w:tcPr>
            <w:tcW w:w="2215" w:type="pct"/>
            <w:tcBorders>
              <w:top w:val="nil"/>
              <w:left w:val="nil"/>
              <w:bottom w:val="nil"/>
              <w:right w:val="nil"/>
            </w:tcBorders>
            <w:vAlign w:val="center"/>
          </w:tcPr>
          <w:p w14:paraId="367E24A0" w14:textId="77777777" w:rsidR="00CA2AF5" w:rsidRDefault="00000000">
            <w:pPr>
              <w:widowControl/>
              <w:jc w:val="center"/>
              <w:rPr>
                <w:rFonts w:ascii="Times New Roman" w:eastAsia="宋体" w:hAnsi="Times New Roman" w:cs="Times New Roman"/>
                <w:color w:val="000000"/>
                <w:kern w:val="0"/>
                <w:sz w:val="24"/>
                <w:szCs w:val="24"/>
                <w14:ligatures w14:val="none"/>
              </w:rPr>
            </w:pPr>
            <w:r>
              <w:rPr>
                <w:rFonts w:ascii="Times New Roman" w:eastAsia="宋体" w:hAnsi="Times New Roman" w:cs="Times New Roman"/>
                <w:color w:val="000000"/>
                <w:kern w:val="0"/>
                <w:sz w:val="24"/>
                <w:szCs w:val="24"/>
                <w14:ligatures w14:val="none"/>
              </w:rPr>
              <w:t>Medium-Cd</w:t>
            </w:r>
          </w:p>
        </w:tc>
        <w:tc>
          <w:tcPr>
            <w:tcW w:w="2785" w:type="pct"/>
            <w:tcBorders>
              <w:top w:val="nil"/>
              <w:left w:val="nil"/>
              <w:bottom w:val="nil"/>
              <w:right w:val="nil"/>
            </w:tcBorders>
            <w:vAlign w:val="center"/>
          </w:tcPr>
          <w:p w14:paraId="204FED5C" w14:textId="77777777" w:rsidR="00CA2AF5" w:rsidRDefault="00000000">
            <w:pPr>
              <w:widowControl/>
              <w:jc w:val="center"/>
              <w:rPr>
                <w:rFonts w:ascii="Times New Roman" w:eastAsia="宋体" w:hAnsi="Times New Roman" w:cs="Times New Roman"/>
                <w:color w:val="000000"/>
                <w:kern w:val="0"/>
                <w:sz w:val="24"/>
                <w:szCs w:val="24"/>
                <w14:ligatures w14:val="none"/>
              </w:rPr>
            </w:pPr>
            <w:r>
              <w:rPr>
                <w:rFonts w:ascii="Times New Roman" w:eastAsia="宋体" w:hAnsi="Times New Roman" w:cs="Times New Roman"/>
                <w:color w:val="000000"/>
                <w:kern w:val="0"/>
                <w:sz w:val="24"/>
                <w:szCs w:val="24"/>
                <w14:ligatures w14:val="none"/>
              </w:rPr>
              <w:t>138.36 ± 41.97 a</w:t>
            </w:r>
          </w:p>
        </w:tc>
      </w:tr>
      <w:tr w:rsidR="00CA2AF5" w14:paraId="2781A2EB" w14:textId="77777777">
        <w:trPr>
          <w:trHeight w:val="444"/>
        </w:trPr>
        <w:tc>
          <w:tcPr>
            <w:tcW w:w="2215" w:type="pct"/>
            <w:tcBorders>
              <w:top w:val="nil"/>
              <w:left w:val="nil"/>
              <w:bottom w:val="single" w:sz="12" w:space="0" w:color="auto"/>
              <w:right w:val="nil"/>
            </w:tcBorders>
            <w:vAlign w:val="center"/>
          </w:tcPr>
          <w:p w14:paraId="1AE9D0F0" w14:textId="77777777" w:rsidR="00CA2AF5" w:rsidRDefault="00000000">
            <w:pPr>
              <w:widowControl/>
              <w:jc w:val="center"/>
              <w:rPr>
                <w:rFonts w:ascii="Times New Roman" w:eastAsia="宋体" w:hAnsi="Times New Roman" w:cs="Times New Roman"/>
                <w:color w:val="000000"/>
                <w:kern w:val="0"/>
                <w:sz w:val="24"/>
                <w:szCs w:val="24"/>
                <w14:ligatures w14:val="none"/>
              </w:rPr>
            </w:pPr>
            <w:r>
              <w:rPr>
                <w:rFonts w:ascii="Times New Roman" w:eastAsia="宋体" w:hAnsi="Times New Roman" w:cs="Times New Roman"/>
                <w:color w:val="000000"/>
                <w:kern w:val="0"/>
                <w:sz w:val="24"/>
                <w:szCs w:val="24"/>
                <w14:ligatures w14:val="none"/>
              </w:rPr>
              <w:t>High-Cd</w:t>
            </w:r>
          </w:p>
        </w:tc>
        <w:tc>
          <w:tcPr>
            <w:tcW w:w="2785" w:type="pct"/>
            <w:tcBorders>
              <w:top w:val="nil"/>
              <w:left w:val="nil"/>
              <w:bottom w:val="single" w:sz="12" w:space="0" w:color="auto"/>
              <w:right w:val="nil"/>
            </w:tcBorders>
            <w:vAlign w:val="center"/>
          </w:tcPr>
          <w:p w14:paraId="17014A07" w14:textId="77777777" w:rsidR="00CA2AF5" w:rsidRDefault="00000000">
            <w:pPr>
              <w:widowControl/>
              <w:jc w:val="center"/>
              <w:rPr>
                <w:rFonts w:ascii="Times New Roman" w:eastAsia="宋体" w:hAnsi="Times New Roman" w:cs="Times New Roman"/>
                <w:color w:val="000000"/>
                <w:kern w:val="0"/>
                <w:sz w:val="24"/>
                <w:szCs w:val="24"/>
                <w14:ligatures w14:val="none"/>
              </w:rPr>
            </w:pPr>
            <w:r>
              <w:rPr>
                <w:rFonts w:ascii="Times New Roman" w:eastAsia="宋体" w:hAnsi="Times New Roman" w:cs="Times New Roman"/>
                <w:color w:val="000000"/>
                <w:kern w:val="0"/>
                <w:sz w:val="24"/>
                <w:szCs w:val="24"/>
                <w14:ligatures w14:val="none"/>
              </w:rPr>
              <w:t>140</w:t>
            </w:r>
            <w:r>
              <w:rPr>
                <w:rFonts w:ascii="Times New Roman" w:eastAsia="宋体" w:hAnsi="Times New Roman" w:cs="Times New Roman" w:hint="eastAsia"/>
                <w:color w:val="000000"/>
                <w:kern w:val="0"/>
                <w:sz w:val="24"/>
                <w:szCs w:val="24"/>
                <w14:ligatures w14:val="none"/>
              </w:rPr>
              <w:t>.00</w:t>
            </w:r>
            <w:r>
              <w:rPr>
                <w:rFonts w:ascii="Times New Roman" w:eastAsia="宋体" w:hAnsi="Times New Roman" w:cs="Times New Roman"/>
                <w:color w:val="000000"/>
                <w:kern w:val="0"/>
                <w:sz w:val="24"/>
                <w:szCs w:val="24"/>
                <w14:ligatures w14:val="none"/>
              </w:rPr>
              <w:t xml:space="preserve"> ± 20.91 a</w:t>
            </w:r>
          </w:p>
        </w:tc>
      </w:tr>
      <w:tr w:rsidR="00CA2AF5" w14:paraId="79588DA0" w14:textId="77777777">
        <w:trPr>
          <w:trHeight w:val="444"/>
        </w:trPr>
        <w:tc>
          <w:tcPr>
            <w:tcW w:w="5000" w:type="pct"/>
            <w:gridSpan w:val="2"/>
            <w:tcBorders>
              <w:top w:val="single" w:sz="12" w:space="0" w:color="auto"/>
              <w:left w:val="nil"/>
              <w:right w:val="nil"/>
            </w:tcBorders>
            <w:vAlign w:val="center"/>
          </w:tcPr>
          <w:p w14:paraId="5D5DFA4F" w14:textId="66B9455B" w:rsidR="00CA2AF5" w:rsidRDefault="00000000">
            <w:pPr>
              <w:spacing w:line="300" w:lineRule="auto"/>
              <w:rPr>
                <w:rFonts w:ascii="Times New Roman" w:eastAsia="宋体" w:hAnsi="Times New Roman" w:cs="Times New Roman"/>
                <w:sz w:val="18"/>
                <w:szCs w:val="20"/>
              </w:rPr>
            </w:pPr>
            <w:r>
              <w:rPr>
                <w:rFonts w:ascii="Times New Roman" w:eastAsia="宋体" w:hAnsi="Times New Roman" w:cs="Times New Roman" w:hint="eastAsia"/>
                <w:sz w:val="18"/>
                <w:szCs w:val="20"/>
              </w:rPr>
              <w:t xml:space="preserve">Note: The data in the table are the mean </w:t>
            </w:r>
            <w:r w:rsidRPr="00C15465">
              <w:rPr>
                <w:rFonts w:ascii="Times New Roman" w:eastAsia="Segoe UI" w:hAnsi="Times New Roman" w:cs="Times New Roman"/>
                <w:color w:val="0F1115"/>
                <w:sz w:val="18"/>
                <w:szCs w:val="18"/>
                <w:shd w:val="clear" w:color="auto" w:fill="FFFFFF"/>
              </w:rPr>
              <w:t>±</w:t>
            </w:r>
            <w:r>
              <w:rPr>
                <w:rFonts w:ascii="Times New Roman" w:eastAsia="宋体" w:hAnsi="Times New Roman" w:cs="Times New Roman" w:hint="eastAsia"/>
                <w:sz w:val="18"/>
                <w:szCs w:val="20"/>
              </w:rPr>
              <w:t xml:space="preserve"> standard deviation (</w:t>
            </w:r>
            <w:r>
              <w:rPr>
                <w:rFonts w:ascii="Times New Roman" w:eastAsia="宋体" w:hAnsi="Times New Roman" w:cs="Times New Roman" w:hint="eastAsia"/>
                <w:i/>
                <w:iCs/>
                <w:sz w:val="18"/>
                <w:szCs w:val="20"/>
              </w:rPr>
              <w:t xml:space="preserve">n </w:t>
            </w:r>
            <w:r>
              <w:rPr>
                <w:rFonts w:ascii="Times New Roman" w:eastAsia="宋体" w:hAnsi="Times New Roman" w:cs="Times New Roman" w:hint="eastAsia"/>
                <w:sz w:val="18"/>
                <w:szCs w:val="20"/>
              </w:rPr>
              <w:t>= 3). Different lowercase letters indicate significant differences among the treatment groups in the same column (</w:t>
            </w:r>
            <w:r>
              <w:rPr>
                <w:rFonts w:ascii="Times New Roman" w:eastAsia="宋体" w:hAnsi="Times New Roman" w:cs="Times New Roman" w:hint="eastAsia"/>
                <w:i/>
                <w:iCs/>
                <w:sz w:val="18"/>
                <w:szCs w:val="20"/>
              </w:rPr>
              <w:t>p</w:t>
            </w:r>
            <w:r>
              <w:rPr>
                <w:rFonts w:ascii="Times New Roman" w:eastAsia="宋体" w:hAnsi="Times New Roman" w:cs="Times New Roman" w:hint="eastAsia"/>
                <w:sz w:val="18"/>
                <w:szCs w:val="20"/>
              </w:rPr>
              <w:t xml:space="preserve"> &lt; 0.05). No-Cd, Low-Cd, Medium-Cd, High-Cd represent the soils without Cd addition, with low Cd addition, with medium Cd addition, and with high Cd addition, respectively.</w:t>
            </w:r>
          </w:p>
        </w:tc>
      </w:tr>
    </w:tbl>
    <w:p w14:paraId="7720D53A" w14:textId="77777777" w:rsidR="00CA2AF5" w:rsidRDefault="00CA2AF5">
      <w:pPr>
        <w:rPr>
          <w:rFonts w:hint="eastAsia"/>
        </w:rPr>
        <w:sectPr w:rsidR="00CA2AF5">
          <w:pgSz w:w="11906" w:h="16838"/>
          <w:pgMar w:top="1440" w:right="1797" w:bottom="1440" w:left="1797" w:header="851" w:footer="992" w:gutter="0"/>
          <w:lnNumType w:countBy="1" w:restart="continuous"/>
          <w:cols w:space="425"/>
          <w:docGrid w:type="linesAndChars" w:linePitch="312"/>
        </w:sectPr>
      </w:pPr>
    </w:p>
    <w:p w14:paraId="78219894" w14:textId="77777777" w:rsidR="00CA2AF5" w:rsidRDefault="00CA2AF5">
      <w:pPr>
        <w:rPr>
          <w:rFonts w:hint="eastAsia"/>
        </w:rPr>
      </w:pPr>
    </w:p>
    <w:p w14:paraId="64ABF04A" w14:textId="77777777" w:rsidR="00CA2AF5" w:rsidRDefault="00000000">
      <w:pPr>
        <w:rPr>
          <w:rFonts w:ascii="Times New Roman" w:hAnsi="Times New Roman" w:cs="Times New Roman"/>
          <w:b/>
          <w:bCs/>
        </w:rPr>
      </w:pPr>
      <w:r>
        <w:rPr>
          <w:noProof/>
        </w:rPr>
        <w:drawing>
          <wp:inline distT="0" distB="0" distL="0" distR="0" wp14:anchorId="25380636" wp14:editId="7152FE2F">
            <wp:extent cx="4968240" cy="1746250"/>
            <wp:effectExtent l="0" t="0" r="0" b="0"/>
            <wp:docPr id="981403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3319" name="图片 1"/>
                    <pic:cNvPicPr>
                      <a:picLocks noChangeAspect="1"/>
                    </pic:cNvPicPr>
                  </pic:nvPicPr>
                  <pic:blipFill>
                    <a:blip r:embed="rId11"/>
                    <a:stretch>
                      <a:fillRect/>
                    </a:stretch>
                  </pic:blipFill>
                  <pic:spPr>
                    <a:xfrm>
                      <a:off x="0" y="0"/>
                      <a:ext cx="4968240" cy="1746250"/>
                    </a:xfrm>
                    <a:prstGeom prst="rect">
                      <a:avLst/>
                    </a:prstGeom>
                  </pic:spPr>
                </pic:pic>
              </a:graphicData>
            </a:graphic>
          </wp:inline>
        </w:drawing>
      </w:r>
    </w:p>
    <w:p w14:paraId="5A20F9AC" w14:textId="556CA964" w:rsidR="00CA2AF5" w:rsidRDefault="00000000">
      <w:pPr>
        <w:rPr>
          <w:rFonts w:ascii="Times New Roman" w:hAnsi="Times New Roman" w:cs="Times New Roman"/>
        </w:rPr>
      </w:pPr>
      <w:r>
        <w:rPr>
          <w:rFonts w:ascii="Times New Roman" w:hAnsi="Times New Roman" w:cs="Times New Roman"/>
          <w:b/>
          <w:bCs/>
        </w:rPr>
        <w:t>Fig</w:t>
      </w:r>
      <w:r>
        <w:rPr>
          <w:rFonts w:ascii="Times New Roman" w:hAnsi="Times New Roman" w:cs="Times New Roman" w:hint="eastAsia"/>
          <w:b/>
          <w:bCs/>
        </w:rPr>
        <w:t>ure</w:t>
      </w:r>
      <w:r>
        <w:rPr>
          <w:rFonts w:ascii="Times New Roman" w:hAnsi="Times New Roman" w:cs="Times New Roman"/>
          <w:b/>
          <w:bCs/>
        </w:rPr>
        <w:t xml:space="preserve"> S1. </w:t>
      </w:r>
      <w:r>
        <w:rPr>
          <w:rFonts w:ascii="Times New Roman" w:hAnsi="Times New Roman" w:cs="Times New Roman" w:hint="eastAsia"/>
        </w:rPr>
        <w:t>Molecular structure of the</w:t>
      </w:r>
      <w:r>
        <w:rPr>
          <w:rFonts w:ascii="Times New Roman" w:hAnsi="Times New Roman" w:cs="Times New Roman" w:hint="eastAsia"/>
          <w:b/>
          <w:bCs/>
        </w:rPr>
        <w:t xml:space="preserve"> (a) </w:t>
      </w:r>
      <w:r>
        <w:rPr>
          <w:rFonts w:ascii="Times New Roman" w:hAnsi="Times New Roman" w:cs="Times New Roman" w:hint="eastAsia"/>
        </w:rPr>
        <w:t>Biochar-450 (BC450) and</w:t>
      </w:r>
      <w:r>
        <w:rPr>
          <w:rFonts w:ascii="Times New Roman" w:hAnsi="Times New Roman" w:cs="Times New Roman" w:hint="eastAsia"/>
          <w:b/>
          <w:bCs/>
        </w:rPr>
        <w:t xml:space="preserve"> (b) </w:t>
      </w:r>
      <w:r>
        <w:rPr>
          <w:rFonts w:ascii="Times New Roman" w:hAnsi="Times New Roman" w:cs="Times New Roman" w:hint="eastAsia"/>
        </w:rPr>
        <w:t xml:space="preserve">Temple-Northeastern-Birmingham (TNB) model </w:t>
      </w:r>
      <w:r>
        <w:rPr>
          <w:rFonts w:ascii="Times New Roman" w:eastAsia="宋体" w:hAnsi="Times New Roman"/>
          <w:sz w:val="24"/>
        </w:rPr>
        <w:t>used in this work</w:t>
      </w:r>
      <w:r>
        <w:rPr>
          <w:rFonts w:ascii="Times New Roman" w:hAnsi="Times New Roman" w:cs="Times New Roman" w:hint="eastAsia"/>
        </w:rPr>
        <w:t>. C: gray, O: red, H: white, N: blue.</w:t>
      </w:r>
      <w:r>
        <w:rPr>
          <w:rFonts w:hint="eastAsia"/>
        </w:rPr>
        <w:br w:type="page"/>
      </w:r>
    </w:p>
    <w:p w14:paraId="7EE5E37A" w14:textId="01E78F06" w:rsidR="00CA2AF5" w:rsidRDefault="00000000">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2594373B" wp14:editId="52B37C60">
            <wp:extent cx="5274309" cy="4605338"/>
            <wp:effectExtent l="0" t="0" r="3175" b="5080"/>
            <wp:docPr id="915227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27316"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09" cy="4605338"/>
                    </a:xfrm>
                    <a:prstGeom prst="rect">
                      <a:avLst/>
                    </a:prstGeom>
                  </pic:spPr>
                </pic:pic>
              </a:graphicData>
            </a:graphic>
          </wp:inline>
        </w:drawing>
      </w:r>
    </w:p>
    <w:p w14:paraId="7441DBB8" w14:textId="3810DBEC" w:rsidR="00CA2AF5" w:rsidRDefault="00000000">
      <w:pPr>
        <w:rPr>
          <w:rFonts w:ascii="Times New Roman" w:hAnsi="Times New Roman" w:cs="Times New Roman"/>
          <w:color w:val="0D0D0D" w:themeColor="text1" w:themeTint="F2"/>
        </w:rPr>
      </w:pPr>
      <w:r>
        <w:rPr>
          <w:rFonts w:ascii="Times New Roman" w:hAnsi="Times New Roman" w:cs="Times New Roman"/>
          <w:b/>
          <w:bCs/>
        </w:rPr>
        <w:t>Fig</w:t>
      </w:r>
      <w:r>
        <w:rPr>
          <w:rFonts w:ascii="Times New Roman" w:hAnsi="Times New Roman" w:cs="Times New Roman" w:hint="eastAsia"/>
          <w:b/>
          <w:bCs/>
        </w:rPr>
        <w:t>ure</w:t>
      </w:r>
      <w:r>
        <w:rPr>
          <w:rFonts w:ascii="Times New Roman" w:hAnsi="Times New Roman" w:cs="Times New Roman"/>
          <w:b/>
          <w:bCs/>
        </w:rPr>
        <w:t xml:space="preserve"> S</w:t>
      </w:r>
      <w:r>
        <w:rPr>
          <w:rFonts w:ascii="Times New Roman" w:hAnsi="Times New Roman" w:cs="Times New Roman" w:hint="eastAsia"/>
          <w:b/>
          <w:bCs/>
        </w:rPr>
        <w:t>2</w:t>
      </w:r>
      <w:r>
        <w:rPr>
          <w:rFonts w:ascii="Times New Roman" w:hAnsi="Times New Roman" w:cs="Times New Roman"/>
          <w:b/>
          <w:bCs/>
        </w:rPr>
        <w:t xml:space="preserve">. </w:t>
      </w:r>
      <w:r>
        <w:rPr>
          <w:rFonts w:ascii="Times New Roman" w:hAnsi="Times New Roman" w:cs="Times New Roman"/>
        </w:rPr>
        <w:t>The cumulative amounts of total CO</w:t>
      </w:r>
      <w:r>
        <w:rPr>
          <w:rFonts w:ascii="Times New Roman" w:hAnsi="Times New Roman" w:cs="Times New Roman"/>
          <w:vertAlign w:val="subscript"/>
        </w:rPr>
        <w:t>2</w:t>
      </w:r>
      <w:r>
        <w:rPr>
          <w:rFonts w:ascii="Times New Roman" w:hAnsi="Times New Roman" w:cs="Times New Roman"/>
        </w:rPr>
        <w:t xml:space="preserve"> evolved from soils without biochar components</w:t>
      </w:r>
      <w:r>
        <w:rPr>
          <w:rFonts w:ascii="Times New Roman" w:hAnsi="Times New Roman" w:cs="Times New Roman"/>
          <w:b/>
          <w:bCs/>
        </w:rPr>
        <w:t xml:space="preserve"> (a)</w:t>
      </w:r>
      <w:r>
        <w:rPr>
          <w:rFonts w:ascii="Times New Roman" w:hAnsi="Times New Roman" w:cs="Times New Roman"/>
        </w:rPr>
        <w:t xml:space="preserve"> and soils with the addition of biochar components</w:t>
      </w:r>
      <w:r>
        <w:rPr>
          <w:rFonts w:ascii="Times New Roman" w:hAnsi="Times New Roman" w:cs="Times New Roman"/>
          <w:b/>
          <w:bCs/>
        </w:rPr>
        <w:t xml:space="preserve"> (b)</w:t>
      </w:r>
      <w:r>
        <w:rPr>
          <w:rFonts w:ascii="Times New Roman" w:hAnsi="Times New Roman" w:cs="Times New Roman" w:hint="eastAsia"/>
        </w:rPr>
        <w:t>.</w:t>
      </w:r>
      <w:r>
        <w:rPr>
          <w:rFonts w:ascii="Times New Roman" w:hAnsi="Times New Roman" w:cs="Times New Roman"/>
        </w:rPr>
        <w:t xml:space="preserve"> The priming effect of biochar on native SOC</w:t>
      </w:r>
      <w:r>
        <w:rPr>
          <w:rFonts w:ascii="Times New Roman" w:hAnsi="Times New Roman" w:cs="Times New Roman" w:hint="eastAsia"/>
          <w:b/>
          <w:bCs/>
        </w:rPr>
        <w:t xml:space="preserve"> </w:t>
      </w:r>
      <w:r>
        <w:rPr>
          <w:rFonts w:ascii="Times New Roman" w:hAnsi="Times New Roman" w:cs="Times New Roman"/>
          <w:b/>
          <w:bCs/>
        </w:rPr>
        <w:t>(</w:t>
      </w:r>
      <w:r>
        <w:rPr>
          <w:rFonts w:ascii="Times New Roman" w:hAnsi="Times New Roman" w:cs="Times New Roman" w:hint="eastAsia"/>
          <w:b/>
          <w:bCs/>
        </w:rPr>
        <w:t>c</w:t>
      </w:r>
      <w:r>
        <w:rPr>
          <w:rFonts w:ascii="Times New Roman" w:hAnsi="Times New Roman" w:cs="Times New Roman"/>
          <w:b/>
          <w:bCs/>
        </w:rPr>
        <w:t>)</w:t>
      </w:r>
      <w:r>
        <w:rPr>
          <w:rFonts w:ascii="Times New Roman" w:hAnsi="Times New Roman" w:cs="Times New Roman" w:hint="eastAsia"/>
        </w:rPr>
        <w:t>.</w:t>
      </w:r>
      <w:r>
        <w:rPr>
          <w:rFonts w:ascii="Times New Roman" w:hAnsi="Times New Roman" w:cs="Times New Roman" w:hint="eastAsia"/>
          <w:szCs w:val="21"/>
        </w:rPr>
        <w:t xml:space="preserve"> No-Cd, Low-Cd, Medium-Cd, High-Cd </w:t>
      </w:r>
      <w:r>
        <w:rPr>
          <w:rFonts w:ascii="Times New Roman" w:hAnsi="Times New Roman" w:cs="Times New Roman"/>
          <w:szCs w:val="21"/>
        </w:rPr>
        <w:t xml:space="preserve">represent the soils without Cd </w:t>
      </w:r>
      <w:proofErr w:type="gramStart"/>
      <w:r>
        <w:rPr>
          <w:rFonts w:ascii="Times New Roman" w:hAnsi="Times New Roman" w:cs="Times New Roman"/>
          <w:szCs w:val="21"/>
        </w:rPr>
        <w:t>addition,  with</w:t>
      </w:r>
      <w:proofErr w:type="gramEnd"/>
      <w:r>
        <w:rPr>
          <w:rFonts w:ascii="Times New Roman" w:hAnsi="Times New Roman" w:cs="Times New Roman"/>
          <w:szCs w:val="21"/>
        </w:rPr>
        <w:t xml:space="preserve"> </w:t>
      </w:r>
      <w:r>
        <w:rPr>
          <w:rFonts w:ascii="Times New Roman" w:hAnsi="Times New Roman" w:cs="Times New Roman" w:hint="eastAsia"/>
          <w:szCs w:val="21"/>
        </w:rPr>
        <w:t>low</w:t>
      </w:r>
      <w:r>
        <w:rPr>
          <w:rFonts w:ascii="Times New Roman" w:hAnsi="Times New Roman" w:cs="Times New Roman"/>
          <w:szCs w:val="21"/>
        </w:rPr>
        <w:t xml:space="preserve"> Cd</w:t>
      </w:r>
      <w:r>
        <w:rPr>
          <w:rFonts w:ascii="Times New Roman" w:hAnsi="Times New Roman" w:cs="Times New Roman" w:hint="eastAsia"/>
          <w:szCs w:val="21"/>
        </w:rPr>
        <w:t xml:space="preserve"> </w:t>
      </w:r>
      <w:r>
        <w:rPr>
          <w:rFonts w:ascii="Times New Roman" w:hAnsi="Times New Roman" w:cs="Times New Roman"/>
          <w:szCs w:val="21"/>
        </w:rPr>
        <w:t xml:space="preserve">addition, </w:t>
      </w:r>
      <w:r>
        <w:rPr>
          <w:rFonts w:ascii="Times New Roman" w:hAnsi="Times New Roman" w:cs="Times New Roman" w:hint="eastAsia"/>
          <w:szCs w:val="21"/>
        </w:rPr>
        <w:t xml:space="preserve">with </w:t>
      </w:r>
      <w:r>
        <w:rPr>
          <w:rFonts w:ascii="Times New Roman" w:hAnsi="Times New Roman" w:cs="Times New Roman"/>
          <w:szCs w:val="21"/>
        </w:rPr>
        <w:t>medium</w:t>
      </w:r>
      <w:r>
        <w:rPr>
          <w:rFonts w:ascii="Times New Roman" w:hAnsi="Times New Roman" w:cs="Times New Roman" w:hint="eastAsia"/>
          <w:szCs w:val="21"/>
        </w:rPr>
        <w:t xml:space="preserve"> </w:t>
      </w:r>
      <w:r>
        <w:rPr>
          <w:rFonts w:ascii="Times New Roman" w:hAnsi="Times New Roman" w:cs="Times New Roman"/>
          <w:szCs w:val="21"/>
        </w:rPr>
        <w:t>Cd</w:t>
      </w:r>
      <w:r>
        <w:rPr>
          <w:rFonts w:ascii="Times New Roman" w:hAnsi="Times New Roman" w:cs="Times New Roman" w:hint="eastAsia"/>
          <w:szCs w:val="21"/>
        </w:rPr>
        <w:t xml:space="preserve"> </w:t>
      </w:r>
      <w:r>
        <w:rPr>
          <w:rFonts w:ascii="Times New Roman" w:hAnsi="Times New Roman" w:cs="Times New Roman"/>
          <w:szCs w:val="21"/>
        </w:rPr>
        <w:t>addition, and</w:t>
      </w:r>
      <w:r>
        <w:rPr>
          <w:rFonts w:ascii="Times New Roman" w:hAnsi="Times New Roman" w:cs="Times New Roman" w:hint="eastAsia"/>
          <w:szCs w:val="21"/>
        </w:rPr>
        <w:t xml:space="preserve"> with</w:t>
      </w:r>
      <w:r>
        <w:rPr>
          <w:rFonts w:ascii="Times New Roman" w:hAnsi="Times New Roman" w:cs="Times New Roman"/>
          <w:szCs w:val="21"/>
        </w:rPr>
        <w:t xml:space="preserve"> high Cd</w:t>
      </w:r>
      <w:r>
        <w:rPr>
          <w:rFonts w:ascii="Times New Roman" w:hAnsi="Times New Roman" w:cs="Times New Roman" w:hint="eastAsia"/>
          <w:szCs w:val="21"/>
        </w:rPr>
        <w:t xml:space="preserve"> </w:t>
      </w:r>
      <w:r>
        <w:rPr>
          <w:rFonts w:ascii="Times New Roman" w:hAnsi="Times New Roman" w:cs="Times New Roman"/>
          <w:szCs w:val="21"/>
        </w:rPr>
        <w:t>addition, respectively</w:t>
      </w:r>
      <w:r>
        <w:rPr>
          <w:rFonts w:ascii="Times New Roman" w:hAnsi="Times New Roman" w:cs="Times New Roman" w:hint="eastAsia"/>
          <w:szCs w:val="21"/>
        </w:rPr>
        <w:t xml:space="preserve">. </w:t>
      </w:r>
      <w:proofErr w:type="spellStart"/>
      <w:r>
        <w:rPr>
          <w:rFonts w:ascii="Times New Roman" w:hAnsi="Times New Roman" w:cs="Times New Roman" w:hint="eastAsia"/>
          <w:szCs w:val="21"/>
        </w:rPr>
        <w:t>BC+No-Cd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BC+Low-Cd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BC+Medium-Cd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BC+High-Cd</w:t>
      </w:r>
      <w:proofErr w:type="spellEnd"/>
      <w:r>
        <w:rPr>
          <w:rFonts w:ascii="Times New Roman" w:hAnsi="Times New Roman" w:cs="Times New Roman" w:hint="eastAsia"/>
          <w:szCs w:val="21"/>
        </w:rPr>
        <w:t xml:space="preserve"> </w:t>
      </w:r>
      <w:r>
        <w:rPr>
          <w:rFonts w:ascii="Times New Roman" w:hAnsi="Times New Roman" w:cs="Times New Roman"/>
          <w:szCs w:val="21"/>
        </w:rPr>
        <w:t xml:space="preserve">represent the soils amended with biochar without Cd </w:t>
      </w:r>
      <w:proofErr w:type="gramStart"/>
      <w:r>
        <w:rPr>
          <w:rFonts w:ascii="Times New Roman" w:hAnsi="Times New Roman" w:cs="Times New Roman"/>
          <w:szCs w:val="21"/>
        </w:rPr>
        <w:t>addition,  with</w:t>
      </w:r>
      <w:proofErr w:type="gramEnd"/>
      <w:r>
        <w:rPr>
          <w:rFonts w:ascii="Times New Roman" w:hAnsi="Times New Roman" w:cs="Times New Roman"/>
          <w:szCs w:val="21"/>
        </w:rPr>
        <w:t xml:space="preserve"> low</w:t>
      </w:r>
      <w:r>
        <w:rPr>
          <w:rFonts w:ascii="Times New Roman" w:hAnsi="Times New Roman" w:cs="Times New Roman" w:hint="eastAsia"/>
          <w:color w:val="0D0D0D" w:themeColor="text1" w:themeTint="F2"/>
        </w:rPr>
        <w:t xml:space="preserve"> Cd addition</w:t>
      </w:r>
      <w:r>
        <w:rPr>
          <w:rFonts w:ascii="Times New Roman" w:hAnsi="Times New Roman" w:cs="Times New Roman"/>
          <w:szCs w:val="21"/>
        </w:rPr>
        <w:t xml:space="preserve">, </w:t>
      </w:r>
      <w:r>
        <w:rPr>
          <w:rFonts w:ascii="Times New Roman" w:hAnsi="Times New Roman" w:cs="Times New Roman" w:hint="eastAsia"/>
          <w:szCs w:val="21"/>
        </w:rPr>
        <w:t xml:space="preserve">with </w:t>
      </w:r>
      <w:r>
        <w:rPr>
          <w:rFonts w:ascii="Times New Roman" w:hAnsi="Times New Roman" w:cs="Times New Roman"/>
          <w:szCs w:val="21"/>
        </w:rPr>
        <w:t>medium</w:t>
      </w:r>
      <w:r>
        <w:rPr>
          <w:rFonts w:ascii="Times New Roman" w:hAnsi="Times New Roman" w:cs="Times New Roman" w:hint="eastAsia"/>
          <w:color w:val="0D0D0D" w:themeColor="text1" w:themeTint="F2"/>
        </w:rPr>
        <w:t xml:space="preserve"> Cd addition</w:t>
      </w:r>
      <w:r>
        <w:rPr>
          <w:rFonts w:ascii="Times New Roman" w:hAnsi="Times New Roman" w:cs="Times New Roman"/>
          <w:szCs w:val="21"/>
        </w:rPr>
        <w:t xml:space="preserve">, and </w:t>
      </w:r>
      <w:r>
        <w:rPr>
          <w:rFonts w:ascii="Times New Roman" w:hAnsi="Times New Roman" w:cs="Times New Roman" w:hint="eastAsia"/>
          <w:szCs w:val="21"/>
        </w:rPr>
        <w:t xml:space="preserve">with </w:t>
      </w:r>
      <w:proofErr w:type="gramStart"/>
      <w:r>
        <w:rPr>
          <w:rFonts w:ascii="Times New Roman" w:hAnsi="Times New Roman" w:cs="Times New Roman"/>
          <w:szCs w:val="21"/>
        </w:rPr>
        <w:t xml:space="preserve">high </w:t>
      </w:r>
      <w:r>
        <w:rPr>
          <w:rFonts w:ascii="Times New Roman" w:hAnsi="Times New Roman" w:cs="Times New Roman" w:hint="eastAsia"/>
          <w:color w:val="0D0D0D" w:themeColor="text1" w:themeTint="F2"/>
        </w:rPr>
        <w:t xml:space="preserve"> Cd</w:t>
      </w:r>
      <w:proofErr w:type="gramEnd"/>
      <w:r>
        <w:rPr>
          <w:rFonts w:ascii="Times New Roman" w:hAnsi="Times New Roman" w:cs="Times New Roman" w:hint="eastAsia"/>
          <w:color w:val="0D0D0D" w:themeColor="text1" w:themeTint="F2"/>
        </w:rPr>
        <w:t xml:space="preserve"> addition</w:t>
      </w:r>
      <w:r>
        <w:rPr>
          <w:rFonts w:ascii="Times New Roman" w:hAnsi="Times New Roman" w:cs="Times New Roman"/>
          <w:szCs w:val="21"/>
        </w:rPr>
        <w:t>, respectively.</w:t>
      </w:r>
      <w:r>
        <w:rPr>
          <w:rFonts w:ascii="Times New Roman" w:hAnsi="Times New Roman" w:cs="Times New Roman" w:hint="eastAsia"/>
          <w:szCs w:val="21"/>
        </w:rPr>
        <w:t xml:space="preserve"> </w:t>
      </w:r>
      <w:r>
        <w:rPr>
          <w:rFonts w:ascii="Times New Roman" w:hAnsi="Times New Roman" w:cs="Times New Roman"/>
          <w:color w:val="0D0D0D" w:themeColor="text1" w:themeTint="F2"/>
        </w:rPr>
        <w:t>Error bars indicate standard deviations (</w:t>
      </w:r>
      <w:r>
        <w:rPr>
          <w:rFonts w:ascii="Times New Roman" w:hAnsi="Times New Roman" w:cs="Times New Roman"/>
          <w:i/>
          <w:iCs/>
          <w:color w:val="0D0D0D" w:themeColor="text1" w:themeTint="F2"/>
        </w:rPr>
        <w:t>n</w:t>
      </w:r>
      <w:r>
        <w:rPr>
          <w:rFonts w:ascii="Times New Roman" w:hAnsi="Times New Roman" w:cs="Times New Roman"/>
          <w:color w:val="0D0D0D" w:themeColor="text1" w:themeTint="F2"/>
        </w:rPr>
        <w:t xml:space="preserve"> = </w:t>
      </w:r>
      <w:r>
        <w:rPr>
          <w:rFonts w:ascii="Times New Roman" w:hAnsi="Times New Roman" w:cs="Times New Roman" w:hint="eastAsia"/>
          <w:color w:val="0D0D0D" w:themeColor="text1" w:themeTint="F2"/>
        </w:rPr>
        <w:t>3</w:t>
      </w:r>
      <w:r>
        <w:rPr>
          <w:rFonts w:ascii="Times New Roman" w:hAnsi="Times New Roman" w:cs="Times New Roman"/>
          <w:color w:val="0D0D0D" w:themeColor="text1" w:themeTint="F2"/>
        </w:rPr>
        <w:t>)</w:t>
      </w:r>
      <w:r>
        <w:rPr>
          <w:rFonts w:ascii="Times New Roman" w:hAnsi="Times New Roman" w:cs="Times New Roman" w:hint="eastAsia"/>
          <w:color w:val="0D0D0D" w:themeColor="text1" w:themeTint="F2"/>
        </w:rPr>
        <w:t>. Different lowercase letters indicate significant differences (</w:t>
      </w:r>
      <w:r>
        <w:rPr>
          <w:rFonts w:ascii="Times New Roman" w:hAnsi="Times New Roman" w:cs="Times New Roman" w:hint="eastAsia"/>
          <w:i/>
          <w:iCs/>
          <w:color w:val="0D0D0D" w:themeColor="text1" w:themeTint="F2"/>
        </w:rPr>
        <w:t>p</w:t>
      </w:r>
      <w:r>
        <w:rPr>
          <w:rFonts w:ascii="Times New Roman" w:hAnsi="Times New Roman" w:cs="Times New Roman" w:hint="eastAsia"/>
          <w:color w:val="0D0D0D" w:themeColor="text1" w:themeTint="F2"/>
        </w:rPr>
        <w:t xml:space="preserve"> &lt; 0.05). </w:t>
      </w:r>
    </w:p>
    <w:p w14:paraId="7821195F" w14:textId="77777777" w:rsidR="00CA2AF5" w:rsidRDefault="00CA2AF5">
      <w:pPr>
        <w:rPr>
          <w:rFonts w:ascii="Times New Roman" w:hAnsi="Times New Roman" w:cs="Times New Roman"/>
        </w:rPr>
      </w:pPr>
    </w:p>
    <w:p w14:paraId="4EE3106E" w14:textId="77777777" w:rsidR="00CA2AF5" w:rsidRDefault="00CA2AF5">
      <w:pPr>
        <w:rPr>
          <w:rFonts w:ascii="Times New Roman" w:hAnsi="Times New Roman" w:cs="Times New Roman"/>
          <w:b/>
          <w:bCs/>
        </w:rPr>
      </w:pPr>
    </w:p>
    <w:p w14:paraId="48E4FF1F" w14:textId="77777777" w:rsidR="00CA2AF5" w:rsidRDefault="00000000">
      <w:pPr>
        <w:rPr>
          <w:rFonts w:hint="eastAsia"/>
        </w:rPr>
      </w:pPr>
      <w:r>
        <w:rPr>
          <w:noProof/>
        </w:rPr>
        <w:lastRenderedPageBreak/>
        <w:drawing>
          <wp:inline distT="0" distB="0" distL="0" distR="0" wp14:anchorId="1F47817A" wp14:editId="153EEEC1">
            <wp:extent cx="5180330" cy="4243070"/>
            <wp:effectExtent l="0" t="0" r="0" b="0"/>
            <wp:docPr id="1534626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26243" name="图片 1"/>
                    <pic:cNvPicPr>
                      <a:picLocks noChangeAspect="1"/>
                    </pic:cNvPicPr>
                  </pic:nvPicPr>
                  <pic:blipFill>
                    <a:blip r:embed="rId13">
                      <a:extLst>
                        <a:ext uri="{28A0092B-C50C-407E-A947-70E740481C1C}">
                          <a14:useLocalDpi xmlns:a14="http://schemas.microsoft.com/office/drawing/2010/main" val="0"/>
                        </a:ext>
                      </a:extLst>
                    </a:blip>
                    <a:srcRect t="267" b="267"/>
                    <a:stretch>
                      <a:fillRect/>
                    </a:stretch>
                  </pic:blipFill>
                  <pic:spPr>
                    <a:xfrm>
                      <a:off x="0" y="0"/>
                      <a:ext cx="5180431" cy="4243425"/>
                    </a:xfrm>
                    <a:prstGeom prst="rect">
                      <a:avLst/>
                    </a:prstGeom>
                    <a:ln>
                      <a:noFill/>
                    </a:ln>
                  </pic:spPr>
                </pic:pic>
              </a:graphicData>
            </a:graphic>
          </wp:inline>
        </w:drawing>
      </w:r>
    </w:p>
    <w:p w14:paraId="67162ED9" w14:textId="483D2F59" w:rsidR="00CA2AF5" w:rsidRDefault="00000000">
      <w:pPr>
        <w:rPr>
          <w:rFonts w:ascii="Times New Roman" w:hAnsi="Times New Roman" w:cs="Times New Roman"/>
        </w:rPr>
      </w:pPr>
      <w:r>
        <w:rPr>
          <w:rFonts w:ascii="Times New Roman" w:hAnsi="Times New Roman" w:cs="Times New Roman"/>
          <w:b/>
          <w:bCs/>
        </w:rPr>
        <w:t>Fig</w:t>
      </w:r>
      <w:r>
        <w:rPr>
          <w:rFonts w:ascii="Times New Roman" w:hAnsi="Times New Roman" w:cs="Times New Roman" w:hint="eastAsia"/>
          <w:b/>
          <w:bCs/>
        </w:rPr>
        <w:t>ure</w:t>
      </w:r>
      <w:r>
        <w:rPr>
          <w:rFonts w:ascii="Times New Roman" w:hAnsi="Times New Roman" w:cs="Times New Roman"/>
          <w:b/>
          <w:bCs/>
        </w:rPr>
        <w:t xml:space="preserve"> S</w:t>
      </w:r>
      <w:r>
        <w:rPr>
          <w:rFonts w:ascii="Times New Roman" w:hAnsi="Times New Roman" w:cs="Times New Roman" w:hint="eastAsia"/>
          <w:b/>
          <w:bCs/>
        </w:rPr>
        <w:t>3</w:t>
      </w:r>
      <w:r>
        <w:rPr>
          <w:rFonts w:ascii="Times New Roman" w:hAnsi="Times New Roman" w:cs="Times New Roman"/>
          <w:b/>
          <w:bCs/>
        </w:rPr>
        <w:t xml:space="preserve">. </w:t>
      </w:r>
      <w:r>
        <w:rPr>
          <w:rFonts w:ascii="Times New Roman" w:hAnsi="Times New Roman" w:cs="Times New Roman"/>
        </w:rPr>
        <w:t xml:space="preserve">SEM morphology and EDS energy spectrum of biochar. The biochar samples are from the </w:t>
      </w:r>
      <w:proofErr w:type="spellStart"/>
      <w:r>
        <w:rPr>
          <w:rFonts w:ascii="Times New Roman" w:hAnsi="Times New Roman" w:cs="Times New Roman" w:hint="eastAsia"/>
        </w:rPr>
        <w:t>BC</w:t>
      </w:r>
      <w:r>
        <w:rPr>
          <w:rFonts w:ascii="Times New Roman" w:hAnsi="Times New Roman" w:cs="Times New Roman"/>
        </w:rPr>
        <w:t>+No-Cd</w:t>
      </w:r>
      <w:proofErr w:type="spellEnd"/>
      <w:r>
        <w:rPr>
          <w:rFonts w:ascii="Times New Roman" w:hAnsi="Times New Roman" w:cs="Times New Roman"/>
          <w:b/>
          <w:bCs/>
        </w:rPr>
        <w:t xml:space="preserve"> </w:t>
      </w:r>
      <w:r>
        <w:rPr>
          <w:rFonts w:ascii="Times New Roman" w:hAnsi="Times New Roman" w:cs="Times New Roman" w:hint="eastAsia"/>
          <w:b/>
          <w:bCs/>
        </w:rPr>
        <w:t>(</w:t>
      </w:r>
      <w:r>
        <w:rPr>
          <w:rFonts w:ascii="Times New Roman" w:hAnsi="Times New Roman" w:cs="Times New Roman"/>
          <w:b/>
          <w:bCs/>
        </w:rPr>
        <w:t>a</w:t>
      </w:r>
      <w:r>
        <w:rPr>
          <w:rFonts w:ascii="Times New Roman" w:hAnsi="Times New Roman" w:cs="Times New Roman" w:hint="eastAsia"/>
          <w:b/>
          <w:bCs/>
        </w:rPr>
        <w:t>)</w:t>
      </w:r>
      <w:r>
        <w:rPr>
          <w:rFonts w:ascii="Times New Roman" w:hAnsi="Times New Roman" w:cs="Times New Roman"/>
          <w:b/>
          <w:bCs/>
        </w:rPr>
        <w:t xml:space="preserve"> </w:t>
      </w:r>
      <w:r>
        <w:rPr>
          <w:rFonts w:ascii="Times New Roman" w:hAnsi="Times New Roman" w:cs="Times New Roman"/>
        </w:rPr>
        <w:t xml:space="preserve">and </w:t>
      </w:r>
      <w:proofErr w:type="spellStart"/>
      <w:r>
        <w:rPr>
          <w:rFonts w:ascii="Times New Roman" w:hAnsi="Times New Roman" w:cs="Times New Roman" w:hint="eastAsia"/>
        </w:rPr>
        <w:t>BC</w:t>
      </w:r>
      <w:r>
        <w:rPr>
          <w:rFonts w:ascii="Times New Roman" w:hAnsi="Times New Roman" w:cs="Times New Roman"/>
        </w:rPr>
        <w:t>+High-Cd</w:t>
      </w:r>
      <w:proofErr w:type="spellEnd"/>
      <w:r>
        <w:rPr>
          <w:rFonts w:ascii="Times New Roman" w:hAnsi="Times New Roman" w:cs="Times New Roman"/>
        </w:rPr>
        <w:t xml:space="preserve"> groups</w:t>
      </w:r>
      <w:r>
        <w:rPr>
          <w:rFonts w:ascii="Times New Roman" w:hAnsi="Times New Roman" w:cs="Times New Roman" w:hint="eastAsia"/>
          <w:b/>
          <w:bCs/>
        </w:rPr>
        <w:t xml:space="preserve"> (b)</w:t>
      </w:r>
      <w:r>
        <w:rPr>
          <w:rFonts w:ascii="Times New Roman" w:hAnsi="Times New Roman" w:cs="Times New Roman"/>
        </w:rPr>
        <w:t>. The peaks of the Cd element and the suspected Cd crystalline structure on the surface of the biochar are marked in the red boxes</w:t>
      </w:r>
      <w:r>
        <w:rPr>
          <w:rFonts w:ascii="Times New Roman" w:hAnsi="Times New Roman" w:cs="Times New Roman" w:hint="eastAsia"/>
        </w:rPr>
        <w:t>.</w:t>
      </w:r>
    </w:p>
    <w:p w14:paraId="306D24B0" w14:textId="77777777" w:rsidR="00CA2AF5" w:rsidRDefault="00CA2AF5">
      <w:pPr>
        <w:rPr>
          <w:rFonts w:hint="eastAsia"/>
        </w:rPr>
      </w:pPr>
    </w:p>
    <w:p w14:paraId="5234B2EB" w14:textId="77777777" w:rsidR="00CA2AF5" w:rsidRDefault="00CA2AF5">
      <w:pPr>
        <w:widowControl/>
        <w:jc w:val="left"/>
        <w:rPr>
          <w:rFonts w:hint="eastAsia"/>
        </w:rPr>
        <w:sectPr w:rsidR="00CA2AF5">
          <w:pgSz w:w="11906" w:h="16838"/>
          <w:pgMar w:top="1440" w:right="1797" w:bottom="1440" w:left="1797" w:header="851" w:footer="992" w:gutter="0"/>
          <w:lnNumType w:countBy="1" w:restart="continuous"/>
          <w:cols w:space="425"/>
          <w:docGrid w:type="linesAndChars" w:linePitch="312"/>
        </w:sectPr>
      </w:pPr>
    </w:p>
    <w:p w14:paraId="05DEF760" w14:textId="3419E1EB" w:rsidR="00CA2AF5" w:rsidRDefault="00000000">
      <w:pPr>
        <w:rPr>
          <w:rFonts w:hint="eastAsia"/>
        </w:rPr>
      </w:pPr>
      <w:r>
        <w:rPr>
          <w:noProof/>
        </w:rPr>
        <w:lastRenderedPageBreak/>
        <w:drawing>
          <wp:inline distT="0" distB="0" distL="0" distR="0" wp14:anchorId="2CBC708D" wp14:editId="476DFEBD">
            <wp:extent cx="5276729" cy="2941955"/>
            <wp:effectExtent l="0" t="0" r="635" b="0"/>
            <wp:docPr id="1748289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9858" name="图片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729" cy="2941955"/>
                    </a:xfrm>
                    <a:prstGeom prst="rect">
                      <a:avLst/>
                    </a:prstGeom>
                    <a:noFill/>
                    <a:ln>
                      <a:noFill/>
                    </a:ln>
                  </pic:spPr>
                </pic:pic>
              </a:graphicData>
            </a:graphic>
          </wp:inline>
        </w:drawing>
      </w:r>
      <w:r>
        <w:rPr>
          <w:rFonts w:ascii="Times New Roman" w:hAnsi="Times New Roman" w:cs="Times New Roman" w:hint="eastAsia"/>
          <w:b/>
          <w:bCs/>
        </w:rPr>
        <w:t xml:space="preserve"> F</w:t>
      </w:r>
      <w:r>
        <w:rPr>
          <w:rFonts w:ascii="Times New Roman" w:hAnsi="Times New Roman" w:cs="Times New Roman"/>
          <w:b/>
          <w:bCs/>
        </w:rPr>
        <w:t>ig</w:t>
      </w:r>
      <w:r>
        <w:rPr>
          <w:rFonts w:ascii="Times New Roman" w:hAnsi="Times New Roman" w:cs="Times New Roman" w:hint="eastAsia"/>
          <w:b/>
          <w:bCs/>
        </w:rPr>
        <w:t>ure</w:t>
      </w:r>
      <w:r>
        <w:rPr>
          <w:rFonts w:ascii="Times New Roman" w:hAnsi="Times New Roman" w:cs="Times New Roman"/>
          <w:b/>
          <w:bCs/>
        </w:rPr>
        <w:t xml:space="preserve"> S</w:t>
      </w:r>
      <w:r>
        <w:rPr>
          <w:rFonts w:ascii="Times New Roman" w:hAnsi="Times New Roman" w:cs="Times New Roman" w:hint="eastAsia"/>
          <w:b/>
          <w:bCs/>
        </w:rPr>
        <w:t xml:space="preserve">4. </w:t>
      </w:r>
      <w:r>
        <w:rPr>
          <w:rFonts w:ascii="Times New Roman" w:hAnsi="Times New Roman" w:cs="Times New Roman"/>
          <w:b/>
          <w:bCs/>
        </w:rPr>
        <w:t>(a)</w:t>
      </w:r>
      <w:r>
        <w:rPr>
          <w:rFonts w:ascii="Times New Roman" w:hAnsi="Times New Roman" w:cs="Times New Roman" w:hint="eastAsia"/>
          <w:b/>
          <w:bCs/>
        </w:rPr>
        <w:t xml:space="preserve"> </w:t>
      </w:r>
      <w:r>
        <w:rPr>
          <w:rFonts w:ascii="Times New Roman" w:hAnsi="Times New Roman" w:cs="Times New Roman" w:hint="eastAsia"/>
        </w:rPr>
        <w:t xml:space="preserve">The DTPA extractable Cd concentrations and </w:t>
      </w:r>
      <w:r>
        <w:rPr>
          <w:rFonts w:ascii="Times New Roman" w:hAnsi="Times New Roman" w:cs="Times New Roman" w:hint="eastAsia"/>
          <w:b/>
          <w:bCs/>
        </w:rPr>
        <w:t xml:space="preserve">(b) </w:t>
      </w:r>
      <w:r>
        <w:rPr>
          <w:rFonts w:ascii="Times New Roman" w:hAnsi="Times New Roman" w:cs="Times New Roman" w:hint="eastAsia"/>
        </w:rPr>
        <w:t xml:space="preserve">soil </w:t>
      </w:r>
      <w:proofErr w:type="spellStart"/>
      <w:r>
        <w:rPr>
          <w:rFonts w:ascii="Times New Roman" w:hAnsi="Times New Roman" w:cs="Times New Roman" w:hint="eastAsia"/>
        </w:rPr>
        <w:t>pH</w:t>
      </w:r>
      <w:r>
        <w:rPr>
          <w:rFonts w:ascii="Times New Roman" w:hAnsi="Times New Roman" w:cs="Times New Roman"/>
        </w:rPr>
        <w:t>.</w:t>
      </w:r>
      <w:proofErr w:type="spellEnd"/>
      <w:r>
        <w:rPr>
          <w:rFonts w:ascii="Times New Roman" w:hAnsi="Times New Roman" w:cs="Times New Roman"/>
        </w:rPr>
        <w:t xml:space="preserve"> </w:t>
      </w:r>
      <w:r>
        <w:rPr>
          <w:rFonts w:ascii="Times New Roman" w:hAnsi="Times New Roman" w:cs="Times New Roman" w:hint="eastAsia"/>
          <w:szCs w:val="21"/>
        </w:rPr>
        <w:t xml:space="preserve">No-Cd, Low-Cd, Medium-Cd, High-Cd </w:t>
      </w:r>
      <w:r>
        <w:rPr>
          <w:rFonts w:ascii="Times New Roman" w:hAnsi="Times New Roman" w:cs="Times New Roman"/>
          <w:szCs w:val="21"/>
        </w:rPr>
        <w:t xml:space="preserve">represent the soils without Cd addition, with </w:t>
      </w:r>
      <w:r>
        <w:rPr>
          <w:rFonts w:ascii="Times New Roman" w:hAnsi="Times New Roman" w:cs="Times New Roman" w:hint="eastAsia"/>
          <w:szCs w:val="21"/>
        </w:rPr>
        <w:t xml:space="preserve">low Cd </w:t>
      </w:r>
      <w:r>
        <w:rPr>
          <w:rFonts w:ascii="Times New Roman" w:hAnsi="Times New Roman" w:cs="Times New Roman"/>
          <w:szCs w:val="21"/>
        </w:rPr>
        <w:t xml:space="preserve">addition, </w:t>
      </w:r>
      <w:r>
        <w:rPr>
          <w:rFonts w:ascii="Times New Roman" w:hAnsi="Times New Roman" w:cs="Times New Roman" w:hint="eastAsia"/>
          <w:szCs w:val="21"/>
        </w:rPr>
        <w:t xml:space="preserve">with </w:t>
      </w:r>
      <w:r>
        <w:rPr>
          <w:rFonts w:ascii="Times New Roman" w:hAnsi="Times New Roman" w:cs="Times New Roman"/>
          <w:szCs w:val="21"/>
        </w:rPr>
        <w:t>medium</w:t>
      </w:r>
      <w:r>
        <w:rPr>
          <w:rFonts w:ascii="Times New Roman" w:hAnsi="Times New Roman" w:cs="Times New Roman" w:hint="eastAsia"/>
          <w:szCs w:val="21"/>
        </w:rPr>
        <w:t xml:space="preserve"> Cd </w:t>
      </w:r>
      <w:r>
        <w:rPr>
          <w:rFonts w:ascii="Times New Roman" w:hAnsi="Times New Roman" w:cs="Times New Roman"/>
          <w:szCs w:val="21"/>
        </w:rPr>
        <w:t xml:space="preserve">addition, and </w:t>
      </w:r>
      <w:r>
        <w:rPr>
          <w:rFonts w:ascii="Times New Roman" w:hAnsi="Times New Roman" w:cs="Times New Roman" w:hint="eastAsia"/>
          <w:szCs w:val="21"/>
        </w:rPr>
        <w:t xml:space="preserve">with </w:t>
      </w:r>
      <w:r>
        <w:rPr>
          <w:rFonts w:ascii="Times New Roman" w:hAnsi="Times New Roman" w:cs="Times New Roman"/>
          <w:szCs w:val="21"/>
        </w:rPr>
        <w:t xml:space="preserve">high </w:t>
      </w:r>
      <w:r>
        <w:rPr>
          <w:rFonts w:ascii="Times New Roman" w:hAnsi="Times New Roman" w:cs="Times New Roman" w:hint="eastAsia"/>
          <w:szCs w:val="21"/>
        </w:rPr>
        <w:t xml:space="preserve">Cd </w:t>
      </w:r>
      <w:r>
        <w:rPr>
          <w:rFonts w:ascii="Times New Roman" w:hAnsi="Times New Roman" w:cs="Times New Roman"/>
          <w:szCs w:val="21"/>
        </w:rPr>
        <w:t>addition, respectively</w:t>
      </w:r>
      <w:r>
        <w:rPr>
          <w:rFonts w:ascii="Times New Roman" w:hAnsi="Times New Roman" w:cs="Times New Roman" w:hint="eastAsia"/>
          <w:szCs w:val="21"/>
        </w:rPr>
        <w:t xml:space="preserve">. </w:t>
      </w:r>
      <w:proofErr w:type="spellStart"/>
      <w:r>
        <w:rPr>
          <w:rFonts w:ascii="Times New Roman" w:hAnsi="Times New Roman" w:cs="Times New Roman" w:hint="eastAsia"/>
          <w:szCs w:val="21"/>
        </w:rPr>
        <w:t>BC+No-Cd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BC+Low-Cd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BC+Medium-Cd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BC+High-Cd</w:t>
      </w:r>
      <w:proofErr w:type="spellEnd"/>
      <w:r>
        <w:rPr>
          <w:rFonts w:ascii="Times New Roman" w:hAnsi="Times New Roman" w:cs="Times New Roman" w:hint="eastAsia"/>
          <w:szCs w:val="21"/>
        </w:rPr>
        <w:t xml:space="preserve"> </w:t>
      </w:r>
      <w:r>
        <w:rPr>
          <w:rFonts w:ascii="Times New Roman" w:hAnsi="Times New Roman" w:cs="Times New Roman"/>
          <w:szCs w:val="21"/>
        </w:rPr>
        <w:t xml:space="preserve">represent the soils amended with biochar without Cd </w:t>
      </w:r>
      <w:proofErr w:type="gramStart"/>
      <w:r>
        <w:rPr>
          <w:rFonts w:ascii="Times New Roman" w:hAnsi="Times New Roman" w:cs="Times New Roman"/>
          <w:szCs w:val="21"/>
        </w:rPr>
        <w:t>addition,  with</w:t>
      </w:r>
      <w:proofErr w:type="gramEnd"/>
      <w:r>
        <w:rPr>
          <w:rFonts w:ascii="Times New Roman" w:hAnsi="Times New Roman" w:cs="Times New Roman"/>
          <w:szCs w:val="21"/>
        </w:rPr>
        <w:t xml:space="preserve"> low</w:t>
      </w:r>
      <w:r>
        <w:rPr>
          <w:rFonts w:ascii="Times New Roman" w:hAnsi="Times New Roman" w:cs="Times New Roman" w:hint="eastAsia"/>
          <w:szCs w:val="21"/>
        </w:rPr>
        <w:t xml:space="preserve"> Cd </w:t>
      </w:r>
      <w:r>
        <w:rPr>
          <w:rFonts w:ascii="Times New Roman" w:hAnsi="Times New Roman" w:cs="Times New Roman"/>
          <w:szCs w:val="21"/>
        </w:rPr>
        <w:t xml:space="preserve">addition, </w:t>
      </w:r>
      <w:r>
        <w:rPr>
          <w:rFonts w:ascii="Times New Roman" w:hAnsi="Times New Roman" w:cs="Times New Roman" w:hint="eastAsia"/>
          <w:szCs w:val="21"/>
        </w:rPr>
        <w:t xml:space="preserve">with </w:t>
      </w:r>
      <w:r>
        <w:rPr>
          <w:rFonts w:ascii="Times New Roman" w:hAnsi="Times New Roman" w:cs="Times New Roman"/>
          <w:szCs w:val="21"/>
        </w:rPr>
        <w:t>medium</w:t>
      </w:r>
      <w:r>
        <w:rPr>
          <w:rFonts w:ascii="Times New Roman" w:hAnsi="Times New Roman" w:cs="Times New Roman" w:hint="eastAsia"/>
          <w:szCs w:val="21"/>
        </w:rPr>
        <w:t xml:space="preserve"> Cd </w:t>
      </w:r>
      <w:r>
        <w:rPr>
          <w:rFonts w:ascii="Times New Roman" w:hAnsi="Times New Roman" w:cs="Times New Roman"/>
          <w:szCs w:val="21"/>
        </w:rPr>
        <w:t xml:space="preserve">addition, and </w:t>
      </w:r>
      <w:r>
        <w:rPr>
          <w:rFonts w:ascii="Times New Roman" w:hAnsi="Times New Roman" w:cs="Times New Roman" w:hint="eastAsia"/>
          <w:szCs w:val="21"/>
        </w:rPr>
        <w:t xml:space="preserve">with </w:t>
      </w:r>
      <w:r>
        <w:rPr>
          <w:rFonts w:ascii="Times New Roman" w:hAnsi="Times New Roman" w:cs="Times New Roman"/>
          <w:szCs w:val="21"/>
        </w:rPr>
        <w:t>high</w:t>
      </w:r>
      <w:r>
        <w:rPr>
          <w:rFonts w:ascii="Times New Roman" w:hAnsi="Times New Roman" w:cs="Times New Roman" w:hint="eastAsia"/>
          <w:szCs w:val="21"/>
        </w:rPr>
        <w:t xml:space="preserve"> Cd </w:t>
      </w:r>
      <w:r>
        <w:rPr>
          <w:rFonts w:ascii="Times New Roman" w:hAnsi="Times New Roman" w:cs="Times New Roman"/>
          <w:szCs w:val="21"/>
        </w:rPr>
        <w:t>addition, respectively.</w:t>
      </w:r>
      <w:r>
        <w:rPr>
          <w:rFonts w:ascii="Times New Roman" w:hAnsi="Times New Roman" w:cs="Times New Roman" w:hint="eastAsia"/>
          <w:szCs w:val="21"/>
        </w:rPr>
        <w:t xml:space="preserve"> </w:t>
      </w:r>
      <w:r>
        <w:rPr>
          <w:rFonts w:ascii="Times New Roman" w:hAnsi="Times New Roman" w:cs="Times New Roman"/>
        </w:rPr>
        <w:t>Note that error bars represent standard errors of the means (</w:t>
      </w:r>
      <w:r>
        <w:rPr>
          <w:rFonts w:ascii="Times New Roman" w:hAnsi="Times New Roman" w:cs="Times New Roman"/>
          <w:i/>
          <w:iCs/>
        </w:rPr>
        <w:t>n</w:t>
      </w:r>
      <w:r>
        <w:rPr>
          <w:rFonts w:ascii="Times New Roman" w:hAnsi="Times New Roman" w:cs="Times New Roman"/>
        </w:rPr>
        <w:t xml:space="preserve"> = 3); bars with different lowercase letters indicate significant differences (</w:t>
      </w:r>
      <w:r>
        <w:rPr>
          <w:rFonts w:ascii="Times New Roman" w:hAnsi="Times New Roman" w:cs="Times New Roman"/>
          <w:i/>
          <w:iCs/>
        </w:rPr>
        <w:t xml:space="preserve">p </w:t>
      </w:r>
      <w:r>
        <w:rPr>
          <w:rFonts w:ascii="Times New Roman" w:hAnsi="Times New Roman" w:cs="Times New Roman"/>
        </w:rPr>
        <w:t>&lt; 0.05)</w:t>
      </w:r>
      <w:r>
        <w:rPr>
          <w:rFonts w:ascii="Times New Roman" w:hAnsi="Times New Roman" w:cs="Times New Roman" w:hint="eastAsia"/>
        </w:rPr>
        <w:t>.</w:t>
      </w:r>
    </w:p>
    <w:p w14:paraId="7321BFBF" w14:textId="77777777" w:rsidR="00CA2AF5" w:rsidRDefault="00000000">
      <w:pPr>
        <w:widowControl/>
        <w:jc w:val="left"/>
        <w:rPr>
          <w:rFonts w:hint="eastAsia"/>
        </w:rPr>
      </w:pPr>
      <w:r>
        <w:rPr>
          <w:rFonts w:hint="eastAsia"/>
        </w:rPr>
        <w:br w:type="page"/>
      </w:r>
    </w:p>
    <w:p w14:paraId="3186C738" w14:textId="60C592E6" w:rsidR="00CA2AF5" w:rsidRDefault="00000000">
      <w:pPr>
        <w:rPr>
          <w:rFonts w:hint="eastAsia"/>
        </w:rPr>
      </w:pPr>
      <w:r>
        <w:rPr>
          <w:rFonts w:hint="eastAsia"/>
          <w:noProof/>
        </w:rPr>
        <w:lastRenderedPageBreak/>
        <w:drawing>
          <wp:inline distT="0" distB="0" distL="0" distR="0" wp14:anchorId="643A4190" wp14:editId="36DF4E1B">
            <wp:extent cx="5228070" cy="4227771"/>
            <wp:effectExtent l="0" t="0" r="0" b="1905"/>
            <wp:docPr id="9393672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67234"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28070" cy="4227771"/>
                    </a:xfrm>
                    <a:prstGeom prst="rect">
                      <a:avLst/>
                    </a:prstGeom>
                  </pic:spPr>
                </pic:pic>
              </a:graphicData>
            </a:graphic>
          </wp:inline>
        </w:drawing>
      </w:r>
    </w:p>
    <w:p w14:paraId="05E2FDB2" w14:textId="15264A9A" w:rsidR="00CA2AF5" w:rsidRDefault="00000000">
      <w:pPr>
        <w:autoSpaceDE w:val="0"/>
        <w:autoSpaceDN w:val="0"/>
        <w:adjustRightInd w:val="0"/>
        <w:jc w:val="left"/>
        <w:rPr>
          <w:rFonts w:ascii="Times New Roman" w:hAnsi="Times New Roman" w:cs="Times New Roman"/>
        </w:rPr>
      </w:pPr>
      <w:r>
        <w:rPr>
          <w:rFonts w:ascii="Times New Roman" w:hAnsi="Times New Roman" w:cs="Times New Roman" w:hint="eastAsia"/>
          <w:b/>
          <w:bCs/>
        </w:rPr>
        <w:t>F</w:t>
      </w:r>
      <w:r>
        <w:rPr>
          <w:rFonts w:ascii="Times New Roman" w:hAnsi="Times New Roman" w:cs="Times New Roman"/>
          <w:b/>
          <w:bCs/>
        </w:rPr>
        <w:t>ig</w:t>
      </w:r>
      <w:r>
        <w:rPr>
          <w:rFonts w:ascii="Times New Roman" w:hAnsi="Times New Roman" w:cs="Times New Roman" w:hint="eastAsia"/>
          <w:b/>
          <w:bCs/>
        </w:rPr>
        <w:t>ure</w:t>
      </w:r>
      <w:r>
        <w:rPr>
          <w:rFonts w:ascii="Times New Roman" w:hAnsi="Times New Roman" w:cs="Times New Roman"/>
          <w:b/>
          <w:bCs/>
        </w:rPr>
        <w:t xml:space="preserve"> S</w:t>
      </w:r>
      <w:r>
        <w:rPr>
          <w:rFonts w:ascii="Times New Roman" w:hAnsi="Times New Roman" w:cs="Times New Roman" w:hint="eastAsia"/>
          <w:b/>
          <w:bCs/>
        </w:rPr>
        <w:t>5</w:t>
      </w:r>
      <w:r>
        <w:rPr>
          <w:rFonts w:ascii="Times New Roman" w:hAnsi="Times New Roman" w:cs="Times New Roman"/>
          <w:b/>
          <w:bCs/>
        </w:rPr>
        <w:t>.</w:t>
      </w:r>
      <w:r>
        <w:rPr>
          <w:rFonts w:ascii="Times New Roman" w:hAnsi="Times New Roman" w:cs="Times New Roman" w:hint="eastAsia"/>
          <w:b/>
          <w:bCs/>
        </w:rPr>
        <w:t xml:space="preserve"> </w:t>
      </w:r>
      <w:r>
        <w:rPr>
          <w:rFonts w:ascii="Times New Roman" w:hAnsi="Times New Roman" w:cs="Times New Roman"/>
          <w:b/>
          <w:bCs/>
        </w:rPr>
        <w:t>(a)</w:t>
      </w:r>
      <w:r>
        <w:rPr>
          <w:rFonts w:ascii="Times New Roman" w:hAnsi="Times New Roman" w:cs="Times New Roman" w:hint="eastAsia"/>
          <w:b/>
          <w:bCs/>
        </w:rPr>
        <w:t xml:space="preserve"> </w:t>
      </w:r>
      <w:r>
        <w:rPr>
          <w:rFonts w:ascii="Times New Roman" w:hAnsi="Times New Roman" w:cs="Times New Roman" w:hint="eastAsia"/>
        </w:rPr>
        <w:t xml:space="preserve">Abundance of fungi and bacteria. </w:t>
      </w:r>
      <w:r>
        <w:rPr>
          <w:rFonts w:ascii="Times New Roman" w:hAnsi="Times New Roman" w:cs="Times New Roman"/>
          <w:b/>
          <w:bCs/>
        </w:rPr>
        <w:t>(</w:t>
      </w:r>
      <w:r>
        <w:rPr>
          <w:rFonts w:ascii="Times New Roman" w:hAnsi="Times New Roman" w:cs="Times New Roman" w:hint="eastAsia"/>
          <w:b/>
          <w:bCs/>
        </w:rPr>
        <w:t>b</w:t>
      </w:r>
      <w:r>
        <w:rPr>
          <w:rFonts w:ascii="Times New Roman" w:hAnsi="Times New Roman" w:cs="Times New Roman"/>
          <w:b/>
          <w:bCs/>
        </w:rPr>
        <w:t>)</w:t>
      </w:r>
      <w:r>
        <w:rPr>
          <w:rFonts w:ascii="Times New Roman" w:hAnsi="Times New Roman" w:cs="Times New Roman" w:hint="eastAsia"/>
        </w:rPr>
        <w:t xml:space="preserve"> Abundance of </w:t>
      </w:r>
      <w:r>
        <w:rPr>
          <w:rFonts w:ascii="Times New Roman" w:hAnsi="Times New Roman" w:cs="Times New Roman"/>
        </w:rPr>
        <w:t>Gram-positive bacteria (G</w:t>
      </w:r>
      <w:r w:rsidRPr="00C15465">
        <w:rPr>
          <w:rFonts w:ascii="Times New Roman" w:hAnsi="Times New Roman" w:cs="Times New Roman"/>
          <w:vertAlign w:val="superscript"/>
        </w:rPr>
        <w:t>+</w:t>
      </w:r>
      <w:r>
        <w:rPr>
          <w:rFonts w:ascii="Times New Roman" w:hAnsi="Times New Roman" w:cs="Times New Roman"/>
        </w:rPr>
        <w:t>-bacteria)</w:t>
      </w:r>
      <w:r>
        <w:rPr>
          <w:rFonts w:ascii="Times New Roman" w:hAnsi="Times New Roman" w:cs="Times New Roman" w:hint="eastAsia"/>
        </w:rPr>
        <w:t xml:space="preserve"> and </w:t>
      </w:r>
      <w:r>
        <w:rPr>
          <w:rFonts w:ascii="Times New Roman" w:hAnsi="Times New Roman" w:cs="Times New Roman"/>
        </w:rPr>
        <w:t>Gram-negative bacteria (G</w:t>
      </w:r>
      <w:r w:rsidRPr="00C15465">
        <w:rPr>
          <w:rFonts w:ascii="Times New Roman" w:hAnsi="Times New Roman" w:cs="Times New Roman"/>
          <w:vertAlign w:val="superscript"/>
        </w:rPr>
        <w:t>−</w:t>
      </w:r>
      <w:r>
        <w:rPr>
          <w:rFonts w:ascii="Times New Roman" w:hAnsi="Times New Roman" w:cs="Times New Roman"/>
        </w:rPr>
        <w:t>-bacteria)</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b/>
          <w:bCs/>
        </w:rPr>
        <w:t>(</w:t>
      </w:r>
      <w:r>
        <w:rPr>
          <w:rFonts w:ascii="Times New Roman" w:hAnsi="Times New Roman" w:cs="Times New Roman" w:hint="eastAsia"/>
          <w:b/>
          <w:bCs/>
        </w:rPr>
        <w:t>c</w:t>
      </w:r>
      <w:r>
        <w:rPr>
          <w:rFonts w:ascii="Times New Roman" w:hAnsi="Times New Roman" w:cs="Times New Roman"/>
          <w:b/>
          <w:bCs/>
        </w:rPr>
        <w:t>)</w:t>
      </w:r>
      <w:r>
        <w:rPr>
          <w:rFonts w:ascii="Times New Roman" w:hAnsi="Times New Roman" w:cs="Times New Roman" w:hint="eastAsia"/>
        </w:rPr>
        <w:t xml:space="preserve"> Abundance of anaerobes and aerobes.</w:t>
      </w:r>
      <w:r>
        <w:rPr>
          <w:rFonts w:ascii="Times New Roman" w:hAnsi="Times New Roman" w:cs="Times New Roman"/>
          <w:b/>
          <w:bCs/>
        </w:rPr>
        <w:t xml:space="preserve"> (</w:t>
      </w:r>
      <w:r>
        <w:rPr>
          <w:rFonts w:ascii="Times New Roman" w:hAnsi="Times New Roman" w:cs="Times New Roman" w:hint="eastAsia"/>
          <w:b/>
          <w:bCs/>
        </w:rPr>
        <w:t>d</w:t>
      </w:r>
      <w:r>
        <w:rPr>
          <w:rFonts w:ascii="Times New Roman" w:hAnsi="Times New Roman" w:cs="Times New Roman"/>
          <w:b/>
          <w:bCs/>
        </w:rPr>
        <w:t xml:space="preserve">) </w:t>
      </w:r>
      <w:r>
        <w:rPr>
          <w:rFonts w:ascii="Times New Roman" w:hAnsi="Times New Roman" w:cs="Times New Roman" w:hint="eastAsia"/>
        </w:rPr>
        <w:t>Abundance of protozoa, psychrophilic bacteria and actinomycetes</w:t>
      </w:r>
      <w:r>
        <w:rPr>
          <w:rFonts w:ascii="Times New Roman" w:hAnsi="Times New Roman" w:cs="Times New Roman"/>
        </w:rPr>
        <w:t xml:space="preserve">. </w:t>
      </w:r>
      <w:proofErr w:type="spellStart"/>
      <w:r>
        <w:rPr>
          <w:rFonts w:ascii="Times New Roman" w:hAnsi="Times New Roman" w:cs="Times New Roman" w:hint="eastAsia"/>
          <w:szCs w:val="21"/>
        </w:rPr>
        <w:t>BC+No-Cd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BC+Low-Cd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BC+Medium-Cd</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BC+High-Cd</w:t>
      </w:r>
      <w:proofErr w:type="spellEnd"/>
      <w:r>
        <w:rPr>
          <w:rFonts w:ascii="Times New Roman" w:hAnsi="Times New Roman" w:cs="Times New Roman" w:hint="eastAsia"/>
          <w:szCs w:val="21"/>
        </w:rPr>
        <w:t xml:space="preserve"> </w:t>
      </w:r>
      <w:r>
        <w:rPr>
          <w:rFonts w:ascii="Times New Roman" w:hAnsi="Times New Roman" w:cs="Times New Roman"/>
          <w:szCs w:val="21"/>
        </w:rPr>
        <w:t>represent the soils amended with biochar without Cd addition, with low</w:t>
      </w:r>
      <w:r>
        <w:rPr>
          <w:rFonts w:ascii="Times New Roman" w:hAnsi="Times New Roman" w:cs="Times New Roman" w:hint="eastAsia"/>
          <w:szCs w:val="21"/>
        </w:rPr>
        <w:t xml:space="preserve"> Cd </w:t>
      </w:r>
      <w:r>
        <w:rPr>
          <w:rFonts w:ascii="Times New Roman" w:hAnsi="Times New Roman" w:cs="Times New Roman"/>
          <w:szCs w:val="21"/>
        </w:rPr>
        <w:t xml:space="preserve">addition, </w:t>
      </w:r>
      <w:r>
        <w:rPr>
          <w:rFonts w:ascii="Times New Roman" w:hAnsi="Times New Roman" w:cs="Times New Roman" w:hint="eastAsia"/>
          <w:szCs w:val="21"/>
        </w:rPr>
        <w:t xml:space="preserve">with </w:t>
      </w:r>
      <w:r>
        <w:rPr>
          <w:rFonts w:ascii="Times New Roman" w:hAnsi="Times New Roman" w:cs="Times New Roman"/>
          <w:szCs w:val="21"/>
        </w:rPr>
        <w:t>medium</w:t>
      </w:r>
      <w:r>
        <w:rPr>
          <w:rFonts w:ascii="Times New Roman" w:hAnsi="Times New Roman" w:cs="Times New Roman" w:hint="eastAsia"/>
          <w:szCs w:val="21"/>
        </w:rPr>
        <w:t xml:space="preserve"> Cd </w:t>
      </w:r>
      <w:r>
        <w:rPr>
          <w:rFonts w:ascii="Times New Roman" w:hAnsi="Times New Roman" w:cs="Times New Roman"/>
          <w:szCs w:val="21"/>
        </w:rPr>
        <w:t xml:space="preserve">addition, and </w:t>
      </w:r>
      <w:r>
        <w:rPr>
          <w:rFonts w:ascii="Times New Roman" w:hAnsi="Times New Roman" w:cs="Times New Roman" w:hint="eastAsia"/>
          <w:szCs w:val="21"/>
        </w:rPr>
        <w:t xml:space="preserve">with </w:t>
      </w:r>
      <w:r>
        <w:rPr>
          <w:rFonts w:ascii="Times New Roman" w:hAnsi="Times New Roman" w:cs="Times New Roman"/>
          <w:szCs w:val="21"/>
        </w:rPr>
        <w:t xml:space="preserve">high </w:t>
      </w:r>
      <w:r>
        <w:rPr>
          <w:rFonts w:ascii="Times New Roman" w:hAnsi="Times New Roman" w:cs="Times New Roman" w:hint="eastAsia"/>
          <w:szCs w:val="21"/>
        </w:rPr>
        <w:t xml:space="preserve">Cd </w:t>
      </w:r>
      <w:r>
        <w:rPr>
          <w:rFonts w:ascii="Times New Roman" w:hAnsi="Times New Roman" w:cs="Times New Roman"/>
          <w:szCs w:val="21"/>
        </w:rPr>
        <w:t>addition, respectively.</w:t>
      </w:r>
      <w:r>
        <w:rPr>
          <w:rFonts w:ascii="Times New Roman" w:hAnsi="Times New Roman" w:cs="Times New Roman" w:hint="eastAsia"/>
          <w:szCs w:val="21"/>
        </w:rPr>
        <w:t xml:space="preserve"> </w:t>
      </w:r>
      <w:r>
        <w:rPr>
          <w:rFonts w:ascii="Times New Roman" w:hAnsi="Times New Roman" w:cs="Times New Roman"/>
        </w:rPr>
        <w:t>Note that error bars represent standard errors of the means (</w:t>
      </w:r>
      <w:r>
        <w:rPr>
          <w:rFonts w:ascii="Times New Roman" w:hAnsi="Times New Roman" w:cs="Times New Roman"/>
          <w:i/>
          <w:iCs/>
        </w:rPr>
        <w:t>n</w:t>
      </w:r>
      <w:r>
        <w:rPr>
          <w:rFonts w:ascii="Times New Roman" w:hAnsi="Times New Roman" w:cs="Times New Roman"/>
        </w:rPr>
        <w:t xml:space="preserve"> = 3); bars with different lowercase letters indicate significant differences (</w:t>
      </w:r>
      <w:r>
        <w:rPr>
          <w:rFonts w:ascii="Times New Roman" w:hAnsi="Times New Roman" w:cs="Times New Roman"/>
          <w:i/>
          <w:iCs/>
        </w:rPr>
        <w:t xml:space="preserve">p </w:t>
      </w:r>
      <w:r>
        <w:rPr>
          <w:rFonts w:ascii="Times New Roman" w:hAnsi="Times New Roman" w:cs="Times New Roman"/>
        </w:rPr>
        <w:t>&lt; 0.05)</w:t>
      </w:r>
      <w:r>
        <w:rPr>
          <w:rFonts w:ascii="Times New Roman" w:hAnsi="Times New Roman" w:cs="Times New Roman" w:hint="eastAsia"/>
        </w:rPr>
        <w:t>.</w:t>
      </w:r>
    </w:p>
    <w:p w14:paraId="6EF49B0A" w14:textId="77777777" w:rsidR="00CA2AF5" w:rsidRDefault="00CA2AF5">
      <w:pPr>
        <w:autoSpaceDE w:val="0"/>
        <w:autoSpaceDN w:val="0"/>
        <w:adjustRightInd w:val="0"/>
        <w:jc w:val="left"/>
        <w:rPr>
          <w:rFonts w:hint="eastAsia"/>
        </w:rPr>
      </w:pPr>
    </w:p>
    <w:p w14:paraId="6C6F2007" w14:textId="77777777" w:rsidR="00CA2AF5" w:rsidRDefault="00000000">
      <w:pPr>
        <w:widowControl/>
        <w:jc w:val="left"/>
        <w:rPr>
          <w:rFonts w:hint="eastAsia"/>
        </w:rPr>
      </w:pPr>
      <w:r>
        <w:rPr>
          <w:rFonts w:hint="eastAsia"/>
        </w:rPr>
        <w:br w:type="page"/>
      </w:r>
    </w:p>
    <w:p w14:paraId="1C48044E" w14:textId="77777777" w:rsidR="00CA2AF5" w:rsidRDefault="00000000">
      <w:pPr>
        <w:autoSpaceDE w:val="0"/>
        <w:autoSpaceDN w:val="0"/>
        <w:adjustRightInd w:val="0"/>
        <w:jc w:val="left"/>
        <w:rPr>
          <w:rFonts w:ascii="Times New Roman" w:hAnsi="Times New Roman" w:cs="Times New Roman"/>
          <w:kern w:val="0"/>
          <w:sz w:val="24"/>
          <w:szCs w:val="24"/>
        </w:rPr>
      </w:pPr>
      <w:r>
        <w:rPr>
          <w:rFonts w:hint="eastAsia"/>
        </w:rPr>
        <w:lastRenderedPageBreak/>
        <w:fldChar w:fldCharType="begin"/>
      </w:r>
      <w:r>
        <w:rPr>
          <w:rFonts w:hint="eastAsia"/>
        </w:rPr>
        <w:instrText xml:space="preserve"> ADDIN NE.Bib</w:instrText>
      </w:r>
      <w:r>
        <w:rPr>
          <w:rFonts w:hint="eastAsia"/>
        </w:rPr>
        <w:fldChar w:fldCharType="separate"/>
      </w:r>
    </w:p>
    <w:p w14:paraId="11D9E23B" w14:textId="77777777" w:rsidR="00CA2AF5" w:rsidRDefault="00000000">
      <w:pPr>
        <w:autoSpaceDE w:val="0"/>
        <w:autoSpaceDN w:val="0"/>
        <w:adjustRightInd w:val="0"/>
        <w:spacing w:before="200"/>
        <w:jc w:val="left"/>
        <w:rPr>
          <w:rFonts w:ascii="Times New Roman" w:hAnsi="Times New Roman" w:cs="Times New Roman"/>
          <w:kern w:val="0"/>
          <w:sz w:val="24"/>
          <w:szCs w:val="24"/>
        </w:rPr>
      </w:pPr>
      <w:r>
        <w:rPr>
          <w:rFonts w:ascii="Times New Roman" w:hAnsi="Times New Roman" w:cs="Times New Roman" w:hint="eastAsia"/>
          <w:b/>
          <w:bCs/>
          <w:color w:val="000000"/>
          <w:kern w:val="0"/>
          <w:sz w:val="28"/>
          <w:szCs w:val="28"/>
        </w:rPr>
        <w:t>R</w:t>
      </w:r>
      <w:r>
        <w:rPr>
          <w:rFonts w:ascii="Times New Roman" w:hAnsi="Times New Roman" w:cs="Times New Roman"/>
          <w:b/>
          <w:bCs/>
          <w:color w:val="000000"/>
          <w:kern w:val="0"/>
          <w:sz w:val="28"/>
          <w:szCs w:val="28"/>
        </w:rPr>
        <w:t>eferences</w:t>
      </w:r>
    </w:p>
    <w:p w14:paraId="6EC8A641" w14:textId="7908C2F8" w:rsidR="00CA2AF5" w:rsidRDefault="00000000">
      <w:pPr>
        <w:autoSpaceDE w:val="0"/>
        <w:autoSpaceDN w:val="0"/>
        <w:adjustRightInd w:val="0"/>
        <w:ind w:left="460" w:hanging="46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[1] </w:t>
      </w:r>
      <w:bookmarkStart w:id="15" w:name="_nebA99C57B9_421C_4B4C_9E0F_9DF00D16740E"/>
      <w:r>
        <w:rPr>
          <w:rFonts w:ascii="Times New Roman" w:hAnsi="Times New Roman" w:cs="Times New Roman"/>
          <w:color w:val="000000"/>
          <w:kern w:val="0"/>
          <w:sz w:val="20"/>
          <w:szCs w:val="20"/>
        </w:rPr>
        <w:t>Chen L, Han L, Wang F, Chen Q, Huang H</w:t>
      </w:r>
      <w:r>
        <w:rPr>
          <w:rFonts w:ascii="Times New Roman" w:hAnsi="Times New Roman" w:cs="Times New Roman" w:hint="eastAsia"/>
          <w:color w:val="000000"/>
          <w:kern w:val="0"/>
          <w:sz w:val="20"/>
          <w:szCs w:val="20"/>
        </w:rPr>
        <w:t>,</w:t>
      </w:r>
      <w:r>
        <w:rPr>
          <w:rFonts w:ascii="Times New Roman" w:hAnsi="Times New Roman" w:cs="Times New Roman"/>
          <w:color w:val="000000"/>
          <w:kern w:val="0"/>
          <w:sz w:val="20"/>
          <w:szCs w:val="20"/>
        </w:rPr>
        <w:t xml:space="preserve"> et al. 2025. Polylactic acid microplastics induced negative priming and improved carbon sequestration via microbial processes in different paddy soils</w:t>
      </w:r>
      <w:r>
        <w:rPr>
          <w:rFonts w:ascii="Times New Roman" w:hAnsi="Times New Roman" w:cs="Times New Roman"/>
          <w:i/>
          <w:iCs/>
          <w:color w:val="000000"/>
          <w:kern w:val="0"/>
          <w:sz w:val="20"/>
          <w:szCs w:val="20"/>
        </w:rPr>
        <w:t>. Soil Biology &amp; Biochemistry</w:t>
      </w:r>
      <w:r>
        <w:rPr>
          <w:rFonts w:ascii="Times New Roman" w:hAnsi="Times New Roman" w:cs="Times New Roman"/>
          <w:color w:val="000000"/>
          <w:kern w:val="0"/>
          <w:sz w:val="20"/>
          <w:szCs w:val="20"/>
        </w:rPr>
        <w:t xml:space="preserve"> 201:</w:t>
      </w:r>
      <w:r w:rsidR="008A70E7">
        <w:rPr>
          <w:rFonts w:ascii="Times New Roman" w:hAnsi="Times New Roman" w:cs="Times New Roman" w:hint="eastAsia"/>
          <w:color w:val="000000"/>
          <w:kern w:val="0"/>
          <w:sz w:val="20"/>
          <w:szCs w:val="20"/>
        </w:rPr>
        <w:t xml:space="preserve"> </w:t>
      </w:r>
      <w:r>
        <w:rPr>
          <w:rFonts w:ascii="Times New Roman" w:hAnsi="Times New Roman" w:cs="Times New Roman"/>
          <w:color w:val="000000"/>
          <w:kern w:val="0"/>
          <w:sz w:val="20"/>
          <w:szCs w:val="20"/>
        </w:rPr>
        <w:t>109653</w:t>
      </w:r>
      <w:hyperlink r:id="rId16" w:history="1">
        <w:r w:rsidRPr="00AD76D8">
          <w:rPr>
            <w:rStyle w:val="af2"/>
            <w:rFonts w:ascii="Times New Roman" w:hAnsi="Times New Roman" w:cs="Times New Roman"/>
            <w:kern w:val="0"/>
            <w:sz w:val="20"/>
            <w:szCs w:val="20"/>
          </w:rPr>
          <w:t xml:space="preserve"> https://doi.org/10.1016/j.soilbio.2024.109653</w:t>
        </w:r>
        <w:bookmarkEnd w:id="15"/>
      </w:hyperlink>
    </w:p>
    <w:p w14:paraId="229F0DFE" w14:textId="602C99CE" w:rsidR="00CA2AF5" w:rsidRDefault="00000000">
      <w:pPr>
        <w:autoSpaceDE w:val="0"/>
        <w:autoSpaceDN w:val="0"/>
        <w:adjustRightInd w:val="0"/>
        <w:ind w:left="460" w:hanging="46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[2] </w:t>
      </w:r>
      <w:bookmarkStart w:id="16" w:name="_neb6A9DA4B8_74B8_4CE2_94AD_0A2A75A5C6DA"/>
      <w:r>
        <w:rPr>
          <w:rFonts w:ascii="Times New Roman" w:hAnsi="Times New Roman" w:cs="Times New Roman"/>
          <w:color w:val="000000"/>
          <w:kern w:val="0"/>
          <w:sz w:val="20"/>
          <w:szCs w:val="20"/>
        </w:rPr>
        <w:t>Zhu X, Mao L, Chen B. 2019. Driving forces linking microbial community structure and functions to enhanced carbon stability in biochar-amended soil</w:t>
      </w:r>
      <w:r>
        <w:rPr>
          <w:rFonts w:ascii="Times New Roman" w:hAnsi="Times New Roman" w:cs="Times New Roman"/>
          <w:i/>
          <w:iCs/>
          <w:color w:val="000000"/>
          <w:kern w:val="0"/>
          <w:sz w:val="20"/>
          <w:szCs w:val="20"/>
        </w:rPr>
        <w:t>. Environment International</w:t>
      </w:r>
      <w:r>
        <w:rPr>
          <w:rFonts w:ascii="Times New Roman" w:hAnsi="Times New Roman" w:cs="Times New Roman"/>
          <w:color w:val="000000"/>
          <w:kern w:val="0"/>
          <w:sz w:val="20"/>
          <w:szCs w:val="20"/>
        </w:rPr>
        <w:t xml:space="preserve"> 133:</w:t>
      </w:r>
      <w:r w:rsidR="008A70E7">
        <w:rPr>
          <w:rFonts w:ascii="Times New Roman" w:hAnsi="Times New Roman" w:cs="Times New Roman" w:hint="eastAsia"/>
          <w:color w:val="000000"/>
          <w:kern w:val="0"/>
          <w:sz w:val="20"/>
          <w:szCs w:val="20"/>
        </w:rPr>
        <w:t xml:space="preserve"> </w:t>
      </w:r>
      <w:r>
        <w:rPr>
          <w:rFonts w:ascii="Times New Roman" w:hAnsi="Times New Roman" w:cs="Times New Roman"/>
          <w:color w:val="000000"/>
          <w:kern w:val="0"/>
          <w:sz w:val="20"/>
          <w:szCs w:val="20"/>
        </w:rPr>
        <w:t xml:space="preserve">105211 </w:t>
      </w:r>
      <w:hyperlink r:id="rId17" w:history="1">
        <w:r w:rsidRPr="00AD76D8">
          <w:rPr>
            <w:rStyle w:val="af2"/>
            <w:rFonts w:ascii="Times New Roman" w:hAnsi="Times New Roman" w:cs="Times New Roman"/>
            <w:kern w:val="0"/>
            <w:sz w:val="20"/>
            <w:szCs w:val="20"/>
          </w:rPr>
          <w:t>https://doi.org/10.1016/j.envint.2019.105211</w:t>
        </w:r>
        <w:bookmarkEnd w:id="16"/>
      </w:hyperlink>
    </w:p>
    <w:p w14:paraId="4AE87ED9" w14:textId="2A155B77" w:rsidR="00CA2AF5" w:rsidRDefault="00000000">
      <w:pPr>
        <w:autoSpaceDE w:val="0"/>
        <w:autoSpaceDN w:val="0"/>
        <w:adjustRightInd w:val="0"/>
        <w:ind w:left="460" w:hanging="46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[3] </w:t>
      </w:r>
      <w:bookmarkStart w:id="17" w:name="_neb86C4E3E1_285A_4306_9336_B7177AD48E12"/>
      <w:r>
        <w:rPr>
          <w:rFonts w:ascii="Times New Roman" w:hAnsi="Times New Roman" w:cs="Times New Roman"/>
          <w:color w:val="000000"/>
          <w:kern w:val="0"/>
          <w:sz w:val="20"/>
          <w:szCs w:val="20"/>
        </w:rPr>
        <w:t>Han L, Liu B, Luo Y, Chen L, Ma C</w:t>
      </w:r>
      <w:r>
        <w:rPr>
          <w:rFonts w:ascii="Times New Roman" w:hAnsi="Times New Roman" w:cs="Times New Roman" w:hint="eastAsia"/>
          <w:color w:val="000000"/>
          <w:kern w:val="0"/>
          <w:sz w:val="20"/>
          <w:szCs w:val="20"/>
        </w:rPr>
        <w:t>,</w:t>
      </w:r>
      <w:r>
        <w:rPr>
          <w:rFonts w:ascii="Times New Roman" w:hAnsi="Times New Roman" w:cs="Times New Roman"/>
          <w:color w:val="000000"/>
          <w:kern w:val="0"/>
          <w:sz w:val="20"/>
          <w:szCs w:val="20"/>
        </w:rPr>
        <w:t xml:space="preserve"> et al. 2024. Quantifying the negative effects of dissolved organic carbon of maize straw-derived biochar on its carbon sequestration potential in a paddy soil</w:t>
      </w:r>
      <w:r>
        <w:rPr>
          <w:rFonts w:ascii="Times New Roman" w:hAnsi="Times New Roman" w:cs="Times New Roman"/>
          <w:i/>
          <w:iCs/>
          <w:color w:val="000000"/>
          <w:kern w:val="0"/>
          <w:sz w:val="20"/>
          <w:szCs w:val="20"/>
        </w:rPr>
        <w:t>. Soil Biology &amp; Biochemistry</w:t>
      </w:r>
      <w:r>
        <w:rPr>
          <w:rFonts w:ascii="Times New Roman" w:hAnsi="Times New Roman" w:cs="Times New Roman"/>
          <w:color w:val="000000"/>
          <w:kern w:val="0"/>
          <w:sz w:val="20"/>
          <w:szCs w:val="20"/>
        </w:rPr>
        <w:t xml:space="preserve"> 196:</w:t>
      </w:r>
      <w:r w:rsidR="008A70E7">
        <w:rPr>
          <w:rFonts w:ascii="Times New Roman" w:hAnsi="Times New Roman" w:cs="Times New Roman" w:hint="eastAsia"/>
          <w:color w:val="000000"/>
          <w:kern w:val="0"/>
          <w:sz w:val="20"/>
          <w:szCs w:val="20"/>
        </w:rPr>
        <w:t xml:space="preserve"> </w:t>
      </w:r>
      <w:r>
        <w:rPr>
          <w:rFonts w:ascii="Times New Roman" w:hAnsi="Times New Roman" w:cs="Times New Roman"/>
          <w:color w:val="000000"/>
          <w:kern w:val="0"/>
          <w:sz w:val="20"/>
          <w:szCs w:val="20"/>
        </w:rPr>
        <w:t xml:space="preserve">109500 </w:t>
      </w:r>
      <w:hyperlink r:id="rId18" w:history="1">
        <w:r w:rsidRPr="00AD76D8">
          <w:rPr>
            <w:rStyle w:val="af2"/>
            <w:rFonts w:ascii="Times New Roman" w:hAnsi="Times New Roman" w:cs="Times New Roman"/>
            <w:kern w:val="0"/>
            <w:sz w:val="20"/>
            <w:szCs w:val="20"/>
          </w:rPr>
          <w:t>https://doi.org/10.1016/j.soilbio.2024.109500</w:t>
        </w:r>
        <w:bookmarkEnd w:id="17"/>
      </w:hyperlink>
    </w:p>
    <w:p w14:paraId="54571FCD" w14:textId="32965E97" w:rsidR="00CA2AF5" w:rsidRDefault="00000000">
      <w:pPr>
        <w:autoSpaceDE w:val="0"/>
        <w:autoSpaceDN w:val="0"/>
        <w:adjustRightInd w:val="0"/>
        <w:ind w:left="460" w:hanging="46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[4] </w:t>
      </w:r>
      <w:bookmarkStart w:id="18" w:name="_neb66E8B23B_8199_41BC_9A19_F018AAB6AA7B"/>
      <w:r>
        <w:rPr>
          <w:rFonts w:ascii="Times New Roman" w:hAnsi="Times New Roman" w:cs="Times New Roman"/>
          <w:color w:val="000000"/>
          <w:kern w:val="0"/>
          <w:sz w:val="20"/>
          <w:szCs w:val="20"/>
        </w:rPr>
        <w:t>Elliott, E., T. 1986. Aggregate structure and carbon, nitrogen, and phosphorus in native and cultivated soils1</w:t>
      </w:r>
      <w:r>
        <w:rPr>
          <w:rFonts w:ascii="Times New Roman" w:hAnsi="Times New Roman" w:cs="Times New Roman"/>
          <w:i/>
          <w:iCs/>
          <w:color w:val="000000"/>
          <w:kern w:val="0"/>
          <w:sz w:val="20"/>
          <w:szCs w:val="20"/>
        </w:rPr>
        <w:t>. Soil Science Society of America Journal</w:t>
      </w:r>
      <w:r>
        <w:rPr>
          <w:rFonts w:ascii="Times New Roman" w:hAnsi="Times New Roman" w:cs="Times New Roman"/>
          <w:color w:val="000000"/>
          <w:kern w:val="0"/>
          <w:sz w:val="20"/>
          <w:szCs w:val="20"/>
        </w:rPr>
        <w:t xml:space="preserve"> 50:</w:t>
      </w:r>
      <w:r w:rsidR="008A70E7">
        <w:rPr>
          <w:rFonts w:ascii="Times New Roman" w:hAnsi="Times New Roman" w:cs="Times New Roman" w:hint="eastAsia"/>
          <w:color w:val="000000"/>
          <w:kern w:val="0"/>
          <w:sz w:val="20"/>
          <w:szCs w:val="20"/>
        </w:rPr>
        <w:t xml:space="preserve"> </w:t>
      </w:r>
      <w:r>
        <w:rPr>
          <w:rFonts w:ascii="Times New Roman" w:hAnsi="Times New Roman" w:cs="Times New Roman"/>
          <w:color w:val="000000"/>
          <w:kern w:val="0"/>
          <w:sz w:val="20"/>
          <w:szCs w:val="20"/>
        </w:rPr>
        <w:t xml:space="preserve">627 </w:t>
      </w:r>
      <w:bookmarkEnd w:id="18"/>
      <w:r w:rsidR="00AD76D8">
        <w:rPr>
          <w:rFonts w:ascii="Times New Roman" w:hAnsi="Times New Roman" w:cs="Times New Roman" w:hint="eastAsia"/>
          <w:color w:val="000000"/>
          <w:kern w:val="0"/>
          <w:sz w:val="20"/>
          <w:szCs w:val="20"/>
        </w:rPr>
        <w:t xml:space="preserve"> </w:t>
      </w:r>
      <w:hyperlink r:id="rId19" w:tgtFrame="_blank" w:history="1">
        <w:r w:rsidR="00AD76D8" w:rsidRPr="00AD76D8">
          <w:rPr>
            <w:rStyle w:val="af2"/>
            <w:rFonts w:ascii="Times New Roman" w:hAnsi="Times New Roman" w:cs="Times New Roman"/>
            <w:kern w:val="0"/>
            <w:sz w:val="20"/>
            <w:szCs w:val="20"/>
          </w:rPr>
          <w:t>https://doi.org/10.2136/sssaj1986.03615995005000030017x</w:t>
        </w:r>
      </w:hyperlink>
    </w:p>
    <w:p w14:paraId="2D6BD490" w14:textId="15B41FD6" w:rsidR="00CA2AF5" w:rsidRDefault="00000000">
      <w:pPr>
        <w:autoSpaceDE w:val="0"/>
        <w:autoSpaceDN w:val="0"/>
        <w:adjustRightInd w:val="0"/>
        <w:ind w:left="460" w:hanging="460"/>
        <w:rPr>
          <w:rFonts w:ascii="Times New Roman" w:hAnsi="Times New Roman" w:cs="Times New Roman"/>
          <w:kern w:val="0"/>
          <w:sz w:val="24"/>
          <w:szCs w:val="24"/>
        </w:rPr>
      </w:pPr>
      <w:r>
        <w:rPr>
          <w:rFonts w:ascii="Times New Roman" w:hAnsi="Times New Roman" w:cs="Times New Roman"/>
          <w:color w:val="000000"/>
          <w:kern w:val="0"/>
          <w:sz w:val="20"/>
          <w:szCs w:val="20"/>
        </w:rPr>
        <w:t xml:space="preserve">[5] </w:t>
      </w:r>
      <w:bookmarkStart w:id="19" w:name="_nebDAE2B58D_E6B1_42CC_9CA8_D70BF4E78FCE"/>
      <w:r>
        <w:rPr>
          <w:rFonts w:ascii="Times New Roman" w:hAnsi="Times New Roman" w:cs="Times New Roman"/>
          <w:color w:val="000000"/>
          <w:kern w:val="0"/>
          <w:sz w:val="20"/>
          <w:szCs w:val="20"/>
        </w:rPr>
        <w:t>Marković JP, Jović MD, Smičiklas ID, Aljivić-Ivanović MZ, Smiljanić SN et al. 2018. Estimation of cadmium uptake by tobacco plants from laboratory leaching tests</w:t>
      </w:r>
      <w:r>
        <w:rPr>
          <w:rFonts w:ascii="Times New Roman" w:hAnsi="Times New Roman" w:cs="Times New Roman"/>
          <w:i/>
          <w:iCs/>
          <w:color w:val="000000"/>
          <w:kern w:val="0"/>
          <w:sz w:val="20"/>
          <w:szCs w:val="20"/>
        </w:rPr>
        <w:t>. Journal of Environmental Science and Health Part a-Toxic/Hazardous Substances &amp; Environmental Engineering</w:t>
      </w:r>
      <w:r>
        <w:rPr>
          <w:rFonts w:ascii="Times New Roman" w:hAnsi="Times New Roman" w:cs="Times New Roman"/>
          <w:color w:val="000000"/>
          <w:kern w:val="0"/>
          <w:sz w:val="20"/>
          <w:szCs w:val="20"/>
        </w:rPr>
        <w:t xml:space="preserve"> 53:</w:t>
      </w:r>
      <w:r w:rsidR="008A70E7">
        <w:rPr>
          <w:rFonts w:ascii="Times New Roman" w:hAnsi="Times New Roman" w:cs="Times New Roman" w:hint="eastAsia"/>
          <w:color w:val="000000"/>
          <w:kern w:val="0"/>
          <w:sz w:val="20"/>
          <w:szCs w:val="20"/>
        </w:rPr>
        <w:t xml:space="preserve"> </w:t>
      </w:r>
      <w:r>
        <w:rPr>
          <w:rFonts w:ascii="Times New Roman" w:hAnsi="Times New Roman" w:cs="Times New Roman"/>
          <w:color w:val="000000"/>
          <w:kern w:val="0"/>
          <w:sz w:val="20"/>
          <w:szCs w:val="20"/>
        </w:rPr>
        <w:t>352-361</w:t>
      </w:r>
      <w:hyperlink r:id="rId20" w:history="1">
        <w:r w:rsidRPr="00AD76D8">
          <w:rPr>
            <w:rStyle w:val="af2"/>
            <w:rFonts w:ascii="Times New Roman" w:hAnsi="Times New Roman" w:cs="Times New Roman"/>
            <w:kern w:val="0"/>
            <w:sz w:val="20"/>
            <w:szCs w:val="20"/>
          </w:rPr>
          <w:t xml:space="preserve"> https://doi.org/10.1080/10934529.2017.1401396</w:t>
        </w:r>
        <w:bookmarkEnd w:id="19"/>
      </w:hyperlink>
    </w:p>
    <w:p w14:paraId="4A1E22F5" w14:textId="77777777" w:rsidR="00CA2AF5" w:rsidRDefault="00000000">
      <w:pPr>
        <w:rPr>
          <w:rFonts w:hint="eastAsia"/>
        </w:rPr>
      </w:pPr>
      <w:r>
        <w:rPr>
          <w:rFonts w:hint="eastAsia"/>
        </w:rPr>
        <w:fldChar w:fldCharType="end"/>
      </w:r>
    </w:p>
    <w:sectPr w:rsidR="00CA2AF5">
      <w:pgSz w:w="11906" w:h="16838"/>
      <w:pgMar w:top="1440" w:right="1797" w:bottom="1440" w:left="1797" w:header="851" w:footer="992" w:gutter="0"/>
      <w:lnNumType w:countBy="1" w:restart="continuous"/>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FCAA8" w14:textId="77777777" w:rsidR="00D35A8F" w:rsidRDefault="00D35A8F" w:rsidP="000B1A7C">
      <w:pPr>
        <w:rPr>
          <w:rFonts w:hint="eastAsia"/>
        </w:rPr>
      </w:pPr>
      <w:r>
        <w:separator/>
      </w:r>
    </w:p>
  </w:endnote>
  <w:endnote w:type="continuationSeparator" w:id="0">
    <w:p w14:paraId="79B9B3D0" w14:textId="77777777" w:rsidR="00D35A8F" w:rsidRDefault="00D35A8F" w:rsidP="000B1A7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TIX-Regular">
    <w:altName w:val="宋体"/>
    <w:charset w:val="86"/>
    <w:family w:val="roman"/>
    <w:pitch w:val="default"/>
    <w:sig w:usb0="00000000" w:usb1="0000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CAFAD" w14:textId="77777777" w:rsidR="00D35A8F" w:rsidRDefault="00D35A8F" w:rsidP="000B1A7C">
      <w:pPr>
        <w:rPr>
          <w:rFonts w:hint="eastAsia"/>
        </w:rPr>
      </w:pPr>
      <w:r>
        <w:separator/>
      </w:r>
    </w:p>
  </w:footnote>
  <w:footnote w:type="continuationSeparator" w:id="0">
    <w:p w14:paraId="31AB9315" w14:textId="77777777" w:rsidR="00D35A8F" w:rsidRDefault="00D35A8F" w:rsidP="000B1A7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 ADDIN NE.CacheBib" w:val="{\rtf1\ansi\ansicpg936\pard\plain{\fonttbl{\f0\fnil\fcharset0\fprq2 Times New Roman;}}{\colortbl;\red0\green0\blue0;}\par\pard\plain \sb200\ql{\f0\fs28\b\cf1 Literatur}\par\pard\plain \fi-460\li460\ql{\f0\fs20\cf1 [}{\f0\fs20\cf1 1}{\f0\fs20\cf1 ] }{\bkmkstart _nebA99C57B9_421C_4B4C_9E0F_9DF00D16740E}{\f0\fs20\cf1 Chen L}{\f0\fs20\cf1 , }{\f0\fs20\cf1 Han L}{\f0\fs20\cf1 , }{\f0\fs20\cf1 Wang F}{\f0\fs20\cf1 , }{\f0\fs20\cf1 Chen Q}{\f0\fs20\cf1 , }{\f0\fs20\cf1 Huang H}{\f0\fs20\cf1  et al}{\f0\fs20\cf1 .}{\f0\fs20\cf1  }{\f0\fs20\cf1 2025}{\f0\fs20\cf1 . }{\f0\fs20\cf1 Polylactic acid microplastics induced negative priming and improved carbon sequestration via microbial processes in different paddy soils}{\f0\fs20\i\cf1 . }{\f0\fs20\cf1 Soil Biology &amp; Biochemistry}{\f0\fs20\cf1  }{\f0\fs20\cf1 201}{\f0\fs20\cf1 : }{\f0\fs20\cf1 109653}{\f0\fs20\cf1  }{\f0\fs20\cf1 DOI: }{\f0\fs20\cf1 https://doi.org/10.1016/j.soilbio.2024.109653}{\bkmkend _nebA99C57B9_421C_4B4C_9E0F_9DF00D16740E}\par\pard\plain \fi-460\li460\ql{\f0\fs20\cf1 [}{\f0\fs20\cf1 2}{\f0\fs20\cf1 ] }{\bkmkstart _neb6A9DA4B8_74B8_4CE2_94AD_0A2A75A5C6DA}{\f0\fs20\cf1 Zhu X}{\f0\fs20\cf1 , }{\f0\fs20\cf1 Mao L}{\f0\fs20\cf1 , }{\f0\fs20\cf1 Chen B}{\f0\fs20\cf1 .}{\f0\fs20\cf1  }{\f0\fs20\cf1 2019}{\f0\fs20\cf1 . }{\f0\fs20\cf1 Driving forces linking microbial community structure and functions to enhanced carbon stability in biochar-amended soil}{\f0\fs20\i\cf1 . }{\f0\fs20\cf1 Environment International}{\f0\fs20\cf1  }{\f0\fs20\cf1 133}{\f0\fs20\cf1 : }{\f0\fs20\cf1 105211}{\f0\fs20\cf1  }{\f0\fs20\cf1 DOI: }{\f0\fs20\cf1 https://doi.org/10.1016/j.envint.2019.105211}{\bkmkend _neb6A9DA4B8_74B8_4CE2_94AD_0A2A75A5C6DA}\par\pard\plain \fi-460\li460\ql{\f0\fs20\cf1 [}{\f0\fs20\cf1 3}{\f0\fs20\cf1 ] }{\bkmkstart _neb86C4E3E1_285A_4306_9336_B7177AD48E12}{\f0\fs20\cf1 Han L}{\f0\fs20\cf1 , }{\f0\fs20\cf1 Liu B}{\f0\fs20\cf1 , }{\f0\fs20\cf1 Luo Y}{\f0\fs20\cf1 , }{\f0\fs20\cf1 Chen L}{\f0\fs20\cf1 , }{\f0\fs20\cf1 Ma C}{\f0\fs20\cf1  et al}{\f0\fs20\cf1 .}{\f0\fs20\cf1  }{\f0\fs20\cf1 2024}{\f0\fs20\cf1 . }{\f0\fs20\cf1 Quantifying the negative effects of dissolved organic carbon of maize straw-derived biochar on its carbon sequestration potential in a paddy soil}{\f0\fs20\i\cf1 . }{\f0\fs20\cf1 Soil Biology &amp; Biochemistry}{\f0\fs20\cf1  }{\f0\fs20\cf1 196}{\f0\fs20\cf1 : }{\f0\fs20\cf1 109500}{\f0\fs20\cf1  }{\f0\fs20\cf1 DOI: }{\f0\fs20\cf1 https://doi.org/10.1016/j.soilbio.2024.109500}{\bkmkend _neb86C4E3E1_285A_4306_9336_B7177AD48E12}\par\pard\plain \fi-460\li460\ql{\f0\fs20\cf1 [}{\f0\fs20\cf1 4}{\f0\fs20\cf1 ] }{\bkmkstart _neb66E8B23B_8199_41BC_9A19_F018AAB6AA7B}{\f0\fs20\cf1 Elliott}{\f0\fs20\cf1 , }{\f0\fs20\cf1 E.}{\f0\fs20\cf1 , }{\f0\fs20\cf1 T.}{\f0\fs20\cf1  }{\f0\fs20\cf1 1986}{\f0\fs20\cf1 . }{\f0\fs20\cf1 Aggregate structure and carbon, nitrogen, and phosphorus in native and cultivated soils1}{\f0\fs20\i\cf1 . }{\f0\fs20\cf1 Soil Science Society of America Journal}{\f0\fs20\cf1  }{\f0\fs20\cf1 50}{\f0\fs20\cf1  (}{\f0\fs20\cf1 3}{\f0\fs20\cf1 )}{\f0\fs20\cf1 : }{\f0\fs20\cf1 627}{\f0\fs20\cf1  }{\bkmkend _neb66E8B23B_8199_41BC_9A19_F018AAB6AA7B}\par\pard\plain \fi-460\li460\ql{\f0\fs20\cf1 [}{\f0\fs20\cf1 5}{\f0\fs20\cf1 ] }{\bkmkstart _nebDAE2B58D_E6B1_42CC_9CA8_D70BF4E78FCE}{\f0\fs20\cf1 Markovi{\u263 ?} JP}{\f0\fs20\cf1 , }{\f0\fs20\cf1 Jovi{\u263 ?} MD}{\f0\fs20\cf1 , }{\f0\fs20\cf1 Smi{\u269 ?}iklas ID}{\f0\fs20\cf1 , }{\f0\fs20\cf1 Aljivi{\u263 ?}-Ivanovi{\u263 ?} MZ}{\f0\fs20\cf1 , }{\f0\fs20\cf1 Smiljani{\u263 ?} SN}{\f0\fs20\cf1  et al}{\f0\fs20\cf1 .}{\f0\fs20\cf1  }{\f0\fs20\cf1 2018}{\f0\fs20\cf1 . }{\f0\fs20\cf1 Estimation of cadmium uptake by tobacco plants from laboratory leaching tests}{\f0\fs20\i\cf1 . }{\f0\fs20\cf1 Journal of Environmental Science and Health Part a-Toxic/Hazardous Substances &amp; Environmental Engineering}{\f0\fs20\cf1  }{\f0\fs20\cf1 53}{\f0\fs20\cf1  (}{\f0\fs20\cf1 4}{\f0\fs20\cf1 )}{\f0\fs20\cf1 : }{\f0\fs20\cf1 352-361}{\f0\fs20\cf1  }{\f0\fs20\cf1 DOI: }{\f0\fs20\cf1 10.1080/10934529.2017.1401396}{\bkmkend _nebDAE2B58D_E6B1_42CC_9CA8_D70BF4E78FCE}\par\pard\plain \fi-460\li460\ql}"/>
    <w:docVar w:name=" ADDIN NE.CacheRef.{037FE802-0858-41BA-9F2E-1929A27C3534}" w:val="{\rtf1\ansi\ansicpg936\pard\plain{\fonttbl{\f0\fnil\fcharset0\fprq2 Times New Roman;}}{\colortbl;\red8\green0\blue0;}{\f0\fs24\super\cf1 [}{\f0\fs24\super\cf1 4}{\f0\fs24\super\cf1 ]}}"/>
    <w:docVar w:name=" ADDIN NE.CacheRef.{083B1D7F-DDA7-4D14-8D74-25EF25235EDB}" w:val="{\rtf1\ansi\ansicpg936\pard\plain{\fonttbl{\f0\fnil\fcharset0\fprq2 Times New Roman;}}{\colortbl;\red8\green0\blue0;}{\f0\fs24\cf1 (}{\f0\fs24\cf1 Ministry Of Ecology And Environment}{\f0\fs24\cf1 , }{\f0\fs24\cf1 2018}{\f0\fs24\cf1 )}}"/>
    <w:docVar w:name=" ADDIN NE.CacheRef.{1613D977-6838-4D5B-A417-8722BDEB9AA9}" w:val="{\rtf1\ansi\ansicpg936\pard\plain{\fonttbl{\f0\fnil\fcharset0\fprq2 Times New Roman;}}{\colortbl;\red8\green0\blue0;}{\f0\fs24\cf1 (}{\f0\fs24\cf1 Vance}{\f0\fs24\cf1  et al.}{\f0\fs24\cf1 , }{\f0\fs24\cf1 1987}{\f0\fs24\cf1 )}}"/>
    <w:docVar w:name=" ADDIN NE.CacheRef.{1642A875-4CF9-4B9B-A9B7-49B76BB34985}" w:val="{\rtf1\ansi\ansicpg936\pard\plain{\fonttbl{\f0\fnil\fcharset0\fprq2 Times New Roman;}}{\colortbl;\red8\green0\blue0;}{\f0\fs24\super\cf1 [}{\f0\fs24\super\cf1 1}{\f0\fs24\super\cf1 ]}}"/>
    <w:docVar w:name=" ADDIN NE.CacheRef.{1EB561F9-188B-4DAB-823E-3050E73A1D91}" w:val="{\rtf1\ansi\ansicpg936\pard\plain{\fonttbl{\f0\fnil\fcharset0\fprq2 Times New Roman;}}{\colortbl;\red8\green0\blue0;}{\f0\fs24\cf1 (}{\f0\fs24\cf1 Fan}{\f0\fs24\cf1  et al.}{\f0\fs24\cf1 , }{\f0\fs24\cf1 2025}{\f0\fs24\cf1 ; }{\f0\fs24\cf1 Jin}{\f0\fs24\cf1  et al.}{\f0\fs24\cf1 , }{\f0\fs24\cf1 2023}{\f0\fs24\cf1 )}}"/>
    <w:docVar w:name=" ADDIN NE.CacheRef.{2ED54FDA-9767-4CCA-AB34-A02F7EA91857}" w:val="{\rtf1\ansi\ansicpg936\pard\plain{\fonttbl{\f0\fnil\fcharset0\fprq2 Times New Roman;}}{\colortbl;\red8\green0\blue0;}{\f0\fs24\cf1 (}{\f0\fs24\cf1 Ministry Of Ecology And Environment}{\f0\fs24\cf1 , }{\f0\fs24\cf1 2018}{\f0\fs24\cf1 )}}"/>
    <w:docVar w:name=" ADDIN NE.CacheRef.{5B35D0CF-4A47-46EF-9970-FD00E1950843}" w:val="{\rtf1\ansi\ansicpg936\pard\plain{\fonttbl{\f0\fnil\fcharset0\fprq2 Times New Roman;}}{\colortbl;\red8\green0\blue0;}{\f0\fs24\cf1 (}{\f0\fs24\cf1 Feller}{\f0\fs24\cf1 , }{\f0\fs24\cf1 1996}{\f0\fs24\cf1 )}}"/>
    <w:docVar w:name=" ADDIN NE.CacheRef.{A6BB140D-8431-4076-870E-26D902A775EA}" w:val="{\rtf1\ansi\ansicpg936\pard\plain{\fonttbl{\f0\fnil\fcharset0\fprq2 Times New Roman;}}{\colortbl;\red8\green0\blue0;}{\f0\fs24\super\cf1 [}{\f0\fs24\super\cf1 5}{\f0\fs24\super\cf1 ]}}"/>
    <w:docVar w:name=" ADDIN NE.CacheRef.{AA086D93-1E30-4A5A-9E47-D771B95B2ACA}" w:val="{\rtf1\ansi\ansicpg936\pard\plain{\fonttbl{\f0\fnil\fcharset0\fprq2 Times New Roman;}}{\colortbl;\red8\green0\blue0;}{\f0\fs24\cf1 (}{\f0\fs24\cf1 Pritchard}{\f0\fs24\cf1  et al.}{\f0\fs24\cf1 , }{\f0\fs24\cf1 2019}{\f0\fs24\cf1 )}}"/>
    <w:docVar w:name=" ADDIN NE.CacheRef.{ADFABCEC-49A3-49A4-97B1-EDD7145AD830}" w:val="{\rtf1\ansi\ansicpg936\pard\plain{\fonttbl{\f0\fnil\fcharset0\fprq2 Times New Roman;}}{\colortbl;\red8\green0\blue0;}{\f0\fs24\cf1 (}{\f0\fs24\cf1 Ye}{\f0\fs24\cf1  et al.}{\f0\fs24\cf1 , }{\f0\fs24\cf1 2017}{\f0\fs24\cf1 )}}"/>
    <w:docVar w:name=" ADDIN NE.CacheRef.{EB94E078-3BAB-4F6B-9C30-AAE3A546004E}" w:val="{\rtf1\ansi\ansicpg936\pard\plain{\fonttbl{\f0\fnil\fcharset0\fprq2 Times New Roman;}}{\colortbl;\red8\green0\blue0;}{\f0\fs24\super\cf1 [}{\f0\fs24\super\cf1 2}{\f0\fs24\cf1 ,}{\f0\fs24\super\cf1 3}{\f0\fs24\super\cf1 ]}}"/>
    <w:docVar w:name=" ADDIN NE.CacheRef.{F45BABA8-BAB8-4F39-BCC8-626055FEC333}" w:val="{\rtf1\ansi\ansicpg936\pard\plain{\fonttbl{\f0\fnil\fcharset0\fprq2 Times New Roman;}}{\colortbl;\red8\green0\blue0;}{\f0\fs24\cf1 (}{\f0\fs24\cf1 Lu}{\f0\fs24\cf1 , }{\f0\fs24\cf1 2024}{\f0\fs24\cf1 ; }{\f0\fs24\cf1 Lu}{\f0\fs24\cf1  and }{\f0\fs24\cf1 Chen}{\f0\fs24\cf1 , }{\f0\fs24\cf1 2012}{\f0\fs24\cf1 )}}"/>
    <w:docVar w:name="NE.Ref{037FE802-0858-41BA-9F2E-1929A27C3534}" w:val=" ADDIN NE.Ref.{037FE802-0858-41BA-9F2E-1929A27C3534}&lt;Citation&gt;&lt;Group&gt;&lt;References&gt;&lt;Item&gt;&lt;ID&gt;561&lt;/ID&gt;&lt;UID&gt;{66E8B23B-8199-41BC-9A19-F018AAB6AA7B}&lt;/UID&gt;&lt;Title&gt;Aggregate Structure and Carbon, Nitrogen, and Phosphorus in Native and Cultivated Soils1&lt;/Title&gt;&lt;Template&gt;Journal Article&lt;/Template&gt;&lt;Star&gt;0&lt;/Star&gt;&lt;Tag&gt;0&lt;/Tag&gt;&lt;Author&gt;Elliott; E.; T.&lt;/Author&gt;&lt;Year&gt;1986&lt;/Year&gt;&lt;Details&gt;&lt;_accessed&gt;66213918&lt;/_accessed&gt;&lt;_collection_scope&gt;SCIE;EI&lt;/_collection_scope&gt;&lt;_created&gt;65992999&lt;/_created&gt;&lt;_impact_factor&gt;   2.400&lt;/_impact_factor&gt;&lt;_issue&gt;3&lt;/_issue&gt;&lt;_journal&gt;Soil Science Society of America Journal&lt;/_journal&gt;&lt;_modified&gt;66458370&lt;/_modified&gt;&lt;_pages&gt;627-627&lt;/_pages&gt;&lt;_social_category&gt;土壤科学(4)&lt;/_social_category&gt;&lt;_volume&gt;50&lt;/_volume&gt;&lt;_bibtex_key&gt;ElliottE.-561&lt;/_bibtex_key&gt;&lt;_language&gt;English&lt;/_language&gt;&lt;/Details&gt;&lt;Extra&gt;&lt;DBUID&gt;{4639BE48-E8DA-433D-936E-D6A27A715D41}&lt;/DBUID&gt;&lt;/Extra&gt;&lt;/Item&gt;&lt;/References&gt;&lt;/Group&gt;&lt;/Citation&gt;_x000a_"/>
    <w:docVar w:name="NE.Ref{083B1D7F-DDA7-4D14-8D74-25EF25235EDB}" w:val=" ADDIN NE.Ref.{083B1D7F-DDA7-4D14-8D74-25EF25235EDB}&lt;Citation&gt;&lt;Group&gt;&lt;References&gt;&lt;Item&gt;&lt;ID&gt;668&lt;/ID&gt;&lt;UID&gt;{E63ED405-FEF8-46D8-B949-3306454CCFCD}&lt;/UID&gt;&lt;Title&gt;Soil Environmental Quality: Risk Control Standard for Soil Contamination of Agricultural Land. &lt;/Title&gt;&lt;Template&gt;Standard&lt;/Template&gt;&lt;Star&gt;0&lt;/Star&gt;&lt;Tag&gt;0&lt;/Tag&gt;&lt;Author&gt;Ministry Of Ecology And Environment, China&lt;/Author&gt;&lt;Year&gt;2018&lt;/Year&gt;&lt;Details&gt;&lt;_accessed&gt;66180509&lt;/_accessed&gt;&lt;_created&gt;66180509&lt;/_created&gt;&lt;_modified&gt;66180509&lt;/_modified&gt;&lt;_secondary_title&gt;GB 15618&lt;/_secondary_title&gt;&lt;_language&gt;English&lt;/_language&gt;&lt;/Details&gt;&lt;Extra&gt;&lt;DBUID&gt;{4639BE48-E8DA-433D-936E-D6A27A715D41}&lt;/DBUID&gt;&lt;/Extra&gt;&lt;/Item&gt;&lt;/References&gt;&lt;/Group&gt;&lt;/Citation&gt;_x000a_"/>
    <w:docVar w:name="NE.Ref{1613D977-6838-4D5B-A417-8722BDEB9AA9}" w:val=" ADDIN NE.Ref.{1613D977-6838-4D5B-A417-8722BDEB9AA9}&lt;Citation&gt;&lt;Group&gt;&lt;References&gt;&lt;Item&gt;&lt;ID&gt;673&lt;/ID&gt;&lt;UID&gt;{2D75FA6B-930A-414E-AC6B-673478671663}&lt;/UID&gt;&lt;Title&gt;An extraction method for measuring soil microbial biomass C&lt;/Title&gt;&lt;Template&gt;Journal Article&lt;/Template&gt;&lt;Star&gt;0&lt;/Star&gt;&lt;Tag&gt;0&lt;/Tag&gt;&lt;Author&gt;Vance, E D; Brookes, P C; Jenkinson, D S&lt;/Author&gt;&lt;Year&gt;1987&lt;/Year&gt;&lt;Details&gt;&lt;_alternate_title&gt;Soil Biology and Biochemistry&lt;/_alternate_title&gt;&lt;_created&gt;66180524&lt;/_created&gt;&lt;_date&gt;1987-01-01&lt;/_date&gt;&lt;_date_display&gt;1987&lt;/_date_display&gt;&lt;_doi&gt;https://doi.org/10.1016/0038-0717(87)90052-6&lt;/_doi&gt;&lt;_impact_factor&gt;   9.800&lt;/_impact_factor&gt;&lt;_isbn&gt;0038-0717&lt;/_isbn&gt;&lt;_issue&gt;6&lt;/_issue&gt;&lt;_journal&gt;Soil Biology and Biochemistry&lt;/_journal&gt;&lt;_modified&gt;66180524&lt;/_modified&gt;&lt;_pages&gt;703-707&lt;/_pages&gt;&lt;_social_category&gt;土壤科学(1)&lt;/_social_category&gt;&lt;_url&gt;https://www.sciencedirect.com/science/article/pii/0038071787900526&lt;/_url&gt;&lt;_volume&gt;19&lt;/_volume&gt;&lt;_language&gt;English&lt;/_language&gt;&lt;/Details&gt;&lt;Extra&gt;&lt;DBUID&gt;{4639BE48-E8DA-433D-936E-D6A27A715D41}&lt;/DBUID&gt;&lt;/Extra&gt;&lt;/Item&gt;&lt;/References&gt;&lt;/Group&gt;&lt;/Citation&gt;_x000a_"/>
    <w:docVar w:name="NE.Ref{1642A875-4CF9-4B9B-A9B7-49B76BB34985}" w:val=" ADDIN NE.Ref.{1642A875-4CF9-4B9B-A9B7-49B76BB34985}&lt;Citation&gt;&lt;Group&gt;&lt;References&gt;&lt;Item&gt;&lt;ID&gt;645&lt;/ID&gt;&lt;UID&gt;{A99C57B9-421C-4B4C-9E0F-9DF00D16740E}&lt;/UID&gt;&lt;Title&gt;Polylactic acid microplastics induced negative priming and improved carbon sequestration via microbial processes in different paddy soils&lt;/Title&gt;&lt;Template&gt;Journal Article&lt;/Template&gt;&lt;Star&gt;0&lt;/Star&gt;&lt;Tag&gt;0&lt;/Tag&gt;&lt;Author&gt;Chen, Liying; Han, Lanfang; Wang, Fayuan; Chen, Qi&amp;apos;ang; Huang, Hongkai; Wang, Jie; Ma, Chuanxin; Sun, Ke; Rillig, Matthias C; Kuzyakov, Yakov; Yang, Zhifeng&lt;/Author&gt;&lt;Year&gt;2025&lt;/Year&gt;&lt;Details&gt;&lt;_alternate_title&gt;Soil Biology and Biochemistry&lt;/_alternate_title&gt;&lt;_created&gt;66134439&lt;/_created&gt;&lt;_date&gt;2025-01-01&lt;/_date&gt;&lt;_date_display&gt;2025&lt;/_date_display&gt;&lt;_doi&gt;https://doi.org/10.1016/j.soilbio.2024.109653&lt;/_doi&gt;&lt;_impact_factor&gt;   9.800&lt;/_impact_factor&gt;&lt;_isbn&gt;0038-0717&lt;/_isbn&gt;&lt;_journal&gt;Soil Biology and Biochemistry&lt;/_journal&gt;&lt;_keywords&gt;Biodegradable microplastic; Stable carbon isotope signature; Priming effect; Soil microbial community&lt;/_keywords&gt;&lt;_modified&gt;66458370&lt;/_modified&gt;&lt;_pages&gt;109653&lt;/_pages&gt;&lt;_social_category&gt;土壤科学(1)&lt;/_social_category&gt;&lt;_url&gt;https://www.sciencedirect.com/science/article/pii/S0038071724003456&lt;/_url&gt;&lt;_volume&gt;201&lt;/_volume&gt;&lt;_bibtex_key&gt;ChenHan-645&lt;/_bibtex_key&gt;&lt;_language&gt;English&lt;/_language&gt;&lt;/Details&gt;&lt;Extra&gt;&lt;DBUID&gt;{4639BE48-E8DA-433D-936E-D6A27A715D41}&lt;/DBUID&gt;&lt;/Extra&gt;&lt;/Item&gt;&lt;/References&gt;&lt;/Group&gt;&lt;/Citation&gt;_x000a_"/>
    <w:docVar w:name="NE.Ref{1EB561F9-188B-4DAB-823E-3050E73A1D91}" w:val=" ADDIN NE.Ref.{1EB561F9-188B-4DAB-823E-3050E73A1D91}&lt;Citation&gt;&lt;Group&gt;&lt;References&gt;&lt;Item&gt;&lt;ID&gt;669&lt;/ID&gt;&lt;UID&gt;{2A231F28-62E3-487D-B207-E960579ABFBE}&lt;/UID&gt;&lt;Title&gt;Effects of Enterobacter sp. Zm-123 and spent mushroom substrate on rape growth promotion and cadmium toxicity reduction in cadmium-contaminated soil&lt;/Title&gt;&lt;Template&gt;Journal Article&lt;/Template&gt;&lt;Star&gt;0&lt;/Star&gt;&lt;Tag&gt;0&lt;/Tag&gt;&lt;Author&gt;Jin, Yu; Yang, Rui; Guan, Yongduo; Liu, Xiaochen; Fu, JiaHui; Liu, Xuesheng; Qu, Juanjuan&lt;/Author&gt;&lt;Year&gt;2023&lt;/Year&gt;&lt;Details&gt;&lt;_alternate_title&gt;Journal of Soils and Sediments&lt;/_alternate_title&gt;&lt;_collection_scope&gt;SCIE&lt;/_collection_scope&gt;&lt;_created&gt;66180511&lt;/_created&gt;&lt;_date&gt;2023-01-01&lt;/_date&gt;&lt;_date_display&gt;2023&lt;/_date_display&gt;&lt;_doi&gt;10.1007/s11368-023-03515-w&lt;/_doi&gt;&lt;_impact_factor&gt;   2.800&lt;/_impact_factor&gt;&lt;_isbn&gt;1614-7480&lt;/_isbn&gt;&lt;_issue&gt;7&lt;/_issue&gt;&lt;_journal&gt;Journal of Soils and Sediments&lt;/_journal&gt;&lt;_modified&gt;66180511&lt;/_modified&gt;&lt;_number&gt;Jin2023&lt;/_number&gt;&lt;_pages&gt;2783-2797&lt;/_pages&gt;&lt;_social_category&gt;环境科学(4) &amp;amp; 土壤科学(4)&lt;/_social_category&gt;&lt;_url&gt;https://doi.org/10.1007/s11368-023-03515-w&lt;/_url&gt;&lt;_volume&gt;23&lt;/_volume&gt;&lt;_language&gt;English&lt;/_language&gt;&lt;/Details&gt;&lt;Extra&gt;&lt;DBUID&gt;{4639BE48-E8DA-433D-936E-D6A27A715D41}&lt;/DBUID&gt;&lt;/Extra&gt;&lt;/Item&gt;&lt;/References&gt;&lt;/Group&gt;&lt;Group&gt;&lt;References&gt;&lt;Item&gt;&lt;ID&gt;759&lt;/ID&gt;&lt;UID&gt;{4407A53F-42EB-4F3E-8EE0-8106148BBD71}&lt;/UID&gt;&lt;Title&gt;Can the aging process necessarily weaken the effect of biochar on cadmium-contaminated soil remediation: considering biochar at different pyrolysis temperatures and aging treatment&lt;/Title&gt;&lt;Template&gt;Journal Article&lt;/Template&gt;&lt;Star&gt;0&lt;/Star&gt;&lt;Tag&gt;0&lt;/Tag&gt;&lt;Author&gt;Fan, Jianxin; Duan, Ting; Wu, Xingyu; Liao, Maoyu; Sun, Jiaoxia&lt;/Author&gt;&lt;Year&gt;2025&lt;/Year&gt;&lt;Details&gt;&lt;_alternate_title&gt;Environmental Geochemistry and Health&lt;/_alternate_title&gt;&lt;_date_display&gt;2025&lt;/_date_display&gt;&lt;_date&gt;2025-01-01&lt;/_date&gt;&lt;_doi&gt;10.1007/s10653-025-02376-1&lt;/_doi&gt;&lt;_isbn&gt;1573-2983&lt;/_isbn&gt;&lt;_issue&gt;3&lt;/_issue&gt;&lt;_journal&gt;Environmental Geochemistry and Health&lt;/_journal&gt;&lt;_number&gt;Fan2025&lt;/_number&gt;&lt;_pages&gt;66&lt;/_pages&gt;&lt;_url&gt;https://doi.org/10.1007/s10653-025-02376-1&lt;/_url&gt;&lt;_volume&gt;47&lt;/_volume&gt;&lt;_created&gt;66353206&lt;/_created&gt;&lt;_modified&gt;66353206&lt;/_modified&gt;&lt;_impact_factor&gt;   3.200&lt;/_impact_factor&gt;&lt;_social_category&gt;水资源(3) &amp;amp; 工程：环境(4) &amp;amp; 环境科学(4) &amp;amp; 公共卫生、环境卫生与职业卫生(4)&lt;/_social_category&gt;&lt;_collection_scope&gt;SCIE;EI&lt;/_collection_scope&gt;&lt;/Details&gt;&lt;Extra&gt;&lt;DBUID&gt;{4639BE48-E8DA-433D-936E-D6A27A715D41}&lt;/DBUID&gt;&lt;/Extra&gt;&lt;/Item&gt;&lt;/References&gt;&lt;/Group&gt;&lt;/Citation&gt;_x000a_"/>
    <w:docVar w:name="NE.Ref{2ED54FDA-9767-4CCA-AB34-A02F7EA91857}" w:val=" ADDIN NE.Ref.{2ED54FDA-9767-4CCA-AB34-A02F7EA91857}&lt;Citation&gt;&lt;Group&gt;&lt;References&gt;&lt;Item&gt;&lt;ID&gt;668&lt;/ID&gt;&lt;UID&gt;{E63ED405-FEF8-46D8-B949-3306454CCFCD}&lt;/UID&gt;&lt;Title&gt;Soil Environmental Quality: Risk Control Standard for Soil Contamination of Agricultural Land. &lt;/Title&gt;&lt;Template&gt;Standard&lt;/Template&gt;&lt;Star&gt;0&lt;/Star&gt;&lt;Tag&gt;0&lt;/Tag&gt;&lt;Author&gt;Ministry Of Ecology And Environment, China&lt;/Author&gt;&lt;Year&gt;2018&lt;/Year&gt;&lt;Details&gt;&lt;_accessed&gt;66180509&lt;/_accessed&gt;&lt;_created&gt;66180509&lt;/_created&gt;&lt;_modified&gt;66180509&lt;/_modified&gt;&lt;_secondary_title&gt;GB 15618&lt;/_secondary_title&gt;&lt;/Details&gt;&lt;Extra&gt;&lt;DBUID&gt;{4639BE48-E8DA-433D-936E-D6A27A715D41}&lt;/DBUID&gt;&lt;/Extra&gt;&lt;/Item&gt;&lt;/References&gt;&lt;/Group&gt;&lt;/Citation&gt;_x000a_"/>
    <w:docVar w:name="NE.Ref{5B35D0CF-4A47-46EF-9970-FD00E1950843}" w:val=" ADDIN NE.Ref.{5B35D0CF-4A47-46EF-9970-FD00E1950843}&lt;Citation&gt;&lt;Group&gt;&lt;References&gt;&lt;Item&gt;&lt;ID&gt;641&lt;/ID&gt;&lt;UID&gt;{EEAE94F2-B262-4DD8-820B-5BA265C68A19}&lt;/UID&gt;&lt;Title&gt;THE ROLE OF DATABASES IN SUPPORT OF COMPUTATIONAL CHEMISTRY CALCULATIONS&lt;/Title&gt;&lt;Template&gt;Journal Article&lt;/Template&gt;&lt;Star&gt;0&lt;/Star&gt;&lt;Tag&gt;0&lt;/Tag&gt;&lt;Author&gt;Feller, D&lt;/Author&gt;&lt;Year&gt;1996&lt;/Year&gt;&lt;Details&gt;&lt;_accessed&gt;66134012&lt;/_accessed&gt;&lt;_created&gt;66134011&lt;/_created&gt;&lt;_modified&gt;66134012&lt;/_modified&gt;&lt;_language&gt;English&lt;/_language&gt;&lt;/Details&gt;&lt;Extra&gt;&lt;DBUID&gt;{4639BE48-E8DA-433D-936E-D6A27A715D41}&lt;/DBUID&gt;&lt;/Extra&gt;&lt;/Item&gt;&lt;/References&gt;&lt;/Group&gt;&lt;/Citation&gt;_x000a_"/>
    <w:docVar w:name="NE.Ref{A6BB140D-8431-4076-870E-26D902A775EA}" w:val=" ADDIN NE.Ref.{A6BB140D-8431-4076-870E-26D902A775EA}&lt;Citation&gt;&lt;Group&gt;&lt;References&gt;&lt;Item&gt;&lt;ID&gt;672&lt;/ID&gt;&lt;UID&gt;{DAE2B58D-E6B1-42CC-9CA8-D70BF4E78FCE}&lt;/UID&gt;&lt;Title&gt;Estimation of Cadmium uptake by tobacco plants from laboratory leaching tests&lt;/Title&gt;&lt;Template&gt;Journal Article&lt;/Template&gt;&lt;Star&gt;0&lt;/Star&gt;&lt;Tag&gt;0&lt;/Tag&gt;&lt;Author&gt;Marković, Jelena P; Jović, Mihajlo D; Smičiklas, Ivana D; Šljivić-Ivanović, Marija Z; Smiljanić, Slavko N; Onjia, Antonije E; Popović, Aleksandar R&lt;/Author&gt;&lt;Year&gt;2018&lt;/Year&gt;&lt;Details&gt;&lt;_alternate_title&gt;Journal of Environmental Science and Health, Part AJournal of Environmental Science and Health, Part A&lt;/_alternate_title&gt;&lt;_created&gt;66180524&lt;/_created&gt;&lt;_date&gt;2018-03-21&lt;/_date&gt;&lt;_date_display&gt;2018_x000d__x000a_2018/03/21&lt;/_date_display&gt;&lt;_doi&gt;10.1080/10934529.2017.1401396&lt;/_doi&gt;&lt;_impact_factor&gt;   1.900&lt;/_impact_factor&gt;&lt;_isbn&gt;1093-4529&lt;/_isbn&gt;&lt;_issue&gt;4&lt;/_issue&gt;&lt;_journal&gt;Journal of Environmental Science and Health, Part A&lt;/_journal&gt;&lt;_modified&gt;66458370&lt;/_modified&gt;&lt;_ori_publication&gt;Taylor &amp;amp; Francis&lt;/_ori_publication&gt;&lt;_pages&gt;352-361&lt;/_pages&gt;&lt;_social_category&gt;工程：环境(4) &amp;amp; 环境科学(4)&lt;/_social_category&gt;&lt;_url&gt;https://doi.org/10.1080/10934529.2017.1401396&lt;/_url&gt;&lt;_volume&gt;53&lt;/_volume&gt;&lt;_bibtex_key&gt;MarkovićJović-672&lt;/_bibtex_key&gt;&lt;_language&gt;English&lt;/_language&gt;&lt;/Details&gt;&lt;Extra&gt;&lt;DBUID&gt;{4639BE48-E8DA-433D-936E-D6A27A715D41}&lt;/DBUID&gt;&lt;/Extra&gt;&lt;/Item&gt;&lt;/References&gt;&lt;/Group&gt;&lt;/Citation&gt;_x000a_"/>
    <w:docVar w:name="NE.Ref{AA086D93-1E30-4A5A-9E47-D771B95B2ACA}" w:val=" ADDIN NE.Ref.{AA086D93-1E30-4A5A-9E47-D771B95B2ACA}&lt;Citation&gt;&lt;Group&gt;&lt;References&gt;&lt;Item&gt;&lt;ID&gt;642&lt;/ID&gt;&lt;UID&gt;{CA431544-5505-4B6B-B956-8E56615BDCA0}&lt;/UID&gt;&lt;Title&gt;New Basis Set Exchange: An Open, Up-to-Date Resource for the Molecular Sciences Community&lt;/Title&gt;&lt;Template&gt;Journal Article&lt;/Template&gt;&lt;Star&gt;0&lt;/Star&gt;&lt;Tag&gt;0&lt;/Tag&gt;&lt;Author&gt;Pritchard, B P; Altarawy, D; Didier, B; Gibson, T D; Windus, T L&lt;/Author&gt;&lt;Year&gt;2019&lt;/Year&gt;&lt;Details&gt;&lt;_alternate_title&gt;JOURNAL OF CHEMICAL INFORMATION AND MODELING&lt;/_alternate_title&gt;&lt;_collection_scope&gt;SCIE;EI&lt;/_collection_scope&gt;&lt;_created&gt;66134013&lt;/_created&gt;&lt;_date&gt;2019-01-01&lt;/_date&gt;&lt;_date_display&gt;2019&lt;/_date_display&gt;&lt;_doi&gt;10.1021/acs.jcim.9b00725&lt;/_doi&gt;&lt;_impact_factor&gt;   5.700&lt;/_impact_factor&gt;&lt;_isbn&gt;1549-9596&lt;/_isbn&gt;&lt;_issue&gt;11&lt;/_issue&gt;&lt;_journal&gt;JOURNAL OF CHEMICAL INFORMATION AND MODELING&lt;/_journal&gt;&lt;_modified&gt;66134013&lt;/_modified&gt;&lt;_pages&gt;4814-4820&lt;/_pages&gt;&lt;_social_category&gt;化学：综合(2) &amp;amp; 药物化学(3) &amp;amp; 计算机：信息系统(3) &amp;amp; 计算机：跨学科应用(3)&lt;/_social_category&gt;&lt;_volume&gt;59&lt;/_volume&gt;&lt;_language&gt;English&lt;/_language&gt;&lt;/Details&gt;&lt;Extra&gt;&lt;DBUID&gt;{4639BE48-E8DA-433D-936E-D6A27A715D41}&lt;/DBUID&gt;&lt;/Extra&gt;&lt;/Item&gt;&lt;/References&gt;&lt;/Group&gt;&lt;/Citation&gt;_x000a_"/>
    <w:docVar w:name="NE.Ref{ADFABCEC-49A3-49A4-97B1-EDD7145AD830}" w:val=" ADDIN NE.Ref.{ADFABCEC-49A3-49A4-97B1-EDD7145AD830}&lt;Citation&gt;&lt;Group&gt;&lt;References&gt;&lt;Item&gt;&lt;ID&gt;670&lt;/ID&gt;&lt;UID&gt;{3309B935-0947-47C2-96CA-676BF6DADBE3}&lt;/UID&gt;&lt;Title&gt;Chemolithotrophic processes in the bacterial communities on the surface of mineral-enriched biochars&lt;/Title&gt;&lt;Template&gt;Journal Article&lt;/Template&gt;&lt;Star&gt;0&lt;/Star&gt;&lt;Tag&gt;0&lt;/Tag&gt;&lt;Author&gt;Ye, Jun; Joseph, Stephen D; Ji, Mukan; Nielsen, Shaun; Mitchell, David R G; Donne, Scott; Horvat, Joseph; Wang, Jianli; Munroe, Paul; Thomas, Torsten&lt;/Author&gt;&lt;Year&gt;2017&lt;/Year&gt;&lt;Details&gt;&lt;_alternate_title&gt;The ISME Journal&lt;/_alternate_title&gt;&lt;_created&gt;66180513&lt;/_created&gt;&lt;_date&gt;2017-05-01&lt;/_date&gt;&lt;_date_display&gt;2017_x000d__x000a_2017/05/01&lt;/_date_display&gt;&lt;_doi&gt;10.1038/ismej.2016.187&lt;/_doi&gt;&lt;_impact_factor&gt;  10.800&lt;/_impact_factor&gt;&lt;_isbn&gt;1751-7362&lt;/_isbn&gt;&lt;_issue&gt;5&lt;/_issue&gt;&lt;_journal&gt;The ISME Journal&lt;/_journal&gt;&lt;_modified&gt;66180513&lt;/_modified&gt;&lt;_pages&gt;1087-1101&lt;/_pages&gt;&lt;_social_category&gt;生态学(1) &amp;amp; 微生物学(1)&lt;/_social_category&gt;&lt;_url&gt;https://doi.org/10.1038/ismej.2016.187&lt;/_url&gt;&lt;_volume&gt;11&lt;/_volume&gt;&lt;_language&gt;English&lt;/_language&gt;&lt;/Details&gt;&lt;Extra&gt;&lt;DBUID&gt;{4639BE48-E8DA-433D-936E-D6A27A715D41}&lt;/DBUID&gt;&lt;/Extra&gt;&lt;/Item&gt;&lt;/References&gt;&lt;/Group&gt;&lt;/Citation&gt;_x000a_"/>
    <w:docVar w:name="NE.Ref{EB94E078-3BAB-4F6B-9C30-AAE3A546004E}" w:val=" ADDIN NE.Ref.{EB94E078-3BAB-4F6B-9C30-AAE3A546004E}&lt;Citation&gt;&lt;Group&gt;&lt;References&gt;&lt;Item&gt;&lt;ID&gt;559&lt;/ID&gt;&lt;UID&gt;{6A9DA4B8-74B8-4CE2-94AD-0A2A75A5C6DA}&lt;/UID&gt;&lt;Title&gt;Driving forces linking microbial community structure and functions to enhanced carbon stability in biochar-amended soil&lt;/Title&gt;&lt;Template&gt;Journal Article&lt;/Template&gt;&lt;Star&gt;0&lt;/Star&gt;&lt;Tag&gt;0&lt;/Tag&gt;&lt;Author&gt;Zhu, Xiaomin; Mao, Lijuan; Chen, Baoliang&lt;/Author&gt;&lt;Year&gt;2019&lt;/Year&gt;&lt;Details&gt;&lt;_alternate_title&gt;Environment International&lt;/_alternate_title&gt;&lt;_collection_scope&gt;SCIE;EI&lt;/_collection_scope&gt;&lt;_created&gt;65992993&lt;/_created&gt;&lt;_date&gt;2019-01-01&lt;/_date&gt;&lt;_date_display&gt;2019&lt;/_date_display&gt;&lt;_doi&gt;https://doi.org/10.1016/j.envint.2019.105211&lt;/_doi&gt;&lt;_impact_factor&gt;  10.300&lt;/_impact_factor&gt;&lt;_isbn&gt;0160-4120&lt;/_isbn&gt;&lt;_journal&gt;Environment International&lt;/_journal&gt;&lt;_keywords&gt;Biochar stability; Priming effect; Microbial community structure; Metabolic function; Stable C isotope&lt;/_keywords&gt;&lt;_modified&gt;66458370&lt;/_modified&gt;&lt;_pages&gt;105211&lt;/_pages&gt;&lt;_social_category&gt;环境科学(1)&lt;/_social_category&gt;&lt;_url&gt;https://www.sciencedirect.com/science/article/pii/S0160412019327886&lt;/_url&gt;&lt;_volume&gt;133&lt;/_volume&gt;&lt;_bibtex_key&gt;ZhuMao-559&lt;/_bibtex_key&gt;&lt;_language&gt;English&lt;/_language&gt;&lt;/Details&gt;&lt;Extra&gt;&lt;DBUID&gt;{4639BE48-E8DA-433D-936E-D6A27A715D41}&lt;/DBUID&gt;&lt;/Extra&gt;&lt;/Item&gt;&lt;/References&gt;&lt;/Group&gt;&lt;Group&gt;&lt;References&gt;&lt;Item&gt;&lt;ID&gt;560&lt;/ID&gt;&lt;UID&gt;{86C4E3E1-285A-4306-9336-B7177AD48E12}&lt;/UID&gt;&lt;Title&gt;Quantifying the negative effects of dissolved organic carbon of maize straw-derived biochar on its carbon sequestration potential in a paddy soil&lt;/Title&gt;&lt;Template&gt;Journal Article&lt;/Template&gt;&lt;Star&gt;0&lt;/Star&gt;&lt;Tag&gt;0&lt;/Tag&gt;&lt;Author&gt;Han, Lanfang; Liu, Beibei; Luo, Yu; Chen, Liying; Ma, Chuanxin; Xu, Chao; Sun, Ke; Xing, Baoshan&lt;/Author&gt;&lt;Year&gt;2024&lt;/Year&gt;&lt;Details&gt;&lt;_alternate_title&gt;Soil Biology and Biochemistry&lt;/_alternate_title&gt;&lt;_created&gt;65992995&lt;/_created&gt;&lt;_date&gt;2024-01-01&lt;/_date&gt;&lt;_date_display&gt;2024&lt;/_date_display&gt;&lt;_doi&gt;https://doi.org/10.1016/j.soilbio.2024.109500&lt;/_doi&gt;&lt;_impact_factor&gt;   9.800&lt;/_impact_factor&gt;&lt;_isbn&gt;0038-0717&lt;/_isbn&gt;&lt;_journal&gt;Soil Biology and Biochemistry&lt;/_journal&gt;&lt;_keywords&gt;Biochar; Biochar-derived dissolved organic carbon; Carbon sequestration; Priming effect; Microbial succession&lt;/_keywords&gt;&lt;_modified&gt;66458370&lt;/_modified&gt;&lt;_pages&gt;109500&lt;/_pages&gt;&lt;_social_category&gt;土壤科学(1)&lt;/_social_category&gt;&lt;_url&gt;https://www.sciencedirect.com/science/article/pii/S0038071724001895&lt;/_url&gt;&lt;_volume&gt;196&lt;/_volume&gt;&lt;_bibtex_key&gt;HanLiu-560&lt;/_bibtex_key&gt;&lt;_language&gt;English&lt;/_language&gt;&lt;/Details&gt;&lt;Extra&gt;&lt;DBUID&gt;{4639BE48-E8DA-433D-936E-D6A27A715D41}&lt;/DBUID&gt;&lt;/Extra&gt;&lt;/Item&gt;&lt;/References&gt;&lt;/Group&gt;&lt;/Citation&gt;_x000a_"/>
    <w:docVar w:name="NE.Ref{F45BABA8-BAB8-4F39-BCC8-626055FEC333}" w:val=" ADDIN NE.Ref.{F45BABA8-BAB8-4F39-BCC8-626055FEC333}&lt;Citation&gt;&lt;Group&gt;&lt;References&gt;&lt;Item&gt;&lt;ID&gt;644&lt;/ID&gt;&lt;UID&gt;{3A16BBE7-6B25-47DC-AC9B-CB1657F95789}&lt;/UID&gt;&lt;Title&gt;A comprehensive electron wavefunction analysis toolbox for chemists, Multiwfn&lt;/Title&gt;&lt;Template&gt;Journal Article&lt;/Template&gt;&lt;Star&gt;0&lt;/Star&gt;&lt;Tag&gt;0&lt;/Tag&gt;&lt;Author&gt;Lu, T&lt;/Author&gt;&lt;Year&gt;2024&lt;/Year&gt;&lt;Details&gt;&lt;_alternate_title&gt;JOURNAL OF CHEMICAL PHYSICS&lt;/_alternate_title&gt;&lt;_collection_scope&gt;SCIE;EI&lt;/_collection_scope&gt;&lt;_created&gt;66134015&lt;/_created&gt;&lt;_date&gt;2024-01-01&lt;/_date&gt;&lt;_date_display&gt;2024&lt;/_date_display&gt;&lt;_doi&gt;10.1063/5.0216272&lt;/_doi&gt;&lt;_impact_factor&gt;   3.100&lt;/_impact_factor&gt;&lt;_isbn&gt;0021-9606&lt;/_isbn&gt;&lt;_issue&gt;8&lt;/_issue&gt;&lt;_journal&gt;JOURNAL OF CHEMICAL PHYSICS&lt;/_journal&gt;&lt;_modified&gt;66134015&lt;/_modified&gt;&lt;_social_category&gt;物理化学(2) &amp;amp; 物理：原子、分子和化学物理(2)&lt;/_social_category&gt;&lt;_volume&gt;161&lt;/_volume&gt;&lt;_language&gt;English&lt;/_language&gt;&lt;/Details&gt;&lt;Extra&gt;&lt;DBUID&gt;{4639BE48-E8DA-433D-936E-D6A27A715D41}&lt;/DBUID&gt;&lt;/Extra&gt;&lt;/Item&gt;&lt;/References&gt;&lt;/Group&gt;&lt;Group&gt;&lt;References&gt;&lt;Item&gt;&lt;ID&gt;643&lt;/ID&gt;&lt;UID&gt;{207B2607-93BE-4C6B-8AD3-1D3EF991D859}&lt;/UID&gt;&lt;Title&gt;Multiwfn: A multifunctional wavefunction analyzer&lt;/Title&gt;&lt;Template&gt;Journal Article&lt;/Template&gt;&lt;Star&gt;0&lt;/Star&gt;&lt;Tag&gt;0&lt;/Tag&gt;&lt;Author&gt;Lu, Tian; Chen, Feiwu&lt;/Author&gt;&lt;Year&gt;2012&lt;/Year&gt;&lt;Details&gt;&lt;_collection_scope&gt;SCIE;EI&lt;/_collection_scope&gt;&lt;_created&gt;66134014&lt;/_created&gt;&lt;_impact_factor&gt;   3.400&lt;/_impact_factor&gt;&lt;_journal&gt;Journal of Computational Chemistry&lt;/_journal&gt;&lt;_modified&gt;66134014&lt;/_modified&gt;&lt;_social_category&gt;化学：综合(3)&lt;/_social_category&gt;&lt;_language&gt;English&lt;/_language&gt;&lt;/Details&gt;&lt;Extra&gt;&lt;DBUID&gt;{4639BE48-E8DA-433D-936E-D6A27A715D41}&lt;/DBUID&gt;&lt;/Extra&gt;&lt;/Item&gt;&lt;/References&gt;&lt;/Group&gt;&lt;/Citation&gt;_x000a_"/>
    <w:docVar w:name="ne_build" w:val="16.0.19929"/>
    <w:docVar w:name="ne_docsoft" w:val="MSWord"/>
    <w:docVar w:name="ne_docversion" w:val="NoteExpress 2.0"/>
    <w:docVar w:name="ne_os" w:val="Mircrosoft"/>
    <w:docVar w:name="ne_platform" w:val="Word"/>
    <w:docVar w:name="ne_stylename" w:val="biochar X"/>
  </w:docVars>
  <w:rsids>
    <w:rsidRoot w:val="00EB6C43"/>
    <w:rsid w:val="00001A73"/>
    <w:rsid w:val="00004AFD"/>
    <w:rsid w:val="00005C2F"/>
    <w:rsid w:val="000073CE"/>
    <w:rsid w:val="00007873"/>
    <w:rsid w:val="00013162"/>
    <w:rsid w:val="00015169"/>
    <w:rsid w:val="00016B89"/>
    <w:rsid w:val="00021294"/>
    <w:rsid w:val="000226BB"/>
    <w:rsid w:val="00023217"/>
    <w:rsid w:val="00025DA1"/>
    <w:rsid w:val="00027802"/>
    <w:rsid w:val="00030D09"/>
    <w:rsid w:val="00030EF4"/>
    <w:rsid w:val="000314A4"/>
    <w:rsid w:val="000324C0"/>
    <w:rsid w:val="00032C09"/>
    <w:rsid w:val="00033916"/>
    <w:rsid w:val="000339FF"/>
    <w:rsid w:val="00034BD3"/>
    <w:rsid w:val="00036444"/>
    <w:rsid w:val="000373DD"/>
    <w:rsid w:val="00040FC4"/>
    <w:rsid w:val="000420DF"/>
    <w:rsid w:val="00042BAA"/>
    <w:rsid w:val="00042CC3"/>
    <w:rsid w:val="00043E4A"/>
    <w:rsid w:val="00046608"/>
    <w:rsid w:val="00050C31"/>
    <w:rsid w:val="0005289D"/>
    <w:rsid w:val="0005310F"/>
    <w:rsid w:val="000533FC"/>
    <w:rsid w:val="00054030"/>
    <w:rsid w:val="00056DF7"/>
    <w:rsid w:val="000604AD"/>
    <w:rsid w:val="00065B84"/>
    <w:rsid w:val="00067584"/>
    <w:rsid w:val="00071748"/>
    <w:rsid w:val="00072B59"/>
    <w:rsid w:val="00075EAD"/>
    <w:rsid w:val="00077C5F"/>
    <w:rsid w:val="0008050A"/>
    <w:rsid w:val="00081F80"/>
    <w:rsid w:val="00082286"/>
    <w:rsid w:val="00082D65"/>
    <w:rsid w:val="000830A8"/>
    <w:rsid w:val="00085C3E"/>
    <w:rsid w:val="00086D52"/>
    <w:rsid w:val="0008772E"/>
    <w:rsid w:val="000907A0"/>
    <w:rsid w:val="000908F2"/>
    <w:rsid w:val="000915B1"/>
    <w:rsid w:val="000917A7"/>
    <w:rsid w:val="00093288"/>
    <w:rsid w:val="0009378B"/>
    <w:rsid w:val="00095BEC"/>
    <w:rsid w:val="000977C2"/>
    <w:rsid w:val="000A1412"/>
    <w:rsid w:val="000A1B4A"/>
    <w:rsid w:val="000A2842"/>
    <w:rsid w:val="000A6111"/>
    <w:rsid w:val="000A61CA"/>
    <w:rsid w:val="000A74B2"/>
    <w:rsid w:val="000B0E43"/>
    <w:rsid w:val="000B1A7C"/>
    <w:rsid w:val="000B1F29"/>
    <w:rsid w:val="000B48E5"/>
    <w:rsid w:val="000B4D13"/>
    <w:rsid w:val="000B5DD3"/>
    <w:rsid w:val="000B604E"/>
    <w:rsid w:val="000C2200"/>
    <w:rsid w:val="000C5450"/>
    <w:rsid w:val="000C54C2"/>
    <w:rsid w:val="000C5719"/>
    <w:rsid w:val="000C7443"/>
    <w:rsid w:val="000D167B"/>
    <w:rsid w:val="000D27DD"/>
    <w:rsid w:val="000D3735"/>
    <w:rsid w:val="000D3A35"/>
    <w:rsid w:val="000D3B67"/>
    <w:rsid w:val="000D5522"/>
    <w:rsid w:val="000D7D76"/>
    <w:rsid w:val="000E18D9"/>
    <w:rsid w:val="000E21E1"/>
    <w:rsid w:val="000E2943"/>
    <w:rsid w:val="000E377B"/>
    <w:rsid w:val="000E4BD8"/>
    <w:rsid w:val="000E747B"/>
    <w:rsid w:val="000E7697"/>
    <w:rsid w:val="000F10B7"/>
    <w:rsid w:val="000F110A"/>
    <w:rsid w:val="000F11F5"/>
    <w:rsid w:val="000F14BA"/>
    <w:rsid w:val="000F25C4"/>
    <w:rsid w:val="000F4157"/>
    <w:rsid w:val="000F415E"/>
    <w:rsid w:val="000F4AC7"/>
    <w:rsid w:val="00102425"/>
    <w:rsid w:val="00104C1A"/>
    <w:rsid w:val="001102B0"/>
    <w:rsid w:val="00114B34"/>
    <w:rsid w:val="00115388"/>
    <w:rsid w:val="00117452"/>
    <w:rsid w:val="001204D9"/>
    <w:rsid w:val="0012191E"/>
    <w:rsid w:val="00122C22"/>
    <w:rsid w:val="00123BB6"/>
    <w:rsid w:val="0012519C"/>
    <w:rsid w:val="00125EB8"/>
    <w:rsid w:val="001264C8"/>
    <w:rsid w:val="00126DD1"/>
    <w:rsid w:val="001270DC"/>
    <w:rsid w:val="001309B2"/>
    <w:rsid w:val="001312B6"/>
    <w:rsid w:val="00132114"/>
    <w:rsid w:val="00132D69"/>
    <w:rsid w:val="0013441B"/>
    <w:rsid w:val="001360C6"/>
    <w:rsid w:val="0013665D"/>
    <w:rsid w:val="0013726D"/>
    <w:rsid w:val="00137824"/>
    <w:rsid w:val="0014020A"/>
    <w:rsid w:val="00141C5E"/>
    <w:rsid w:val="001425EA"/>
    <w:rsid w:val="00143589"/>
    <w:rsid w:val="00147772"/>
    <w:rsid w:val="001507B4"/>
    <w:rsid w:val="00152F0B"/>
    <w:rsid w:val="00153942"/>
    <w:rsid w:val="00153C7F"/>
    <w:rsid w:val="00157CF1"/>
    <w:rsid w:val="00162BDD"/>
    <w:rsid w:val="00163BA2"/>
    <w:rsid w:val="00164BAF"/>
    <w:rsid w:val="00165346"/>
    <w:rsid w:val="001659D4"/>
    <w:rsid w:val="001665B1"/>
    <w:rsid w:val="0017033D"/>
    <w:rsid w:val="001704A0"/>
    <w:rsid w:val="0017292B"/>
    <w:rsid w:val="00174513"/>
    <w:rsid w:val="00174A27"/>
    <w:rsid w:val="0017541C"/>
    <w:rsid w:val="00176369"/>
    <w:rsid w:val="00177182"/>
    <w:rsid w:val="00177453"/>
    <w:rsid w:val="00180374"/>
    <w:rsid w:val="00181C90"/>
    <w:rsid w:val="001820F7"/>
    <w:rsid w:val="00182AB0"/>
    <w:rsid w:val="00183A5A"/>
    <w:rsid w:val="00183AE3"/>
    <w:rsid w:val="00183BB7"/>
    <w:rsid w:val="00185B3B"/>
    <w:rsid w:val="00186A45"/>
    <w:rsid w:val="001928F6"/>
    <w:rsid w:val="00192B27"/>
    <w:rsid w:val="001930CA"/>
    <w:rsid w:val="00193974"/>
    <w:rsid w:val="00194050"/>
    <w:rsid w:val="0019443D"/>
    <w:rsid w:val="00196E12"/>
    <w:rsid w:val="001A0068"/>
    <w:rsid w:val="001A1AA1"/>
    <w:rsid w:val="001A1FF8"/>
    <w:rsid w:val="001A2562"/>
    <w:rsid w:val="001A2A91"/>
    <w:rsid w:val="001A3F1A"/>
    <w:rsid w:val="001A429A"/>
    <w:rsid w:val="001A4726"/>
    <w:rsid w:val="001B0F81"/>
    <w:rsid w:val="001B5F1B"/>
    <w:rsid w:val="001C3121"/>
    <w:rsid w:val="001C3AAE"/>
    <w:rsid w:val="001C46F4"/>
    <w:rsid w:val="001D06BE"/>
    <w:rsid w:val="001D1B26"/>
    <w:rsid w:val="001D2285"/>
    <w:rsid w:val="001D3C6D"/>
    <w:rsid w:val="001D4533"/>
    <w:rsid w:val="001D6F39"/>
    <w:rsid w:val="001D77C5"/>
    <w:rsid w:val="001E113F"/>
    <w:rsid w:val="001E1F25"/>
    <w:rsid w:val="001E34CC"/>
    <w:rsid w:val="001E41C6"/>
    <w:rsid w:val="001E4D2D"/>
    <w:rsid w:val="001E615C"/>
    <w:rsid w:val="001E6540"/>
    <w:rsid w:val="001E7655"/>
    <w:rsid w:val="001F39EA"/>
    <w:rsid w:val="001F3EE4"/>
    <w:rsid w:val="001F5168"/>
    <w:rsid w:val="001F579E"/>
    <w:rsid w:val="001F6C1F"/>
    <w:rsid w:val="001F7DB8"/>
    <w:rsid w:val="00200EA3"/>
    <w:rsid w:val="002026E4"/>
    <w:rsid w:val="00202D0E"/>
    <w:rsid w:val="00203A3B"/>
    <w:rsid w:val="00203CF6"/>
    <w:rsid w:val="00204DA3"/>
    <w:rsid w:val="00207436"/>
    <w:rsid w:val="00207AEC"/>
    <w:rsid w:val="00210946"/>
    <w:rsid w:val="00213C0B"/>
    <w:rsid w:val="0021486C"/>
    <w:rsid w:val="00215098"/>
    <w:rsid w:val="002156D1"/>
    <w:rsid w:val="00216354"/>
    <w:rsid w:val="002169D6"/>
    <w:rsid w:val="00223008"/>
    <w:rsid w:val="00223538"/>
    <w:rsid w:val="00223673"/>
    <w:rsid w:val="002241A7"/>
    <w:rsid w:val="0022741E"/>
    <w:rsid w:val="00230289"/>
    <w:rsid w:val="002332F9"/>
    <w:rsid w:val="002351AC"/>
    <w:rsid w:val="00235C1A"/>
    <w:rsid w:val="00236C43"/>
    <w:rsid w:val="00242E1F"/>
    <w:rsid w:val="002435DB"/>
    <w:rsid w:val="00243A7E"/>
    <w:rsid w:val="002454AC"/>
    <w:rsid w:val="00245627"/>
    <w:rsid w:val="00246DE9"/>
    <w:rsid w:val="002477CB"/>
    <w:rsid w:val="00247A8D"/>
    <w:rsid w:val="00247B47"/>
    <w:rsid w:val="00252A86"/>
    <w:rsid w:val="00253B12"/>
    <w:rsid w:val="0025568F"/>
    <w:rsid w:val="00255E8A"/>
    <w:rsid w:val="00257AEE"/>
    <w:rsid w:val="00257E67"/>
    <w:rsid w:val="00260576"/>
    <w:rsid w:val="002618D6"/>
    <w:rsid w:val="00263DCA"/>
    <w:rsid w:val="00263E40"/>
    <w:rsid w:val="00265A08"/>
    <w:rsid w:val="0026636B"/>
    <w:rsid w:val="00270300"/>
    <w:rsid w:val="0027040A"/>
    <w:rsid w:val="0027061E"/>
    <w:rsid w:val="0027161D"/>
    <w:rsid w:val="002755AE"/>
    <w:rsid w:val="00284359"/>
    <w:rsid w:val="00285680"/>
    <w:rsid w:val="00285AE4"/>
    <w:rsid w:val="00285C25"/>
    <w:rsid w:val="00291CDB"/>
    <w:rsid w:val="00295729"/>
    <w:rsid w:val="002978B5"/>
    <w:rsid w:val="002A15D4"/>
    <w:rsid w:val="002A1690"/>
    <w:rsid w:val="002A1A2C"/>
    <w:rsid w:val="002A28C0"/>
    <w:rsid w:val="002A37C2"/>
    <w:rsid w:val="002A3A2E"/>
    <w:rsid w:val="002A42EE"/>
    <w:rsid w:val="002A4ED8"/>
    <w:rsid w:val="002A6A6B"/>
    <w:rsid w:val="002B034F"/>
    <w:rsid w:val="002B13A3"/>
    <w:rsid w:val="002B217D"/>
    <w:rsid w:val="002B3889"/>
    <w:rsid w:val="002B7C30"/>
    <w:rsid w:val="002C2F8F"/>
    <w:rsid w:val="002C304D"/>
    <w:rsid w:val="002C42DB"/>
    <w:rsid w:val="002C4B04"/>
    <w:rsid w:val="002C561B"/>
    <w:rsid w:val="002D1899"/>
    <w:rsid w:val="002D2CAA"/>
    <w:rsid w:val="002D5140"/>
    <w:rsid w:val="002D530D"/>
    <w:rsid w:val="002D635E"/>
    <w:rsid w:val="002D66EC"/>
    <w:rsid w:val="002D66F0"/>
    <w:rsid w:val="002E15C8"/>
    <w:rsid w:val="002E224E"/>
    <w:rsid w:val="002E2E6E"/>
    <w:rsid w:val="002E6441"/>
    <w:rsid w:val="002E7784"/>
    <w:rsid w:val="002E77DB"/>
    <w:rsid w:val="002F020A"/>
    <w:rsid w:val="002F179F"/>
    <w:rsid w:val="002F4550"/>
    <w:rsid w:val="002F4E1C"/>
    <w:rsid w:val="002F61B1"/>
    <w:rsid w:val="00301366"/>
    <w:rsid w:val="003025F1"/>
    <w:rsid w:val="003028F9"/>
    <w:rsid w:val="003040D7"/>
    <w:rsid w:val="00304187"/>
    <w:rsid w:val="00304C6F"/>
    <w:rsid w:val="0030777D"/>
    <w:rsid w:val="00307F16"/>
    <w:rsid w:val="00310541"/>
    <w:rsid w:val="0031086A"/>
    <w:rsid w:val="003111C1"/>
    <w:rsid w:val="003115D9"/>
    <w:rsid w:val="00312E03"/>
    <w:rsid w:val="00314EB3"/>
    <w:rsid w:val="003158C8"/>
    <w:rsid w:val="003161DA"/>
    <w:rsid w:val="00316AB9"/>
    <w:rsid w:val="00316F7A"/>
    <w:rsid w:val="0031721E"/>
    <w:rsid w:val="00320604"/>
    <w:rsid w:val="003209E4"/>
    <w:rsid w:val="00325080"/>
    <w:rsid w:val="0032569C"/>
    <w:rsid w:val="00330226"/>
    <w:rsid w:val="003303C6"/>
    <w:rsid w:val="00330B88"/>
    <w:rsid w:val="00331121"/>
    <w:rsid w:val="003319EC"/>
    <w:rsid w:val="0033299C"/>
    <w:rsid w:val="00333421"/>
    <w:rsid w:val="0034142B"/>
    <w:rsid w:val="003421DF"/>
    <w:rsid w:val="0034263B"/>
    <w:rsid w:val="00342EC5"/>
    <w:rsid w:val="003431DA"/>
    <w:rsid w:val="00344B2A"/>
    <w:rsid w:val="0034560F"/>
    <w:rsid w:val="00347290"/>
    <w:rsid w:val="00350A08"/>
    <w:rsid w:val="0035187E"/>
    <w:rsid w:val="0035276E"/>
    <w:rsid w:val="00352B40"/>
    <w:rsid w:val="00353F4C"/>
    <w:rsid w:val="00353FE2"/>
    <w:rsid w:val="0035437D"/>
    <w:rsid w:val="00355891"/>
    <w:rsid w:val="00355FF8"/>
    <w:rsid w:val="003560B0"/>
    <w:rsid w:val="003612F6"/>
    <w:rsid w:val="00361E20"/>
    <w:rsid w:val="00363020"/>
    <w:rsid w:val="00365A65"/>
    <w:rsid w:val="00374048"/>
    <w:rsid w:val="003768D7"/>
    <w:rsid w:val="003777FA"/>
    <w:rsid w:val="003809B1"/>
    <w:rsid w:val="0038769C"/>
    <w:rsid w:val="00387B52"/>
    <w:rsid w:val="00390540"/>
    <w:rsid w:val="0039134B"/>
    <w:rsid w:val="00392457"/>
    <w:rsid w:val="00392F6C"/>
    <w:rsid w:val="00394F8B"/>
    <w:rsid w:val="0039620B"/>
    <w:rsid w:val="003A0307"/>
    <w:rsid w:val="003A122B"/>
    <w:rsid w:val="003A39C1"/>
    <w:rsid w:val="003A4166"/>
    <w:rsid w:val="003A43D8"/>
    <w:rsid w:val="003A498D"/>
    <w:rsid w:val="003A5938"/>
    <w:rsid w:val="003A7616"/>
    <w:rsid w:val="003A7B21"/>
    <w:rsid w:val="003B19DD"/>
    <w:rsid w:val="003B3B32"/>
    <w:rsid w:val="003B466A"/>
    <w:rsid w:val="003B49A9"/>
    <w:rsid w:val="003B7E2C"/>
    <w:rsid w:val="003C0057"/>
    <w:rsid w:val="003C11DD"/>
    <w:rsid w:val="003C1250"/>
    <w:rsid w:val="003C19C1"/>
    <w:rsid w:val="003C363D"/>
    <w:rsid w:val="003C4A52"/>
    <w:rsid w:val="003C4AE4"/>
    <w:rsid w:val="003C5255"/>
    <w:rsid w:val="003C740B"/>
    <w:rsid w:val="003C7F20"/>
    <w:rsid w:val="003D0410"/>
    <w:rsid w:val="003D25DD"/>
    <w:rsid w:val="003D4953"/>
    <w:rsid w:val="003D58BC"/>
    <w:rsid w:val="003D7EB9"/>
    <w:rsid w:val="003E231D"/>
    <w:rsid w:val="003E260F"/>
    <w:rsid w:val="003E2667"/>
    <w:rsid w:val="003E2A95"/>
    <w:rsid w:val="003F2803"/>
    <w:rsid w:val="003F332D"/>
    <w:rsid w:val="003F45D7"/>
    <w:rsid w:val="003F6C77"/>
    <w:rsid w:val="0040080E"/>
    <w:rsid w:val="004031F4"/>
    <w:rsid w:val="00404564"/>
    <w:rsid w:val="00404E89"/>
    <w:rsid w:val="00405D3D"/>
    <w:rsid w:val="0040621D"/>
    <w:rsid w:val="00406AAE"/>
    <w:rsid w:val="00411317"/>
    <w:rsid w:val="0041161D"/>
    <w:rsid w:val="004123A3"/>
    <w:rsid w:val="00413110"/>
    <w:rsid w:val="004138B3"/>
    <w:rsid w:val="0041609D"/>
    <w:rsid w:val="0041629F"/>
    <w:rsid w:val="00416721"/>
    <w:rsid w:val="00416BFF"/>
    <w:rsid w:val="00417C68"/>
    <w:rsid w:val="004205C2"/>
    <w:rsid w:val="00420A14"/>
    <w:rsid w:val="00420AF5"/>
    <w:rsid w:val="00420BA3"/>
    <w:rsid w:val="004215B5"/>
    <w:rsid w:val="004236A1"/>
    <w:rsid w:val="004238F7"/>
    <w:rsid w:val="00423AEF"/>
    <w:rsid w:val="0042573D"/>
    <w:rsid w:val="00425BBE"/>
    <w:rsid w:val="00430C0C"/>
    <w:rsid w:val="00431DD8"/>
    <w:rsid w:val="00432D26"/>
    <w:rsid w:val="00433626"/>
    <w:rsid w:val="0043613E"/>
    <w:rsid w:val="00437DDE"/>
    <w:rsid w:val="00437F07"/>
    <w:rsid w:val="004411A5"/>
    <w:rsid w:val="0044457F"/>
    <w:rsid w:val="00444CBB"/>
    <w:rsid w:val="00444CE2"/>
    <w:rsid w:val="00445944"/>
    <w:rsid w:val="004460C6"/>
    <w:rsid w:val="004502D1"/>
    <w:rsid w:val="0045052E"/>
    <w:rsid w:val="004528CD"/>
    <w:rsid w:val="00452E04"/>
    <w:rsid w:val="00455390"/>
    <w:rsid w:val="00455CA0"/>
    <w:rsid w:val="00457D88"/>
    <w:rsid w:val="00460324"/>
    <w:rsid w:val="004624F1"/>
    <w:rsid w:val="0046352E"/>
    <w:rsid w:val="004641F3"/>
    <w:rsid w:val="004646E1"/>
    <w:rsid w:val="00464F73"/>
    <w:rsid w:val="004670FE"/>
    <w:rsid w:val="00467FFC"/>
    <w:rsid w:val="004763ED"/>
    <w:rsid w:val="0048071D"/>
    <w:rsid w:val="004879D1"/>
    <w:rsid w:val="00492D0E"/>
    <w:rsid w:val="0049376F"/>
    <w:rsid w:val="00493941"/>
    <w:rsid w:val="0049459B"/>
    <w:rsid w:val="0049492E"/>
    <w:rsid w:val="00494D48"/>
    <w:rsid w:val="00495AF6"/>
    <w:rsid w:val="004A05A6"/>
    <w:rsid w:val="004A1E8A"/>
    <w:rsid w:val="004A23FE"/>
    <w:rsid w:val="004A2FBA"/>
    <w:rsid w:val="004A4AA4"/>
    <w:rsid w:val="004A5ECE"/>
    <w:rsid w:val="004A62BD"/>
    <w:rsid w:val="004A7B26"/>
    <w:rsid w:val="004B0E21"/>
    <w:rsid w:val="004B1B4F"/>
    <w:rsid w:val="004B28C9"/>
    <w:rsid w:val="004B3CBA"/>
    <w:rsid w:val="004B6274"/>
    <w:rsid w:val="004C1C3D"/>
    <w:rsid w:val="004C1DE9"/>
    <w:rsid w:val="004C41EB"/>
    <w:rsid w:val="004C4D9F"/>
    <w:rsid w:val="004C6282"/>
    <w:rsid w:val="004D20DF"/>
    <w:rsid w:val="004D27C5"/>
    <w:rsid w:val="004D2D2E"/>
    <w:rsid w:val="004D3008"/>
    <w:rsid w:val="004D4A7A"/>
    <w:rsid w:val="004D7B06"/>
    <w:rsid w:val="004E05C9"/>
    <w:rsid w:val="004E1B98"/>
    <w:rsid w:val="004E3EE4"/>
    <w:rsid w:val="004E5D01"/>
    <w:rsid w:val="004F1BB4"/>
    <w:rsid w:val="004F1E46"/>
    <w:rsid w:val="004F2548"/>
    <w:rsid w:val="004F3FE7"/>
    <w:rsid w:val="004F713D"/>
    <w:rsid w:val="004F7620"/>
    <w:rsid w:val="0050089A"/>
    <w:rsid w:val="00503860"/>
    <w:rsid w:val="00505B7A"/>
    <w:rsid w:val="0050770B"/>
    <w:rsid w:val="00510058"/>
    <w:rsid w:val="00510CB8"/>
    <w:rsid w:val="00510D3C"/>
    <w:rsid w:val="00511CEF"/>
    <w:rsid w:val="00512CBE"/>
    <w:rsid w:val="0051318F"/>
    <w:rsid w:val="00513583"/>
    <w:rsid w:val="00513667"/>
    <w:rsid w:val="00514640"/>
    <w:rsid w:val="00514FFD"/>
    <w:rsid w:val="00515717"/>
    <w:rsid w:val="00515CCB"/>
    <w:rsid w:val="00516C89"/>
    <w:rsid w:val="00520637"/>
    <w:rsid w:val="00522FD2"/>
    <w:rsid w:val="00523438"/>
    <w:rsid w:val="0052349E"/>
    <w:rsid w:val="005236D8"/>
    <w:rsid w:val="00523735"/>
    <w:rsid w:val="00524160"/>
    <w:rsid w:val="00525503"/>
    <w:rsid w:val="00525DBB"/>
    <w:rsid w:val="005279E8"/>
    <w:rsid w:val="00530C1B"/>
    <w:rsid w:val="00533506"/>
    <w:rsid w:val="00534A83"/>
    <w:rsid w:val="00534FAF"/>
    <w:rsid w:val="00536C11"/>
    <w:rsid w:val="00536F6B"/>
    <w:rsid w:val="00542826"/>
    <w:rsid w:val="00542BE5"/>
    <w:rsid w:val="00544EB9"/>
    <w:rsid w:val="005452E0"/>
    <w:rsid w:val="005467E3"/>
    <w:rsid w:val="0054698E"/>
    <w:rsid w:val="00546A8B"/>
    <w:rsid w:val="00546C0B"/>
    <w:rsid w:val="00550B8B"/>
    <w:rsid w:val="00551592"/>
    <w:rsid w:val="0055165A"/>
    <w:rsid w:val="00551A27"/>
    <w:rsid w:val="00552118"/>
    <w:rsid w:val="005564A7"/>
    <w:rsid w:val="005603DE"/>
    <w:rsid w:val="00560556"/>
    <w:rsid w:val="00561B61"/>
    <w:rsid w:val="0056477C"/>
    <w:rsid w:val="00566C6D"/>
    <w:rsid w:val="00567CBD"/>
    <w:rsid w:val="00571BBD"/>
    <w:rsid w:val="00572FE7"/>
    <w:rsid w:val="005748F6"/>
    <w:rsid w:val="00574AF4"/>
    <w:rsid w:val="00577089"/>
    <w:rsid w:val="00577C7B"/>
    <w:rsid w:val="0058061D"/>
    <w:rsid w:val="0058165F"/>
    <w:rsid w:val="005828BA"/>
    <w:rsid w:val="005847DF"/>
    <w:rsid w:val="00584D55"/>
    <w:rsid w:val="00584E2B"/>
    <w:rsid w:val="00584EEA"/>
    <w:rsid w:val="00585F6E"/>
    <w:rsid w:val="00590D6B"/>
    <w:rsid w:val="00591946"/>
    <w:rsid w:val="005923B1"/>
    <w:rsid w:val="00593794"/>
    <w:rsid w:val="00597C1D"/>
    <w:rsid w:val="005A04F8"/>
    <w:rsid w:val="005A35FF"/>
    <w:rsid w:val="005A4F97"/>
    <w:rsid w:val="005A57BA"/>
    <w:rsid w:val="005A5C49"/>
    <w:rsid w:val="005A5EDE"/>
    <w:rsid w:val="005A683E"/>
    <w:rsid w:val="005B06A6"/>
    <w:rsid w:val="005B0DF9"/>
    <w:rsid w:val="005B16EB"/>
    <w:rsid w:val="005B2AF1"/>
    <w:rsid w:val="005B35F2"/>
    <w:rsid w:val="005B3998"/>
    <w:rsid w:val="005B4919"/>
    <w:rsid w:val="005B5ACA"/>
    <w:rsid w:val="005B63F8"/>
    <w:rsid w:val="005B67E2"/>
    <w:rsid w:val="005C0D37"/>
    <w:rsid w:val="005C15FC"/>
    <w:rsid w:val="005C29CB"/>
    <w:rsid w:val="005C2C48"/>
    <w:rsid w:val="005C4343"/>
    <w:rsid w:val="005C4A1D"/>
    <w:rsid w:val="005C676F"/>
    <w:rsid w:val="005D1B48"/>
    <w:rsid w:val="005D1E3A"/>
    <w:rsid w:val="005D5341"/>
    <w:rsid w:val="005D7262"/>
    <w:rsid w:val="005E1C7E"/>
    <w:rsid w:val="005E1E1E"/>
    <w:rsid w:val="005E3D6E"/>
    <w:rsid w:val="005E646A"/>
    <w:rsid w:val="005E6E06"/>
    <w:rsid w:val="005E79EE"/>
    <w:rsid w:val="005E7BED"/>
    <w:rsid w:val="005F0455"/>
    <w:rsid w:val="005F0A6B"/>
    <w:rsid w:val="005F0B39"/>
    <w:rsid w:val="005F1491"/>
    <w:rsid w:val="005F61CE"/>
    <w:rsid w:val="005F6393"/>
    <w:rsid w:val="005F7B24"/>
    <w:rsid w:val="006022CF"/>
    <w:rsid w:val="006029D3"/>
    <w:rsid w:val="0060329A"/>
    <w:rsid w:val="00605519"/>
    <w:rsid w:val="006073B9"/>
    <w:rsid w:val="0060794C"/>
    <w:rsid w:val="006102B3"/>
    <w:rsid w:val="00610759"/>
    <w:rsid w:val="00611A1E"/>
    <w:rsid w:val="006124C5"/>
    <w:rsid w:val="00615E9E"/>
    <w:rsid w:val="00616A9D"/>
    <w:rsid w:val="00621DAD"/>
    <w:rsid w:val="00624F7B"/>
    <w:rsid w:val="00626CCB"/>
    <w:rsid w:val="006273AD"/>
    <w:rsid w:val="00627934"/>
    <w:rsid w:val="0063147A"/>
    <w:rsid w:val="006334B6"/>
    <w:rsid w:val="00633A33"/>
    <w:rsid w:val="00635059"/>
    <w:rsid w:val="0064133E"/>
    <w:rsid w:val="00642975"/>
    <w:rsid w:val="00643ECC"/>
    <w:rsid w:val="00644B20"/>
    <w:rsid w:val="00650380"/>
    <w:rsid w:val="0065105B"/>
    <w:rsid w:val="00654CE1"/>
    <w:rsid w:val="00660983"/>
    <w:rsid w:val="0066641F"/>
    <w:rsid w:val="00666C3C"/>
    <w:rsid w:val="00671F08"/>
    <w:rsid w:val="00673A83"/>
    <w:rsid w:val="006746C5"/>
    <w:rsid w:val="00674E67"/>
    <w:rsid w:val="006766B9"/>
    <w:rsid w:val="006804D6"/>
    <w:rsid w:val="0068181E"/>
    <w:rsid w:val="006836A2"/>
    <w:rsid w:val="0068399B"/>
    <w:rsid w:val="00684458"/>
    <w:rsid w:val="006854D2"/>
    <w:rsid w:val="006906C5"/>
    <w:rsid w:val="00690813"/>
    <w:rsid w:val="0069171C"/>
    <w:rsid w:val="00691902"/>
    <w:rsid w:val="00692382"/>
    <w:rsid w:val="00696B7E"/>
    <w:rsid w:val="00697D6B"/>
    <w:rsid w:val="006A132D"/>
    <w:rsid w:val="006A1814"/>
    <w:rsid w:val="006A189E"/>
    <w:rsid w:val="006A1D1F"/>
    <w:rsid w:val="006A2237"/>
    <w:rsid w:val="006A3A83"/>
    <w:rsid w:val="006A443C"/>
    <w:rsid w:val="006A5FB2"/>
    <w:rsid w:val="006B0D1F"/>
    <w:rsid w:val="006B1C85"/>
    <w:rsid w:val="006B23C2"/>
    <w:rsid w:val="006B45F4"/>
    <w:rsid w:val="006C0B0A"/>
    <w:rsid w:val="006C3A8B"/>
    <w:rsid w:val="006C3EDF"/>
    <w:rsid w:val="006C5A91"/>
    <w:rsid w:val="006D07D9"/>
    <w:rsid w:val="006D13B3"/>
    <w:rsid w:val="006D1C67"/>
    <w:rsid w:val="006D3EF7"/>
    <w:rsid w:val="006D46D3"/>
    <w:rsid w:val="006D5750"/>
    <w:rsid w:val="006D57D2"/>
    <w:rsid w:val="006D63AE"/>
    <w:rsid w:val="006D7DE9"/>
    <w:rsid w:val="006E02C7"/>
    <w:rsid w:val="006E0B16"/>
    <w:rsid w:val="006E126B"/>
    <w:rsid w:val="006E1B63"/>
    <w:rsid w:val="006E3C61"/>
    <w:rsid w:val="006E5C51"/>
    <w:rsid w:val="006E6283"/>
    <w:rsid w:val="006E646E"/>
    <w:rsid w:val="006F066B"/>
    <w:rsid w:val="006F0DB1"/>
    <w:rsid w:val="006F1CBA"/>
    <w:rsid w:val="006F3827"/>
    <w:rsid w:val="006F4667"/>
    <w:rsid w:val="006F61EB"/>
    <w:rsid w:val="006F689F"/>
    <w:rsid w:val="006F6DB2"/>
    <w:rsid w:val="00701139"/>
    <w:rsid w:val="007022F6"/>
    <w:rsid w:val="00704662"/>
    <w:rsid w:val="00704A88"/>
    <w:rsid w:val="007063C1"/>
    <w:rsid w:val="00707093"/>
    <w:rsid w:val="0071078C"/>
    <w:rsid w:val="007129BE"/>
    <w:rsid w:val="00714763"/>
    <w:rsid w:val="00714C43"/>
    <w:rsid w:val="00714E42"/>
    <w:rsid w:val="00715CB1"/>
    <w:rsid w:val="00720ABF"/>
    <w:rsid w:val="00721C45"/>
    <w:rsid w:val="00721F8D"/>
    <w:rsid w:val="00723B41"/>
    <w:rsid w:val="00737B81"/>
    <w:rsid w:val="00741220"/>
    <w:rsid w:val="00741824"/>
    <w:rsid w:val="00741886"/>
    <w:rsid w:val="0074193A"/>
    <w:rsid w:val="00741ED6"/>
    <w:rsid w:val="00743208"/>
    <w:rsid w:val="0074350A"/>
    <w:rsid w:val="00745A43"/>
    <w:rsid w:val="00747DD1"/>
    <w:rsid w:val="00752A73"/>
    <w:rsid w:val="0075506C"/>
    <w:rsid w:val="00755C92"/>
    <w:rsid w:val="007573EE"/>
    <w:rsid w:val="007576D1"/>
    <w:rsid w:val="00757839"/>
    <w:rsid w:val="0075789D"/>
    <w:rsid w:val="0076086E"/>
    <w:rsid w:val="00761C97"/>
    <w:rsid w:val="00762D03"/>
    <w:rsid w:val="007641CC"/>
    <w:rsid w:val="007654E9"/>
    <w:rsid w:val="00765756"/>
    <w:rsid w:val="007673B3"/>
    <w:rsid w:val="007674F7"/>
    <w:rsid w:val="007679C3"/>
    <w:rsid w:val="00770514"/>
    <w:rsid w:val="00772759"/>
    <w:rsid w:val="00774134"/>
    <w:rsid w:val="00774CFE"/>
    <w:rsid w:val="00774F22"/>
    <w:rsid w:val="00777F90"/>
    <w:rsid w:val="00780BE3"/>
    <w:rsid w:val="007830C4"/>
    <w:rsid w:val="0078420C"/>
    <w:rsid w:val="00786D77"/>
    <w:rsid w:val="00793EE9"/>
    <w:rsid w:val="00795AD4"/>
    <w:rsid w:val="0079608D"/>
    <w:rsid w:val="007962D3"/>
    <w:rsid w:val="00796AB5"/>
    <w:rsid w:val="007A2641"/>
    <w:rsid w:val="007A3197"/>
    <w:rsid w:val="007A32B3"/>
    <w:rsid w:val="007A526D"/>
    <w:rsid w:val="007A595A"/>
    <w:rsid w:val="007A7EF7"/>
    <w:rsid w:val="007B1B94"/>
    <w:rsid w:val="007B218F"/>
    <w:rsid w:val="007B249D"/>
    <w:rsid w:val="007B48C6"/>
    <w:rsid w:val="007B5233"/>
    <w:rsid w:val="007B5C58"/>
    <w:rsid w:val="007B6645"/>
    <w:rsid w:val="007C05F5"/>
    <w:rsid w:val="007C11BE"/>
    <w:rsid w:val="007C59DB"/>
    <w:rsid w:val="007C5FB5"/>
    <w:rsid w:val="007C6F24"/>
    <w:rsid w:val="007C787F"/>
    <w:rsid w:val="007D26DB"/>
    <w:rsid w:val="007D4705"/>
    <w:rsid w:val="007D4981"/>
    <w:rsid w:val="007D57CA"/>
    <w:rsid w:val="007D6C1F"/>
    <w:rsid w:val="007D7ACB"/>
    <w:rsid w:val="007E063F"/>
    <w:rsid w:val="007E1BF9"/>
    <w:rsid w:val="007E4107"/>
    <w:rsid w:val="007E62D1"/>
    <w:rsid w:val="007E741F"/>
    <w:rsid w:val="007E75FC"/>
    <w:rsid w:val="007E7845"/>
    <w:rsid w:val="007F4782"/>
    <w:rsid w:val="007F5614"/>
    <w:rsid w:val="007F5E46"/>
    <w:rsid w:val="007F76D4"/>
    <w:rsid w:val="00800768"/>
    <w:rsid w:val="00803B87"/>
    <w:rsid w:val="00806FC9"/>
    <w:rsid w:val="00810B5C"/>
    <w:rsid w:val="00813B97"/>
    <w:rsid w:val="00814036"/>
    <w:rsid w:val="008172F7"/>
    <w:rsid w:val="00817C21"/>
    <w:rsid w:val="00824269"/>
    <w:rsid w:val="00824866"/>
    <w:rsid w:val="00825D1C"/>
    <w:rsid w:val="008264FC"/>
    <w:rsid w:val="00826E75"/>
    <w:rsid w:val="00827291"/>
    <w:rsid w:val="0083061F"/>
    <w:rsid w:val="0083102D"/>
    <w:rsid w:val="00835AF7"/>
    <w:rsid w:val="008361AD"/>
    <w:rsid w:val="00843431"/>
    <w:rsid w:val="00846477"/>
    <w:rsid w:val="0084709C"/>
    <w:rsid w:val="00850151"/>
    <w:rsid w:val="0085301C"/>
    <w:rsid w:val="008530F5"/>
    <w:rsid w:val="00854D9B"/>
    <w:rsid w:val="00855A08"/>
    <w:rsid w:val="008562DF"/>
    <w:rsid w:val="00856674"/>
    <w:rsid w:val="00860AA8"/>
    <w:rsid w:val="008612E9"/>
    <w:rsid w:val="00862AE8"/>
    <w:rsid w:val="00864563"/>
    <w:rsid w:val="0087074C"/>
    <w:rsid w:val="0087177A"/>
    <w:rsid w:val="00874851"/>
    <w:rsid w:val="0087664B"/>
    <w:rsid w:val="00876923"/>
    <w:rsid w:val="008804F5"/>
    <w:rsid w:val="00880569"/>
    <w:rsid w:val="0088112D"/>
    <w:rsid w:val="00881E57"/>
    <w:rsid w:val="0088296A"/>
    <w:rsid w:val="008833AD"/>
    <w:rsid w:val="0089305D"/>
    <w:rsid w:val="00895037"/>
    <w:rsid w:val="008954A4"/>
    <w:rsid w:val="00897A50"/>
    <w:rsid w:val="008A06D0"/>
    <w:rsid w:val="008A1C5D"/>
    <w:rsid w:val="008A1D0A"/>
    <w:rsid w:val="008A36D7"/>
    <w:rsid w:val="008A3FE0"/>
    <w:rsid w:val="008A4ACD"/>
    <w:rsid w:val="008A4AD4"/>
    <w:rsid w:val="008A4D95"/>
    <w:rsid w:val="008A5E41"/>
    <w:rsid w:val="008A6478"/>
    <w:rsid w:val="008A70E7"/>
    <w:rsid w:val="008B06D1"/>
    <w:rsid w:val="008B2223"/>
    <w:rsid w:val="008B4097"/>
    <w:rsid w:val="008B4572"/>
    <w:rsid w:val="008B4EDE"/>
    <w:rsid w:val="008B6704"/>
    <w:rsid w:val="008C2E3E"/>
    <w:rsid w:val="008D1D38"/>
    <w:rsid w:val="008D1D86"/>
    <w:rsid w:val="008D2BEA"/>
    <w:rsid w:val="008D32DB"/>
    <w:rsid w:val="008D40DB"/>
    <w:rsid w:val="008D47FA"/>
    <w:rsid w:val="008D7A32"/>
    <w:rsid w:val="008D7A6C"/>
    <w:rsid w:val="008E30A6"/>
    <w:rsid w:val="008E48B4"/>
    <w:rsid w:val="008E6A36"/>
    <w:rsid w:val="008E735A"/>
    <w:rsid w:val="008F0169"/>
    <w:rsid w:val="008F04D2"/>
    <w:rsid w:val="008F1AFD"/>
    <w:rsid w:val="008F2413"/>
    <w:rsid w:val="008F25A1"/>
    <w:rsid w:val="008F269A"/>
    <w:rsid w:val="008F4851"/>
    <w:rsid w:val="008F5E11"/>
    <w:rsid w:val="008F69B6"/>
    <w:rsid w:val="00900846"/>
    <w:rsid w:val="0090349F"/>
    <w:rsid w:val="00903DDA"/>
    <w:rsid w:val="00910C26"/>
    <w:rsid w:val="00912574"/>
    <w:rsid w:val="009135E6"/>
    <w:rsid w:val="00914B75"/>
    <w:rsid w:val="0091522A"/>
    <w:rsid w:val="0092034F"/>
    <w:rsid w:val="009207D4"/>
    <w:rsid w:val="0092407E"/>
    <w:rsid w:val="009248B0"/>
    <w:rsid w:val="009256B9"/>
    <w:rsid w:val="00925746"/>
    <w:rsid w:val="00925AD4"/>
    <w:rsid w:val="00925BC0"/>
    <w:rsid w:val="00926F16"/>
    <w:rsid w:val="00927206"/>
    <w:rsid w:val="00930757"/>
    <w:rsid w:val="0093228A"/>
    <w:rsid w:val="009333FE"/>
    <w:rsid w:val="009346A3"/>
    <w:rsid w:val="00935AC5"/>
    <w:rsid w:val="00936B8F"/>
    <w:rsid w:val="009370BE"/>
    <w:rsid w:val="00942604"/>
    <w:rsid w:val="009431F5"/>
    <w:rsid w:val="0094338D"/>
    <w:rsid w:val="009446EA"/>
    <w:rsid w:val="009456EB"/>
    <w:rsid w:val="0094649A"/>
    <w:rsid w:val="009473C0"/>
    <w:rsid w:val="00947510"/>
    <w:rsid w:val="00950EC9"/>
    <w:rsid w:val="00952FE4"/>
    <w:rsid w:val="00953732"/>
    <w:rsid w:val="00954C20"/>
    <w:rsid w:val="00955451"/>
    <w:rsid w:val="009563F2"/>
    <w:rsid w:val="00956E0A"/>
    <w:rsid w:val="009575BD"/>
    <w:rsid w:val="009612F1"/>
    <w:rsid w:val="0096139A"/>
    <w:rsid w:val="009636BB"/>
    <w:rsid w:val="00966682"/>
    <w:rsid w:val="0096688B"/>
    <w:rsid w:val="0097097E"/>
    <w:rsid w:val="00973DE0"/>
    <w:rsid w:val="00974BF7"/>
    <w:rsid w:val="0098535E"/>
    <w:rsid w:val="009869E7"/>
    <w:rsid w:val="00987CC4"/>
    <w:rsid w:val="0099018D"/>
    <w:rsid w:val="0099204A"/>
    <w:rsid w:val="009922F2"/>
    <w:rsid w:val="00992813"/>
    <w:rsid w:val="00993C4D"/>
    <w:rsid w:val="00995257"/>
    <w:rsid w:val="009955C5"/>
    <w:rsid w:val="009966B6"/>
    <w:rsid w:val="00997030"/>
    <w:rsid w:val="0099710E"/>
    <w:rsid w:val="00997455"/>
    <w:rsid w:val="009A233D"/>
    <w:rsid w:val="009A32C6"/>
    <w:rsid w:val="009A3976"/>
    <w:rsid w:val="009A3A32"/>
    <w:rsid w:val="009A59D1"/>
    <w:rsid w:val="009A6874"/>
    <w:rsid w:val="009A6E07"/>
    <w:rsid w:val="009B19E6"/>
    <w:rsid w:val="009B2AAE"/>
    <w:rsid w:val="009B2DD8"/>
    <w:rsid w:val="009B36C3"/>
    <w:rsid w:val="009B4393"/>
    <w:rsid w:val="009B4C84"/>
    <w:rsid w:val="009B646B"/>
    <w:rsid w:val="009C3F75"/>
    <w:rsid w:val="009C4D19"/>
    <w:rsid w:val="009C5453"/>
    <w:rsid w:val="009C5EF7"/>
    <w:rsid w:val="009C675E"/>
    <w:rsid w:val="009C6D50"/>
    <w:rsid w:val="009D2EF9"/>
    <w:rsid w:val="009D3BD4"/>
    <w:rsid w:val="009D51D7"/>
    <w:rsid w:val="009D69F5"/>
    <w:rsid w:val="009D708A"/>
    <w:rsid w:val="009D78B9"/>
    <w:rsid w:val="009E1901"/>
    <w:rsid w:val="009E2465"/>
    <w:rsid w:val="009E2E4D"/>
    <w:rsid w:val="009E324D"/>
    <w:rsid w:val="009E3EA7"/>
    <w:rsid w:val="009E55DD"/>
    <w:rsid w:val="009F1D8E"/>
    <w:rsid w:val="009F1FAB"/>
    <w:rsid w:val="009F3265"/>
    <w:rsid w:val="009F4121"/>
    <w:rsid w:val="009F7121"/>
    <w:rsid w:val="009F7803"/>
    <w:rsid w:val="00A002D6"/>
    <w:rsid w:val="00A0033F"/>
    <w:rsid w:val="00A00999"/>
    <w:rsid w:val="00A01A24"/>
    <w:rsid w:val="00A035E6"/>
    <w:rsid w:val="00A0597F"/>
    <w:rsid w:val="00A07C64"/>
    <w:rsid w:val="00A1087E"/>
    <w:rsid w:val="00A1104B"/>
    <w:rsid w:val="00A1532D"/>
    <w:rsid w:val="00A172BA"/>
    <w:rsid w:val="00A22378"/>
    <w:rsid w:val="00A24E52"/>
    <w:rsid w:val="00A256FD"/>
    <w:rsid w:val="00A2606F"/>
    <w:rsid w:val="00A272D7"/>
    <w:rsid w:val="00A27516"/>
    <w:rsid w:val="00A30167"/>
    <w:rsid w:val="00A32EA9"/>
    <w:rsid w:val="00A3441C"/>
    <w:rsid w:val="00A356B0"/>
    <w:rsid w:val="00A35BE9"/>
    <w:rsid w:val="00A36F67"/>
    <w:rsid w:val="00A40AD5"/>
    <w:rsid w:val="00A40D5D"/>
    <w:rsid w:val="00A41232"/>
    <w:rsid w:val="00A413AB"/>
    <w:rsid w:val="00A4154D"/>
    <w:rsid w:val="00A42AF2"/>
    <w:rsid w:val="00A43615"/>
    <w:rsid w:val="00A438D5"/>
    <w:rsid w:val="00A45A28"/>
    <w:rsid w:val="00A46BB0"/>
    <w:rsid w:val="00A46EE3"/>
    <w:rsid w:val="00A52691"/>
    <w:rsid w:val="00A53380"/>
    <w:rsid w:val="00A55DD0"/>
    <w:rsid w:val="00A57526"/>
    <w:rsid w:val="00A60211"/>
    <w:rsid w:val="00A613C8"/>
    <w:rsid w:val="00A65F7F"/>
    <w:rsid w:val="00A70DC5"/>
    <w:rsid w:val="00A73EFE"/>
    <w:rsid w:val="00A76C1E"/>
    <w:rsid w:val="00A8158D"/>
    <w:rsid w:val="00A82350"/>
    <w:rsid w:val="00A82533"/>
    <w:rsid w:val="00A84C52"/>
    <w:rsid w:val="00A84E6D"/>
    <w:rsid w:val="00A859A9"/>
    <w:rsid w:val="00A869A5"/>
    <w:rsid w:val="00A87A21"/>
    <w:rsid w:val="00A87F31"/>
    <w:rsid w:val="00A90A65"/>
    <w:rsid w:val="00A9297C"/>
    <w:rsid w:val="00A95777"/>
    <w:rsid w:val="00A97982"/>
    <w:rsid w:val="00A97CE4"/>
    <w:rsid w:val="00AA013C"/>
    <w:rsid w:val="00AA3C25"/>
    <w:rsid w:val="00AA558F"/>
    <w:rsid w:val="00AB2726"/>
    <w:rsid w:val="00AB2BE4"/>
    <w:rsid w:val="00AB32D8"/>
    <w:rsid w:val="00AB46B2"/>
    <w:rsid w:val="00AB4CE6"/>
    <w:rsid w:val="00AB5A8A"/>
    <w:rsid w:val="00AB6E12"/>
    <w:rsid w:val="00AB6F5C"/>
    <w:rsid w:val="00AB7072"/>
    <w:rsid w:val="00AB7371"/>
    <w:rsid w:val="00AC112B"/>
    <w:rsid w:val="00AC136A"/>
    <w:rsid w:val="00AC296C"/>
    <w:rsid w:val="00AC2FBB"/>
    <w:rsid w:val="00AC536A"/>
    <w:rsid w:val="00AC5776"/>
    <w:rsid w:val="00AC597F"/>
    <w:rsid w:val="00AC6584"/>
    <w:rsid w:val="00AD1176"/>
    <w:rsid w:val="00AD1773"/>
    <w:rsid w:val="00AD4EDB"/>
    <w:rsid w:val="00AD6306"/>
    <w:rsid w:val="00AD75A4"/>
    <w:rsid w:val="00AD76D8"/>
    <w:rsid w:val="00AE22FF"/>
    <w:rsid w:val="00AE3111"/>
    <w:rsid w:val="00AE36D1"/>
    <w:rsid w:val="00AE657B"/>
    <w:rsid w:val="00AE77D6"/>
    <w:rsid w:val="00AF1C21"/>
    <w:rsid w:val="00AF25C8"/>
    <w:rsid w:val="00AF543E"/>
    <w:rsid w:val="00AF6075"/>
    <w:rsid w:val="00B00D71"/>
    <w:rsid w:val="00B01765"/>
    <w:rsid w:val="00B01C4C"/>
    <w:rsid w:val="00B01F5D"/>
    <w:rsid w:val="00B07C41"/>
    <w:rsid w:val="00B105FD"/>
    <w:rsid w:val="00B156A8"/>
    <w:rsid w:val="00B15B40"/>
    <w:rsid w:val="00B167B2"/>
    <w:rsid w:val="00B213CB"/>
    <w:rsid w:val="00B22B36"/>
    <w:rsid w:val="00B25E6F"/>
    <w:rsid w:val="00B313C7"/>
    <w:rsid w:val="00B32EE8"/>
    <w:rsid w:val="00B420B6"/>
    <w:rsid w:val="00B43729"/>
    <w:rsid w:val="00B45A7A"/>
    <w:rsid w:val="00B45DC4"/>
    <w:rsid w:val="00B51057"/>
    <w:rsid w:val="00B53440"/>
    <w:rsid w:val="00B53B39"/>
    <w:rsid w:val="00B55A21"/>
    <w:rsid w:val="00B5653A"/>
    <w:rsid w:val="00B56E89"/>
    <w:rsid w:val="00B5742B"/>
    <w:rsid w:val="00B603F9"/>
    <w:rsid w:val="00B618F0"/>
    <w:rsid w:val="00B62128"/>
    <w:rsid w:val="00B62340"/>
    <w:rsid w:val="00B62843"/>
    <w:rsid w:val="00B630E3"/>
    <w:rsid w:val="00B63478"/>
    <w:rsid w:val="00B63A63"/>
    <w:rsid w:val="00B64B65"/>
    <w:rsid w:val="00B6544E"/>
    <w:rsid w:val="00B67346"/>
    <w:rsid w:val="00B6796D"/>
    <w:rsid w:val="00B67F43"/>
    <w:rsid w:val="00B73828"/>
    <w:rsid w:val="00B74FE7"/>
    <w:rsid w:val="00B7655C"/>
    <w:rsid w:val="00B774C9"/>
    <w:rsid w:val="00B852D3"/>
    <w:rsid w:val="00B858B7"/>
    <w:rsid w:val="00B870B5"/>
    <w:rsid w:val="00B90506"/>
    <w:rsid w:val="00B92B0B"/>
    <w:rsid w:val="00B93FC8"/>
    <w:rsid w:val="00B94004"/>
    <w:rsid w:val="00B95BF4"/>
    <w:rsid w:val="00B972BA"/>
    <w:rsid w:val="00B9782A"/>
    <w:rsid w:val="00B97E5C"/>
    <w:rsid w:val="00BA4E57"/>
    <w:rsid w:val="00BA5CFD"/>
    <w:rsid w:val="00BA6592"/>
    <w:rsid w:val="00BB022F"/>
    <w:rsid w:val="00BB028F"/>
    <w:rsid w:val="00BB0A0C"/>
    <w:rsid w:val="00BB6A71"/>
    <w:rsid w:val="00BB6D69"/>
    <w:rsid w:val="00BC1C0B"/>
    <w:rsid w:val="00BC1E9F"/>
    <w:rsid w:val="00BC4305"/>
    <w:rsid w:val="00BC48FD"/>
    <w:rsid w:val="00BD07B6"/>
    <w:rsid w:val="00BD1A86"/>
    <w:rsid w:val="00BD25FF"/>
    <w:rsid w:val="00BD3E37"/>
    <w:rsid w:val="00BD4DA6"/>
    <w:rsid w:val="00BD59CF"/>
    <w:rsid w:val="00BD62C8"/>
    <w:rsid w:val="00BE1769"/>
    <w:rsid w:val="00BE1E09"/>
    <w:rsid w:val="00BE2979"/>
    <w:rsid w:val="00BE460D"/>
    <w:rsid w:val="00BE61BD"/>
    <w:rsid w:val="00BE6D57"/>
    <w:rsid w:val="00BE7A25"/>
    <w:rsid w:val="00BF02F3"/>
    <w:rsid w:val="00BF16E8"/>
    <w:rsid w:val="00BF1EE3"/>
    <w:rsid w:val="00BF30A4"/>
    <w:rsid w:val="00BF34B8"/>
    <w:rsid w:val="00BF37F7"/>
    <w:rsid w:val="00BF3BED"/>
    <w:rsid w:val="00BF3E49"/>
    <w:rsid w:val="00BF45AA"/>
    <w:rsid w:val="00BF5A2A"/>
    <w:rsid w:val="00BF5FEA"/>
    <w:rsid w:val="00BF68C7"/>
    <w:rsid w:val="00BF787C"/>
    <w:rsid w:val="00C00E36"/>
    <w:rsid w:val="00C01829"/>
    <w:rsid w:val="00C036B7"/>
    <w:rsid w:val="00C03E39"/>
    <w:rsid w:val="00C0404E"/>
    <w:rsid w:val="00C056CC"/>
    <w:rsid w:val="00C067EA"/>
    <w:rsid w:val="00C07A42"/>
    <w:rsid w:val="00C10193"/>
    <w:rsid w:val="00C10307"/>
    <w:rsid w:val="00C108D4"/>
    <w:rsid w:val="00C114C6"/>
    <w:rsid w:val="00C122C8"/>
    <w:rsid w:val="00C12597"/>
    <w:rsid w:val="00C12F52"/>
    <w:rsid w:val="00C13980"/>
    <w:rsid w:val="00C15465"/>
    <w:rsid w:val="00C20999"/>
    <w:rsid w:val="00C23AAF"/>
    <w:rsid w:val="00C23FC9"/>
    <w:rsid w:val="00C24853"/>
    <w:rsid w:val="00C2629D"/>
    <w:rsid w:val="00C27544"/>
    <w:rsid w:val="00C306F9"/>
    <w:rsid w:val="00C31788"/>
    <w:rsid w:val="00C31E31"/>
    <w:rsid w:val="00C34C78"/>
    <w:rsid w:val="00C35511"/>
    <w:rsid w:val="00C3767E"/>
    <w:rsid w:val="00C37966"/>
    <w:rsid w:val="00C404AC"/>
    <w:rsid w:val="00C40E2B"/>
    <w:rsid w:val="00C418C2"/>
    <w:rsid w:val="00C43133"/>
    <w:rsid w:val="00C44FD0"/>
    <w:rsid w:val="00C459D3"/>
    <w:rsid w:val="00C47663"/>
    <w:rsid w:val="00C50386"/>
    <w:rsid w:val="00C50BA1"/>
    <w:rsid w:val="00C51ABE"/>
    <w:rsid w:val="00C53DFB"/>
    <w:rsid w:val="00C56343"/>
    <w:rsid w:val="00C56E4C"/>
    <w:rsid w:val="00C5708D"/>
    <w:rsid w:val="00C57672"/>
    <w:rsid w:val="00C57D6A"/>
    <w:rsid w:val="00C6074C"/>
    <w:rsid w:val="00C64E59"/>
    <w:rsid w:val="00C66E00"/>
    <w:rsid w:val="00C715CF"/>
    <w:rsid w:val="00C770B8"/>
    <w:rsid w:val="00C80DF7"/>
    <w:rsid w:val="00C84A36"/>
    <w:rsid w:val="00C84B6B"/>
    <w:rsid w:val="00C851ED"/>
    <w:rsid w:val="00C85265"/>
    <w:rsid w:val="00C91172"/>
    <w:rsid w:val="00C9467B"/>
    <w:rsid w:val="00C955B1"/>
    <w:rsid w:val="00CA2AF5"/>
    <w:rsid w:val="00CA4545"/>
    <w:rsid w:val="00CA5753"/>
    <w:rsid w:val="00CA75CE"/>
    <w:rsid w:val="00CB083C"/>
    <w:rsid w:val="00CC05F0"/>
    <w:rsid w:val="00CC0DD1"/>
    <w:rsid w:val="00CC3353"/>
    <w:rsid w:val="00CC34C5"/>
    <w:rsid w:val="00CC35B2"/>
    <w:rsid w:val="00CC38A6"/>
    <w:rsid w:val="00CC571A"/>
    <w:rsid w:val="00CC5B2C"/>
    <w:rsid w:val="00CC5EBC"/>
    <w:rsid w:val="00CD0238"/>
    <w:rsid w:val="00CD1271"/>
    <w:rsid w:val="00CD4958"/>
    <w:rsid w:val="00CD578D"/>
    <w:rsid w:val="00CD759E"/>
    <w:rsid w:val="00CE1943"/>
    <w:rsid w:val="00CE1E46"/>
    <w:rsid w:val="00CE6299"/>
    <w:rsid w:val="00CE735D"/>
    <w:rsid w:val="00CF059D"/>
    <w:rsid w:val="00CF101A"/>
    <w:rsid w:val="00CF2DD2"/>
    <w:rsid w:val="00CF4CA9"/>
    <w:rsid w:val="00CF5E82"/>
    <w:rsid w:val="00CF6D4D"/>
    <w:rsid w:val="00CF7335"/>
    <w:rsid w:val="00CF7B3B"/>
    <w:rsid w:val="00D00C80"/>
    <w:rsid w:val="00D00F71"/>
    <w:rsid w:val="00D04C09"/>
    <w:rsid w:val="00D05739"/>
    <w:rsid w:val="00D05D0E"/>
    <w:rsid w:val="00D07CFC"/>
    <w:rsid w:val="00D13217"/>
    <w:rsid w:val="00D151C7"/>
    <w:rsid w:val="00D15431"/>
    <w:rsid w:val="00D15AC0"/>
    <w:rsid w:val="00D20428"/>
    <w:rsid w:val="00D2062E"/>
    <w:rsid w:val="00D20D7B"/>
    <w:rsid w:val="00D2109C"/>
    <w:rsid w:val="00D225BD"/>
    <w:rsid w:val="00D260C8"/>
    <w:rsid w:val="00D27BEE"/>
    <w:rsid w:val="00D35A8F"/>
    <w:rsid w:val="00D367CA"/>
    <w:rsid w:val="00D369F7"/>
    <w:rsid w:val="00D37B39"/>
    <w:rsid w:val="00D37E12"/>
    <w:rsid w:val="00D401AD"/>
    <w:rsid w:val="00D40332"/>
    <w:rsid w:val="00D419DF"/>
    <w:rsid w:val="00D42C5B"/>
    <w:rsid w:val="00D4637C"/>
    <w:rsid w:val="00D4719B"/>
    <w:rsid w:val="00D47655"/>
    <w:rsid w:val="00D5195A"/>
    <w:rsid w:val="00D5592C"/>
    <w:rsid w:val="00D55E65"/>
    <w:rsid w:val="00D5636C"/>
    <w:rsid w:val="00D601CE"/>
    <w:rsid w:val="00D64446"/>
    <w:rsid w:val="00D6629A"/>
    <w:rsid w:val="00D67375"/>
    <w:rsid w:val="00D675D1"/>
    <w:rsid w:val="00D71361"/>
    <w:rsid w:val="00D72CC3"/>
    <w:rsid w:val="00D732D0"/>
    <w:rsid w:val="00D75FC4"/>
    <w:rsid w:val="00D774F1"/>
    <w:rsid w:val="00D84050"/>
    <w:rsid w:val="00D855A5"/>
    <w:rsid w:val="00D86F8A"/>
    <w:rsid w:val="00D91703"/>
    <w:rsid w:val="00D91C2B"/>
    <w:rsid w:val="00D93021"/>
    <w:rsid w:val="00D95472"/>
    <w:rsid w:val="00DA358D"/>
    <w:rsid w:val="00DA3B39"/>
    <w:rsid w:val="00DA3B3A"/>
    <w:rsid w:val="00DA5994"/>
    <w:rsid w:val="00DB25B9"/>
    <w:rsid w:val="00DB4370"/>
    <w:rsid w:val="00DB5050"/>
    <w:rsid w:val="00DB64A5"/>
    <w:rsid w:val="00DB699F"/>
    <w:rsid w:val="00DC0514"/>
    <w:rsid w:val="00DC0CF0"/>
    <w:rsid w:val="00DC1B76"/>
    <w:rsid w:val="00DC1E86"/>
    <w:rsid w:val="00DC50A2"/>
    <w:rsid w:val="00DC6953"/>
    <w:rsid w:val="00DD496F"/>
    <w:rsid w:val="00DD4DB4"/>
    <w:rsid w:val="00DD51CA"/>
    <w:rsid w:val="00DD541F"/>
    <w:rsid w:val="00DD56D5"/>
    <w:rsid w:val="00DD5EE1"/>
    <w:rsid w:val="00DD6FE9"/>
    <w:rsid w:val="00DE06AA"/>
    <w:rsid w:val="00DE073C"/>
    <w:rsid w:val="00DE0BE1"/>
    <w:rsid w:val="00DE3362"/>
    <w:rsid w:val="00DE39BF"/>
    <w:rsid w:val="00DE493F"/>
    <w:rsid w:val="00DE6D06"/>
    <w:rsid w:val="00DE7008"/>
    <w:rsid w:val="00DF0344"/>
    <w:rsid w:val="00DF04CF"/>
    <w:rsid w:val="00DF1FD4"/>
    <w:rsid w:val="00DF346D"/>
    <w:rsid w:val="00DF37B8"/>
    <w:rsid w:val="00DF3C8B"/>
    <w:rsid w:val="00DF55C6"/>
    <w:rsid w:val="00DF6188"/>
    <w:rsid w:val="00DF716B"/>
    <w:rsid w:val="00DF7680"/>
    <w:rsid w:val="00DF7A3A"/>
    <w:rsid w:val="00E00B1D"/>
    <w:rsid w:val="00E00BE2"/>
    <w:rsid w:val="00E0104C"/>
    <w:rsid w:val="00E06E14"/>
    <w:rsid w:val="00E11081"/>
    <w:rsid w:val="00E110CC"/>
    <w:rsid w:val="00E139E4"/>
    <w:rsid w:val="00E17C08"/>
    <w:rsid w:val="00E2347E"/>
    <w:rsid w:val="00E23F09"/>
    <w:rsid w:val="00E240E3"/>
    <w:rsid w:val="00E27429"/>
    <w:rsid w:val="00E31E90"/>
    <w:rsid w:val="00E34348"/>
    <w:rsid w:val="00E3633F"/>
    <w:rsid w:val="00E40B97"/>
    <w:rsid w:val="00E42FF1"/>
    <w:rsid w:val="00E4596F"/>
    <w:rsid w:val="00E46C2C"/>
    <w:rsid w:val="00E46FBA"/>
    <w:rsid w:val="00E5075E"/>
    <w:rsid w:val="00E5196B"/>
    <w:rsid w:val="00E54F58"/>
    <w:rsid w:val="00E57692"/>
    <w:rsid w:val="00E57CB9"/>
    <w:rsid w:val="00E57F7A"/>
    <w:rsid w:val="00E60F15"/>
    <w:rsid w:val="00E610C9"/>
    <w:rsid w:val="00E61B09"/>
    <w:rsid w:val="00E6534B"/>
    <w:rsid w:val="00E66191"/>
    <w:rsid w:val="00E70E8E"/>
    <w:rsid w:val="00E71ABC"/>
    <w:rsid w:val="00E71CAC"/>
    <w:rsid w:val="00E72D32"/>
    <w:rsid w:val="00E76EF4"/>
    <w:rsid w:val="00E7742A"/>
    <w:rsid w:val="00E80952"/>
    <w:rsid w:val="00E810CF"/>
    <w:rsid w:val="00E852CD"/>
    <w:rsid w:val="00E85F11"/>
    <w:rsid w:val="00E86CC3"/>
    <w:rsid w:val="00E86FEC"/>
    <w:rsid w:val="00E91069"/>
    <w:rsid w:val="00E91482"/>
    <w:rsid w:val="00E920E2"/>
    <w:rsid w:val="00E927E2"/>
    <w:rsid w:val="00E9347F"/>
    <w:rsid w:val="00EA0493"/>
    <w:rsid w:val="00EA5B65"/>
    <w:rsid w:val="00EA68C1"/>
    <w:rsid w:val="00EB01F6"/>
    <w:rsid w:val="00EB278A"/>
    <w:rsid w:val="00EB645E"/>
    <w:rsid w:val="00EB6C43"/>
    <w:rsid w:val="00EC0EC1"/>
    <w:rsid w:val="00EC2FD9"/>
    <w:rsid w:val="00EC7D2B"/>
    <w:rsid w:val="00ED033F"/>
    <w:rsid w:val="00ED1017"/>
    <w:rsid w:val="00ED18AC"/>
    <w:rsid w:val="00ED2B94"/>
    <w:rsid w:val="00ED2D13"/>
    <w:rsid w:val="00ED323B"/>
    <w:rsid w:val="00ED4829"/>
    <w:rsid w:val="00ED542A"/>
    <w:rsid w:val="00ED68A0"/>
    <w:rsid w:val="00ED6C29"/>
    <w:rsid w:val="00EE0C32"/>
    <w:rsid w:val="00EE18A0"/>
    <w:rsid w:val="00EE1EA9"/>
    <w:rsid w:val="00EE24E5"/>
    <w:rsid w:val="00EE2E3A"/>
    <w:rsid w:val="00EE4122"/>
    <w:rsid w:val="00EE549F"/>
    <w:rsid w:val="00EE6E59"/>
    <w:rsid w:val="00EF0152"/>
    <w:rsid w:val="00EF0C5F"/>
    <w:rsid w:val="00EF126C"/>
    <w:rsid w:val="00EF1B4D"/>
    <w:rsid w:val="00EF6080"/>
    <w:rsid w:val="00EF654C"/>
    <w:rsid w:val="00EF6654"/>
    <w:rsid w:val="00EF697A"/>
    <w:rsid w:val="00F03949"/>
    <w:rsid w:val="00F039FE"/>
    <w:rsid w:val="00F043ED"/>
    <w:rsid w:val="00F05DED"/>
    <w:rsid w:val="00F07000"/>
    <w:rsid w:val="00F10FDB"/>
    <w:rsid w:val="00F111C6"/>
    <w:rsid w:val="00F1177B"/>
    <w:rsid w:val="00F1241C"/>
    <w:rsid w:val="00F12FD9"/>
    <w:rsid w:val="00F139A3"/>
    <w:rsid w:val="00F1545E"/>
    <w:rsid w:val="00F17AAC"/>
    <w:rsid w:val="00F309D2"/>
    <w:rsid w:val="00F31F30"/>
    <w:rsid w:val="00F32D30"/>
    <w:rsid w:val="00F32DFD"/>
    <w:rsid w:val="00F353E3"/>
    <w:rsid w:val="00F35872"/>
    <w:rsid w:val="00F36198"/>
    <w:rsid w:val="00F36816"/>
    <w:rsid w:val="00F37CB0"/>
    <w:rsid w:val="00F40699"/>
    <w:rsid w:val="00F432D5"/>
    <w:rsid w:val="00F43A00"/>
    <w:rsid w:val="00F43B38"/>
    <w:rsid w:val="00F46186"/>
    <w:rsid w:val="00F468A6"/>
    <w:rsid w:val="00F50D9E"/>
    <w:rsid w:val="00F51F84"/>
    <w:rsid w:val="00F52182"/>
    <w:rsid w:val="00F52ED4"/>
    <w:rsid w:val="00F53B55"/>
    <w:rsid w:val="00F55034"/>
    <w:rsid w:val="00F6270A"/>
    <w:rsid w:val="00F63A5C"/>
    <w:rsid w:val="00F64280"/>
    <w:rsid w:val="00F64862"/>
    <w:rsid w:val="00F668BC"/>
    <w:rsid w:val="00F669B7"/>
    <w:rsid w:val="00F70592"/>
    <w:rsid w:val="00F72BA4"/>
    <w:rsid w:val="00F74443"/>
    <w:rsid w:val="00F74797"/>
    <w:rsid w:val="00F74B07"/>
    <w:rsid w:val="00F74F33"/>
    <w:rsid w:val="00F7522C"/>
    <w:rsid w:val="00F762C9"/>
    <w:rsid w:val="00F76F05"/>
    <w:rsid w:val="00F770A3"/>
    <w:rsid w:val="00F8003B"/>
    <w:rsid w:val="00F804E6"/>
    <w:rsid w:val="00F80CD2"/>
    <w:rsid w:val="00F81914"/>
    <w:rsid w:val="00F83C89"/>
    <w:rsid w:val="00F844B0"/>
    <w:rsid w:val="00F84562"/>
    <w:rsid w:val="00F850B2"/>
    <w:rsid w:val="00F874C5"/>
    <w:rsid w:val="00F900E0"/>
    <w:rsid w:val="00F914B1"/>
    <w:rsid w:val="00F92C77"/>
    <w:rsid w:val="00F94EC7"/>
    <w:rsid w:val="00FA0AAC"/>
    <w:rsid w:val="00FA0CED"/>
    <w:rsid w:val="00FA0DF1"/>
    <w:rsid w:val="00FA1E0A"/>
    <w:rsid w:val="00FA382E"/>
    <w:rsid w:val="00FA5A00"/>
    <w:rsid w:val="00FA654A"/>
    <w:rsid w:val="00FB0B30"/>
    <w:rsid w:val="00FB0CA3"/>
    <w:rsid w:val="00FB13EB"/>
    <w:rsid w:val="00FB160E"/>
    <w:rsid w:val="00FB3304"/>
    <w:rsid w:val="00FB398C"/>
    <w:rsid w:val="00FB4E2E"/>
    <w:rsid w:val="00FB5178"/>
    <w:rsid w:val="00FB61A5"/>
    <w:rsid w:val="00FB6211"/>
    <w:rsid w:val="00FB6DCA"/>
    <w:rsid w:val="00FB6DD1"/>
    <w:rsid w:val="00FB7A52"/>
    <w:rsid w:val="00FC0445"/>
    <w:rsid w:val="00FC3411"/>
    <w:rsid w:val="00FC58DD"/>
    <w:rsid w:val="00FC6179"/>
    <w:rsid w:val="00FC72D0"/>
    <w:rsid w:val="00FD0B33"/>
    <w:rsid w:val="00FD44D5"/>
    <w:rsid w:val="00FD5514"/>
    <w:rsid w:val="00FE0F98"/>
    <w:rsid w:val="00FE24F8"/>
    <w:rsid w:val="00FE4A54"/>
    <w:rsid w:val="00FE6182"/>
    <w:rsid w:val="00FE659A"/>
    <w:rsid w:val="00FE68EF"/>
    <w:rsid w:val="00FE6BFB"/>
    <w:rsid w:val="00FE7BCF"/>
    <w:rsid w:val="00FF12F7"/>
    <w:rsid w:val="00FF2420"/>
    <w:rsid w:val="00FF25EE"/>
    <w:rsid w:val="00FF28C1"/>
    <w:rsid w:val="00FF2D5D"/>
    <w:rsid w:val="00FF3A19"/>
    <w:rsid w:val="00FF4A63"/>
    <w:rsid w:val="00FF52D8"/>
    <w:rsid w:val="00FF53E6"/>
    <w:rsid w:val="00FF78CB"/>
    <w:rsid w:val="35E50ABF"/>
    <w:rsid w:val="56D12C05"/>
    <w:rsid w:val="6B476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5F025EB"/>
  <w14:defaultImageDpi w14:val="32767"/>
  <w15:docId w15:val="{0E1EB048-1738-43BD-B0CA-7EAB19503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paragraph" w:styleId="1">
    <w:name w:val="heading 1"/>
    <w:basedOn w:val="a"/>
    <w:next w:val="a"/>
    <w:link w:val="10"/>
    <w:uiPriority w:val="9"/>
    <w:qFormat/>
    <w:pPr>
      <w:keepNext/>
      <w:keepLines/>
      <w:spacing w:before="340" w:after="330" w:line="578" w:lineRule="auto"/>
      <w:outlineLvl w:val="0"/>
    </w:pPr>
    <w:rPr>
      <w:rFonts w:eastAsia="Times New Roman"/>
      <w:b/>
      <w:bCs/>
      <w:kern w:val="44"/>
      <w:sz w:val="32"/>
      <w:szCs w:val="44"/>
    </w:rPr>
  </w:style>
  <w:style w:type="paragraph" w:styleId="2">
    <w:name w:val="heading 2"/>
    <w:basedOn w:val="a"/>
    <w:next w:val="a"/>
    <w:link w:val="20"/>
    <w:uiPriority w:val="9"/>
    <w:unhideWhenUsed/>
    <w:qFormat/>
    <w:pPr>
      <w:keepNext/>
      <w:keepLines/>
      <w:spacing w:line="360" w:lineRule="auto"/>
      <w:outlineLvl w:val="1"/>
    </w:pPr>
    <w:rPr>
      <w:rFonts w:eastAsia="Times New Roman" w:cstheme="majorBidi"/>
      <w:b/>
      <w:bCs/>
      <w:sz w:val="28"/>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24"/>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rPr>
      <w:rFonts w:ascii="Times New Roman" w:eastAsia="Times New Roman" w:hAnsi="Times New Roman"/>
      <w:sz w:val="24"/>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Subtitle"/>
    <w:basedOn w:val="a"/>
    <w:next w:val="a"/>
    <w:link w:val="aa"/>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b">
    <w:name w:val="Title"/>
    <w:basedOn w:val="a"/>
    <w:next w:val="a"/>
    <w:link w:val="ac"/>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d">
    <w:name w:val="annotation subject"/>
    <w:basedOn w:val="a3"/>
    <w:next w:val="a3"/>
    <w:link w:val="ae"/>
    <w:uiPriority w:val="99"/>
    <w:semiHidden/>
    <w:unhideWhenUsed/>
    <w:qFormat/>
    <w:rPr>
      <w:rFonts w:asciiTheme="minorHAnsi" w:eastAsiaTheme="minorEastAsia" w:hAnsiTheme="minorHAnsi"/>
      <w:b/>
      <w:bCs/>
      <w:sz w:val="21"/>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qFormat/>
    <w:rPr>
      <w:b/>
    </w:rPr>
  </w:style>
  <w:style w:type="character" w:styleId="af1">
    <w:name w:val="line number"/>
    <w:basedOn w:val="a0"/>
    <w:uiPriority w:val="99"/>
    <w:semiHidden/>
    <w:unhideWhenUsed/>
    <w:qFormat/>
  </w:style>
  <w:style w:type="character" w:styleId="af2">
    <w:name w:val="Hyperlink"/>
    <w:basedOn w:val="a0"/>
    <w:uiPriority w:val="99"/>
    <w:unhideWhenUsed/>
    <w:qFormat/>
    <w:rPr>
      <w:color w:val="0000FF"/>
      <w:u w:val="single"/>
    </w:rPr>
  </w:style>
  <w:style w:type="character" w:styleId="af3">
    <w:name w:val="annotation reference"/>
    <w:basedOn w:val="a0"/>
    <w:uiPriority w:val="99"/>
    <w:semiHidden/>
    <w:unhideWhenUsed/>
    <w:qFormat/>
    <w:rPr>
      <w:sz w:val="21"/>
      <w:szCs w:val="21"/>
    </w:rPr>
  </w:style>
  <w:style w:type="character" w:customStyle="1" w:styleId="20">
    <w:name w:val="标题 2 字符"/>
    <w:basedOn w:val="a0"/>
    <w:link w:val="2"/>
    <w:uiPriority w:val="9"/>
    <w:qFormat/>
    <w:rPr>
      <w:rFonts w:eastAsia="Times New Roman" w:cstheme="majorBidi"/>
      <w:b/>
      <w:bCs/>
      <w:sz w:val="28"/>
      <w:szCs w:val="32"/>
    </w:rPr>
  </w:style>
  <w:style w:type="character" w:customStyle="1" w:styleId="10">
    <w:name w:val="标题 1 字符"/>
    <w:basedOn w:val="a0"/>
    <w:link w:val="1"/>
    <w:uiPriority w:val="9"/>
    <w:qFormat/>
    <w:rPr>
      <w:rFonts w:eastAsia="Times New Roman"/>
      <w:b/>
      <w:bCs/>
      <w:kern w:val="44"/>
      <w:sz w:val="32"/>
      <w:szCs w:val="44"/>
    </w:rPr>
  </w:style>
  <w:style w:type="character" w:customStyle="1" w:styleId="30">
    <w:name w:val="标题 3 字符"/>
    <w:basedOn w:val="a0"/>
    <w:link w:val="3"/>
    <w:uiPriority w:val="9"/>
    <w:qFormat/>
    <w:rPr>
      <w:b/>
      <w:bCs/>
      <w:sz w:val="24"/>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c">
    <w:name w:val="标题 字符"/>
    <w:basedOn w:val="a0"/>
    <w:link w:val="ab"/>
    <w:uiPriority w:val="10"/>
    <w:qFormat/>
    <w:rPr>
      <w:rFonts w:asciiTheme="majorHAnsi" w:eastAsiaTheme="majorEastAsia" w:hAnsiTheme="majorHAnsi" w:cstheme="majorBidi"/>
      <w:spacing w:val="-10"/>
      <w:kern w:val="28"/>
      <w:sz w:val="56"/>
      <w:szCs w:val="56"/>
    </w:rPr>
  </w:style>
  <w:style w:type="character" w:customStyle="1" w:styleId="aa">
    <w:name w:val="副标题 字符"/>
    <w:basedOn w:val="a0"/>
    <w:link w:val="a9"/>
    <w:uiPriority w:val="11"/>
    <w:qFormat/>
    <w:rPr>
      <w:rFonts w:asciiTheme="majorHAnsi" w:eastAsiaTheme="majorEastAsia" w:hAnsiTheme="majorHAnsi" w:cstheme="majorBidi"/>
      <w:color w:val="595959" w:themeColor="text1" w:themeTint="A6"/>
      <w:spacing w:val="15"/>
      <w:sz w:val="28"/>
      <w:szCs w:val="28"/>
    </w:rPr>
  </w:style>
  <w:style w:type="paragraph" w:styleId="af4">
    <w:name w:val="Quote"/>
    <w:basedOn w:val="a"/>
    <w:next w:val="a"/>
    <w:link w:val="af5"/>
    <w:uiPriority w:val="29"/>
    <w:qFormat/>
    <w:pPr>
      <w:spacing w:before="160" w:after="160"/>
      <w:jc w:val="center"/>
    </w:pPr>
    <w:rPr>
      <w:i/>
      <w:iCs/>
      <w:color w:val="404040" w:themeColor="text1" w:themeTint="BF"/>
    </w:rPr>
  </w:style>
  <w:style w:type="character" w:customStyle="1" w:styleId="af5">
    <w:name w:val="引用 字符"/>
    <w:basedOn w:val="a0"/>
    <w:link w:val="af4"/>
    <w:uiPriority w:val="29"/>
    <w:qFormat/>
    <w:rPr>
      <w:i/>
      <w:iCs/>
      <w:color w:val="404040" w:themeColor="text1" w:themeTint="BF"/>
    </w:rPr>
  </w:style>
  <w:style w:type="paragraph" w:styleId="af6">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7">
    <w:name w:val="Intense Quote"/>
    <w:basedOn w:val="a"/>
    <w:next w:val="a"/>
    <w:link w:val="af8"/>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8">
    <w:name w:val="明显引用 字符"/>
    <w:basedOn w:val="a0"/>
    <w:link w:val="af7"/>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qFormat/>
    <w:rPr>
      <w:rFonts w:ascii="Times New Roman" w:eastAsia="Times New Roman" w:hAnsi="Times New Roman"/>
      <w:sz w:val="24"/>
    </w:rPr>
  </w:style>
  <w:style w:type="character" w:customStyle="1" w:styleId="ae">
    <w:name w:val="批注主题 字符"/>
    <w:basedOn w:val="a4"/>
    <w:link w:val="ad"/>
    <w:uiPriority w:val="99"/>
    <w:semiHidden/>
    <w:qFormat/>
    <w:rPr>
      <w:rFonts w:ascii="Times New Roman" w:eastAsia="Times New Roman" w:hAnsi="Times New Roman"/>
      <w:b/>
      <w:bCs/>
      <w:sz w:val="24"/>
    </w:rPr>
  </w:style>
  <w:style w:type="character" w:customStyle="1" w:styleId="13">
    <w:name w:val="未处理的提及1"/>
    <w:basedOn w:val="a0"/>
    <w:uiPriority w:val="99"/>
    <w:semiHidden/>
    <w:unhideWhenUsed/>
    <w:qFormat/>
    <w:rPr>
      <w:color w:val="605E5C"/>
      <w:shd w:val="clear" w:color="auto" w:fill="E1DFDD"/>
    </w:rPr>
  </w:style>
  <w:style w:type="paragraph" w:styleId="af9">
    <w:name w:val="Revision"/>
    <w:hidden/>
    <w:uiPriority w:val="99"/>
    <w:unhideWhenUsed/>
    <w:rsid w:val="000B1A7C"/>
    <w:rPr>
      <w:kern w:val="2"/>
      <w:sz w:val="21"/>
      <w:szCs w:val="22"/>
      <w14:ligatures w14:val="standardContextual"/>
    </w:rPr>
  </w:style>
  <w:style w:type="character" w:styleId="afa">
    <w:name w:val="Unresolved Mention"/>
    <w:basedOn w:val="a0"/>
    <w:uiPriority w:val="99"/>
    <w:semiHidden/>
    <w:unhideWhenUsed/>
    <w:rsid w:val="00AD76D8"/>
    <w:rPr>
      <w:color w:val="605E5C"/>
      <w:shd w:val="clear" w:color="auto" w:fill="E1DFDD"/>
    </w:rPr>
  </w:style>
  <w:style w:type="character" w:styleId="afb">
    <w:name w:val="FollowedHyperlink"/>
    <w:basedOn w:val="a0"/>
    <w:uiPriority w:val="99"/>
    <w:semiHidden/>
    <w:unhideWhenUsed/>
    <w:rsid w:val="00AD76D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fyang@gdut.edu.cn" TargetMode="External"/><Relationship Id="rId13" Type="http://schemas.openxmlformats.org/officeDocument/2006/relationships/image" Target="media/image3.jpeg"/><Relationship Id="rId18" Type="http://schemas.openxmlformats.org/officeDocument/2006/relationships/hyperlink" Target="https://doi.org/10.1016/j.soilbio.2024.10950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doi.org/10.1016/j.envint.2019.105211" TargetMode="External"/><Relationship Id="rId2" Type="http://schemas.openxmlformats.org/officeDocument/2006/relationships/customXml" Target="../customXml/item2.xml"/><Relationship Id="rId16" Type="http://schemas.openxmlformats.org/officeDocument/2006/relationships/hyperlink" Target="%20https:/doi.org/10.1016/j.soilbio.2024.109653" TargetMode="External"/><Relationship Id="rId20" Type="http://schemas.openxmlformats.org/officeDocument/2006/relationships/hyperlink" Target="%20https:/doi.org/10.1080/10934529.2017.14013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sciencedirect.com/topics/pharmacology-toxicology-and-pharmaceutical-science/triethanolamine" TargetMode="External"/><Relationship Id="rId19" Type="http://schemas.openxmlformats.org/officeDocument/2006/relationships/hyperlink" Target="https://doi.org/10.2136/sssaj1986.03615995005000030017x" TargetMode="External"/><Relationship Id="rId4" Type="http://schemas.openxmlformats.org/officeDocument/2006/relationships/settings" Target="settings.xml"/><Relationship Id="rId9" Type="http://schemas.openxmlformats.org/officeDocument/2006/relationships/hyperlink" Target="https://www.sciencedirect.com/topics/pharmacology-toxicology-and-pharmaceutical-science/pentetic-acid"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45714C-8D12-4311-9218-9E4FF312C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2264</Words>
  <Characters>12408</Characters>
  <Application>Microsoft Office Word</Application>
  <DocSecurity>0</DocSecurity>
  <Lines>335</Lines>
  <Paragraphs>195</Paragraphs>
  <ScaleCrop>false</ScaleCrop>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 Nie</dc:creator>
  <cp:lastModifiedBy>Hongyu Yu</cp:lastModifiedBy>
  <cp:revision>3</cp:revision>
  <dcterms:created xsi:type="dcterms:W3CDTF">2026-05-26T06:43:00Z</dcterms:created>
  <dcterms:modified xsi:type="dcterms:W3CDTF">2026-05-26T06:43:00Z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eyJoZGlkIjoiMDNjYjgzOTViYmJjNWJmOGU4YzQ2ZTVmYmY5ZWE4YzEiLCJ1c2VySWQiOiIxMDYwMzI2Mjk5In0=</vt:lpwstr>
  </property>
  <property fmtid="{D5CDD505-2E9C-101B-9397-08002B2CF9AE}" pid="3" name="KSOProductBuildVer">
    <vt:lpwstr>2052-12.1.0.26375</vt:lpwstr>
  </property>
  <property fmtid="{D5CDD505-2E9C-101B-9397-08002B2CF9AE}" pid="4" name="ICV">
    <vt:lpwstr>FFFCB44336394889A4C258102BFC13DC_12</vt:lpwstr>
  </property>
</Properties>
</file>