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5E11A3">
      <w:pPr>
        <w:pStyle w:val="15"/>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Supplementary Material</w:t>
      </w:r>
    </w:p>
    <w:p w14:paraId="21D762F9">
      <w:pPr>
        <w:spacing w:line="360" w:lineRule="auto"/>
        <w:jc w:val="center"/>
        <w:rPr>
          <w:rFonts w:ascii="Times New Roman" w:hAnsi="Times New Roman" w:cs="Times New Roman"/>
          <w:b/>
          <w:bCs/>
          <w:color w:val="000000" w:themeColor="text1"/>
          <w:sz w:val="32"/>
          <w14:textFill>
            <w14:solidFill>
              <w14:schemeClr w14:val="tx1"/>
            </w14:solidFill>
          </w14:textFill>
        </w:rPr>
      </w:pPr>
      <w:r>
        <w:rPr>
          <w:rFonts w:hint="eastAsia" w:ascii="Times New Roman" w:hAnsi="Times New Roman" w:cs="Times New Roman"/>
          <w:b/>
          <w:bCs/>
          <w:color w:val="000000" w:themeColor="text1"/>
          <w:sz w:val="32"/>
          <w14:textFill>
            <w14:solidFill>
              <w14:schemeClr w14:val="tx1"/>
            </w14:solidFill>
          </w14:textFill>
        </w:rPr>
        <w:t>S</w:t>
      </w:r>
      <w:r>
        <w:rPr>
          <w:rFonts w:ascii="Times New Roman" w:hAnsi="Times New Roman" w:cs="Times New Roman"/>
          <w:b/>
          <w:bCs/>
          <w:color w:val="000000" w:themeColor="text1"/>
          <w:sz w:val="32"/>
          <w14:textFill>
            <w14:solidFill>
              <w14:schemeClr w14:val="tx1"/>
            </w14:solidFill>
          </w14:textFill>
        </w:rPr>
        <w:t xml:space="preserve">ynergistic conversion of spent </w:t>
      </w:r>
      <w:r>
        <w:rPr>
          <w:rFonts w:hint="eastAsia" w:ascii="Times New Roman" w:hAnsi="Times New Roman" w:cs="Times New Roman"/>
          <w:b/>
          <w:bCs/>
          <w:color w:val="000000" w:themeColor="text1"/>
          <w:sz w:val="32"/>
          <w14:textFill>
            <w14:solidFill>
              <w14:schemeClr w14:val="tx1"/>
            </w14:solidFill>
          </w14:textFill>
        </w:rPr>
        <w:t>mobile phone</w:t>
      </w:r>
      <w:r>
        <w:rPr>
          <w:rFonts w:ascii="Times New Roman" w:hAnsi="Times New Roman" w:cs="Times New Roman"/>
          <w:b/>
          <w:bCs/>
          <w:color w:val="000000" w:themeColor="text1"/>
          <w:sz w:val="32"/>
          <w14:textFill>
            <w14:solidFill>
              <w14:schemeClr w14:val="tx1"/>
            </w14:solidFill>
          </w14:textFill>
        </w:rPr>
        <w:t xml:space="preserve"> batteries and </w:t>
      </w:r>
      <w:r>
        <w:rPr>
          <w:rFonts w:hint="eastAsia" w:ascii="Times New Roman" w:hAnsi="Times New Roman" w:cs="Times New Roman"/>
          <w:b/>
          <w:bCs/>
          <w:color w:val="000000" w:themeColor="text1"/>
          <w:sz w:val="32"/>
          <w14:textFill>
            <w14:solidFill>
              <w14:schemeClr w14:val="tx1"/>
            </w14:solidFill>
          </w14:textFill>
        </w:rPr>
        <w:t>industrial</w:t>
      </w:r>
      <w:r>
        <w:rPr>
          <w:rFonts w:ascii="Times New Roman" w:hAnsi="Times New Roman" w:cs="Times New Roman"/>
          <w:b/>
          <w:bCs/>
          <w:color w:val="000000" w:themeColor="text1"/>
          <w:sz w:val="32"/>
          <w14:textFill>
            <w14:solidFill>
              <w14:schemeClr w14:val="tx1"/>
            </w14:solidFill>
          </w14:textFill>
        </w:rPr>
        <w:t xml:space="preserve"> lignin </w:t>
      </w:r>
      <w:r>
        <w:rPr>
          <w:rFonts w:hint="eastAsia" w:ascii="Times New Roman" w:hAnsi="Times New Roman" w:cs="Times New Roman"/>
          <w:b/>
          <w:bCs/>
          <w:color w:val="000000" w:themeColor="text1"/>
          <w:sz w:val="32"/>
          <w14:textFill>
            <w14:solidFill>
              <w14:schemeClr w14:val="tx1"/>
            </w14:solidFill>
          </w14:textFill>
        </w:rPr>
        <w:t>into</w:t>
      </w:r>
      <w:r>
        <w:rPr>
          <w:rFonts w:ascii="Times New Roman" w:hAnsi="Times New Roman" w:cs="Times New Roman"/>
          <w:b/>
          <w:bCs/>
          <w:color w:val="000000" w:themeColor="text1"/>
          <w:sz w:val="32"/>
          <w14:textFill>
            <w14:solidFill>
              <w14:schemeClr w14:val="tx1"/>
            </w14:solidFill>
          </w14:textFill>
        </w:rPr>
        <w:t xml:space="preserve"> the NiCo</w:t>
      </w:r>
      <w:r>
        <w:rPr>
          <w:rFonts w:ascii="Times New Roman" w:hAnsi="Times New Roman" w:cs="Times New Roman"/>
          <w:b/>
          <w:bCs/>
          <w:color w:val="000000" w:themeColor="text1"/>
          <w:sz w:val="32"/>
          <w:vertAlign w:val="subscript"/>
          <w14:textFill>
            <w14:solidFill>
              <w14:schemeClr w14:val="tx1"/>
            </w14:solidFill>
          </w14:textFill>
        </w:rPr>
        <w:t>2</w:t>
      </w:r>
      <w:r>
        <w:rPr>
          <w:rFonts w:ascii="Times New Roman" w:hAnsi="Times New Roman" w:cs="Times New Roman"/>
          <w:b/>
          <w:bCs/>
          <w:color w:val="000000" w:themeColor="text1"/>
          <w:sz w:val="32"/>
          <w14:textFill>
            <w14:solidFill>
              <w14:schemeClr w14:val="tx1"/>
            </w14:solidFill>
          </w14:textFill>
        </w:rPr>
        <w:t>S</w:t>
      </w:r>
      <w:r>
        <w:rPr>
          <w:rFonts w:ascii="Times New Roman" w:hAnsi="Times New Roman" w:cs="Times New Roman"/>
          <w:b/>
          <w:bCs/>
          <w:color w:val="000000" w:themeColor="text1"/>
          <w:sz w:val="32"/>
          <w:vertAlign w:val="subscript"/>
          <w14:textFill>
            <w14:solidFill>
              <w14:schemeClr w14:val="tx1"/>
            </w14:solidFill>
          </w14:textFill>
        </w:rPr>
        <w:t>4</w:t>
      </w:r>
      <w:r>
        <w:rPr>
          <w:rFonts w:ascii="Times New Roman" w:hAnsi="Times New Roman" w:cs="Times New Roman"/>
          <w:b/>
          <w:bCs/>
          <w:color w:val="000000" w:themeColor="text1"/>
          <w:sz w:val="32"/>
          <w14:textFill>
            <w14:solidFill>
              <w14:schemeClr w14:val="tx1"/>
            </w14:solidFill>
          </w14:textFill>
        </w:rPr>
        <w:t>/Co</w:t>
      </w:r>
      <w:r>
        <w:rPr>
          <w:rFonts w:ascii="Times New Roman" w:hAnsi="Times New Roman" w:cs="Times New Roman"/>
          <w:b/>
          <w:bCs/>
          <w:color w:val="000000" w:themeColor="text1"/>
          <w:sz w:val="32"/>
          <w:vertAlign w:val="subscript"/>
          <w14:textFill>
            <w14:solidFill>
              <w14:schemeClr w14:val="tx1"/>
            </w14:solidFill>
          </w14:textFill>
        </w:rPr>
        <w:t>9</w:t>
      </w:r>
      <w:r>
        <w:rPr>
          <w:rFonts w:ascii="Times New Roman" w:hAnsi="Times New Roman" w:cs="Times New Roman"/>
          <w:b/>
          <w:bCs/>
          <w:color w:val="000000" w:themeColor="text1"/>
          <w:sz w:val="32"/>
          <w14:textFill>
            <w14:solidFill>
              <w14:schemeClr w14:val="tx1"/>
            </w14:solidFill>
          </w14:textFill>
        </w:rPr>
        <w:t>S</w:t>
      </w:r>
      <w:r>
        <w:rPr>
          <w:rFonts w:ascii="Times New Roman" w:hAnsi="Times New Roman" w:cs="Times New Roman"/>
          <w:b/>
          <w:bCs/>
          <w:color w:val="000000" w:themeColor="text1"/>
          <w:sz w:val="32"/>
          <w:vertAlign w:val="subscript"/>
          <w14:textFill>
            <w14:solidFill>
              <w14:schemeClr w14:val="tx1"/>
            </w14:solidFill>
          </w14:textFill>
        </w:rPr>
        <w:t>8</w:t>
      </w:r>
      <w:r>
        <w:rPr>
          <w:rFonts w:ascii="Times New Roman" w:hAnsi="Times New Roman" w:cs="Times New Roman"/>
          <w:b/>
          <w:bCs/>
          <w:color w:val="000000" w:themeColor="text1"/>
          <w:sz w:val="32"/>
          <w14:textFill>
            <w14:solidFill>
              <w14:schemeClr w14:val="tx1"/>
            </w14:solidFill>
          </w14:textFill>
        </w:rPr>
        <w:t xml:space="preserve">@LC </w:t>
      </w:r>
      <w:r>
        <w:rPr>
          <w:rFonts w:hint="eastAsia" w:ascii="Times New Roman" w:hAnsi="Times New Roman" w:cs="Times New Roman"/>
          <w:b/>
          <w:bCs/>
          <w:color w:val="000000" w:themeColor="text1"/>
          <w:sz w:val="32"/>
          <w14:textFill>
            <w14:solidFill>
              <w14:schemeClr w14:val="tx1"/>
            </w14:solidFill>
          </w14:textFill>
        </w:rPr>
        <w:t>composite with enhanced</w:t>
      </w:r>
      <w:r>
        <w:rPr>
          <w:rFonts w:ascii="Times New Roman" w:hAnsi="Times New Roman" w:cs="Times New Roman"/>
          <w:b/>
          <w:bCs/>
          <w:color w:val="000000" w:themeColor="text1"/>
          <w:sz w:val="32"/>
          <w14:textFill>
            <w14:solidFill>
              <w14:schemeClr w14:val="tx1"/>
            </w14:solidFill>
          </w14:textFill>
        </w:rPr>
        <w:t xml:space="preserve"> sodium storage p</w:t>
      </w:r>
      <w:r>
        <w:rPr>
          <w:rFonts w:hint="eastAsia" w:ascii="Times New Roman" w:hAnsi="Times New Roman" w:cs="Times New Roman"/>
          <w:b/>
          <w:bCs/>
          <w:color w:val="000000" w:themeColor="text1"/>
          <w:sz w:val="32"/>
          <w14:textFill>
            <w14:solidFill>
              <w14:schemeClr w14:val="tx1"/>
            </w14:solidFill>
          </w14:textFill>
        </w:rPr>
        <w:t>erformance</w:t>
      </w:r>
    </w:p>
    <w:p w14:paraId="5EFCAC3E">
      <w:pPr>
        <w:jc w:val="cente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Changwei Dun</w:t>
      </w:r>
      <w:r>
        <w:rPr>
          <w:rFonts w:hint="eastAsia" w:ascii="Times New Roman" w:hAnsi="Times New Roman" w:cs="Times New Roman"/>
          <w:color w:val="000000" w:themeColor="text1"/>
          <w:sz w:val="24"/>
          <w:vertAlign w:val="superscript"/>
          <w14:textFill>
            <w14:solidFill>
              <w14:schemeClr w14:val="tx1"/>
            </w14:solidFill>
          </w14:textFill>
        </w:rPr>
        <w:t xml:space="preserve">a, </w:t>
      </w:r>
      <w:r>
        <w:rPr>
          <w:rFonts w:ascii="Times New Roman" w:hAnsi="Times New Roman" w:cs="Times New Roman"/>
          <w:color w:val="000000" w:themeColor="text1"/>
          <w:sz w:val="24"/>
          <w:vertAlign w:val="superscript"/>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Yizhao Zhao</w:t>
      </w:r>
      <w:r>
        <w:rPr>
          <w:rFonts w:hint="eastAsia" w:ascii="Times New Roman" w:hAnsi="Times New Roman" w:cs="Times New Roman"/>
          <w:color w:val="000000" w:themeColor="text1"/>
          <w:sz w:val="24"/>
          <w:vertAlign w:val="superscript"/>
          <w14:textFill>
            <w14:solidFill>
              <w14:schemeClr w14:val="tx1"/>
            </w14:solidFill>
          </w14:textFill>
        </w:rPr>
        <w:t xml:space="preserve">b, </w:t>
      </w:r>
      <w:r>
        <w:rPr>
          <w:rFonts w:ascii="Times New Roman" w:hAnsi="Times New Roman" w:cs="Times New Roman"/>
          <w:color w:val="000000" w:themeColor="text1"/>
          <w:sz w:val="24"/>
          <w:vertAlign w:val="superscript"/>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14:textFill>
            <w14:solidFill>
              <w14:schemeClr w14:val="tx1"/>
            </w14:solidFill>
          </w14:textFill>
        </w:rPr>
        <w:t>Pengpeng Zhang</w:t>
      </w:r>
      <w:r>
        <w:rPr>
          <w:rFonts w:hint="eastAsia" w:ascii="Times New Roman" w:hAnsi="Times New Roman" w:cs="Times New Roman"/>
          <w:color w:val="000000" w:themeColor="text1"/>
          <w:sz w:val="24"/>
          <w:vertAlign w:val="superscript"/>
          <w14:textFill>
            <w14:solidFill>
              <w14:schemeClr w14:val="tx1"/>
            </w14:solidFill>
          </w14:textFill>
        </w:rPr>
        <w:t>a</w:t>
      </w:r>
      <w:r>
        <w:rPr>
          <w:rFonts w:hint="eastAsia" w:ascii="Times New Roman" w:hAnsi="Times New Roman" w:cs="Times New Roman"/>
          <w:color w:val="000000" w:themeColor="text1"/>
          <w:sz w:val="24"/>
          <w14:textFill>
            <w14:solidFill>
              <w14:schemeClr w14:val="tx1"/>
            </w14:solidFill>
          </w14:textFill>
        </w:rPr>
        <w:t>, Hua Lv</w:t>
      </w:r>
      <w:r>
        <w:rPr>
          <w:rFonts w:hint="eastAsia" w:ascii="Times New Roman" w:hAnsi="Times New Roman" w:cs="Times New Roman"/>
          <w:color w:val="000000" w:themeColor="text1"/>
          <w:sz w:val="24"/>
          <w:vertAlign w:val="superscript"/>
          <w14:textFill>
            <w14:solidFill>
              <w14:schemeClr w14:val="tx1"/>
            </w14:solidFill>
          </w14:textFill>
        </w:rPr>
        <w:t>a</w:t>
      </w:r>
      <w:r>
        <w:rPr>
          <w:rFonts w:hint="eastAsia" w:ascii="Times New Roman" w:hAnsi="Times New Roman" w:cs="Times New Roman"/>
          <w:color w:val="000000" w:themeColor="text1"/>
          <w:sz w:val="24"/>
          <w14:textFill>
            <w14:solidFill>
              <w14:schemeClr w14:val="tx1"/>
            </w14:solidFill>
          </w14:textFill>
        </w:rPr>
        <w:t>, Yumin Liu</w:t>
      </w:r>
      <w:r>
        <w:rPr>
          <w:rFonts w:hint="eastAsia" w:ascii="Times New Roman" w:hAnsi="Times New Roman" w:cs="Times New Roman"/>
          <w:color w:val="000000" w:themeColor="text1"/>
          <w:sz w:val="24"/>
          <w:vertAlign w:val="superscript"/>
          <w14:textFill>
            <w14:solidFill>
              <w14:schemeClr w14:val="tx1"/>
            </w14:solidFill>
          </w14:textFill>
        </w:rPr>
        <w:t>a</w:t>
      </w:r>
      <w:r>
        <w:rPr>
          <w:rFonts w:hint="eastAsia" w:ascii="Times New Roman" w:hAnsi="Times New Roman" w:cs="Times New Roman"/>
          <w:color w:val="000000" w:themeColor="text1"/>
          <w:sz w:val="24"/>
          <w14:textFill>
            <w14:solidFill>
              <w14:schemeClr w14:val="tx1"/>
            </w14:solidFill>
          </w14:textFill>
        </w:rPr>
        <w:t>, Yuebin Xi</w:t>
      </w:r>
      <w:r>
        <w:rPr>
          <w:rFonts w:hint="eastAsia" w:ascii="Times New Roman" w:hAnsi="Times New Roman" w:cs="Times New Roman"/>
          <w:color w:val="000000" w:themeColor="text1"/>
          <w:sz w:val="24"/>
          <w:vertAlign w:val="superscript"/>
          <w14:textFill>
            <w14:solidFill>
              <w14:schemeClr w14:val="tx1"/>
            </w14:solidFill>
          </w14:textFill>
        </w:rPr>
        <w:t xml:space="preserve">b, </w:t>
      </w:r>
      <w:r>
        <w:rPr>
          <w:rStyle w:val="9"/>
          <w:rFonts w:hint="eastAsia" w:ascii="Times New Roman" w:hAnsi="Times New Roman" w:cs="Times New Roman"/>
          <w:color w:val="000000" w:themeColor="text1"/>
          <w:sz w:val="24"/>
          <w14:textFill>
            <w14:solidFill>
              <w14:schemeClr w14:val="tx1"/>
            </w14:solidFill>
          </w14:textFill>
        </w:rPr>
        <w:footnoteReference w:id="0" w:customMarkFollows="1"/>
        <w:t>*</w:t>
      </w:r>
      <w:r>
        <w:rPr>
          <w:rFonts w:hint="eastAsia" w:ascii="Times New Roman" w:hAnsi="Times New Roman" w:cs="Times New Roman"/>
          <w:color w:val="000000" w:themeColor="text1"/>
          <w:sz w:val="24"/>
          <w14:textFill>
            <w14:solidFill>
              <w14:schemeClr w14:val="tx1"/>
            </w14:solidFill>
          </w14:textFill>
        </w:rPr>
        <w:t>, Xijun Zhang</w:t>
      </w:r>
      <w:r>
        <w:rPr>
          <w:rFonts w:hint="eastAsia" w:ascii="Times New Roman" w:hAnsi="Times New Roman" w:cs="Times New Roman"/>
          <w:color w:val="000000" w:themeColor="text1"/>
          <w:sz w:val="24"/>
          <w:vertAlign w:val="superscript"/>
          <w14:textFill>
            <w14:solidFill>
              <w14:schemeClr w14:val="tx1"/>
            </w14:solidFill>
          </w14:textFill>
        </w:rPr>
        <w:t>a</w:t>
      </w:r>
      <w:r>
        <w:rPr>
          <w:rFonts w:hint="eastAsia" w:ascii="Times New Roman" w:hAnsi="Times New Roman" w:cs="Times New Roman"/>
          <w:color w:val="000000" w:themeColor="text1"/>
          <w:sz w:val="24"/>
          <w14:textFill>
            <w14:solidFill>
              <w14:schemeClr w14:val="tx1"/>
            </w14:solidFill>
          </w14:textFill>
        </w:rPr>
        <w:t>, Rui Liang</w:t>
      </w:r>
      <w:r>
        <w:rPr>
          <w:rFonts w:hint="eastAsia" w:ascii="Times New Roman" w:hAnsi="Times New Roman" w:cs="Times New Roman"/>
          <w:color w:val="000000" w:themeColor="text1"/>
          <w:sz w:val="24"/>
          <w:vertAlign w:val="superscript"/>
          <w14:textFill>
            <w14:solidFill>
              <w14:schemeClr w14:val="tx1"/>
            </w14:solidFill>
          </w14:textFill>
        </w:rPr>
        <w:t xml:space="preserve">a, </w:t>
      </w:r>
      <w:r>
        <w:rPr>
          <w:rStyle w:val="9"/>
          <w:rFonts w:hint="eastAsia" w:ascii="Times New Roman" w:hAnsi="Times New Roman" w:cs="Times New Roman"/>
          <w:color w:val="000000" w:themeColor="text1"/>
          <w:sz w:val="24"/>
          <w14:textFill>
            <w14:solidFill>
              <w14:schemeClr w14:val="tx1"/>
            </w14:solidFill>
          </w14:textFill>
        </w:rPr>
        <w:footnoteReference w:id="1" w:customMarkFollows="1"/>
        <w:t>*</w:t>
      </w:r>
    </w:p>
    <w:p w14:paraId="1E68B2CC">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vertAlign w:val="superscript"/>
          <w14:textFill>
            <w14:solidFill>
              <w14:schemeClr w14:val="tx1"/>
            </w14:solidFill>
          </w14:textFill>
        </w:rPr>
        <w:t>a</w:t>
      </w:r>
      <w:r>
        <w:rPr>
          <w:rFonts w:ascii="Times New Roman" w:hAnsi="Times New Roman" w:cs="Times New Roman"/>
          <w:color w:val="000000" w:themeColor="text1"/>
          <w:sz w:val="24"/>
          <w:vertAlign w:val="superscript"/>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Henan Key Laboratory of Green Chemistry, Collaborative Innovation Center of Henan Province for Green Manufacturing of Fine Chemicals, Key Laboratory of Green Chemical Media and Reactions, Ministry of Education, School of Chemistry and Chemical Engineering, Henan Normal University, Xinxiang, Henan 453007, PR China</w:t>
      </w:r>
    </w:p>
    <w:p w14:paraId="31A001A5">
      <w:pP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vertAlign w:val="superscript"/>
          <w14:textFill>
            <w14:solidFill>
              <w14:schemeClr w14:val="tx1"/>
            </w14:solidFill>
          </w14:textFill>
        </w:rPr>
        <w:t>b</w:t>
      </w:r>
      <w:r>
        <w:rPr>
          <w:rFonts w:ascii="Times New Roman" w:hAnsi="Times New Roman" w:cs="Times New Roman"/>
          <w:color w:val="000000" w:themeColor="text1"/>
          <w:sz w:val="24"/>
          <w:vertAlign w:val="superscript"/>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 xml:space="preserve">Department of Light Industry, State Key Laboratory of Green Papermaking and Resource Recycling, Qilu University of Technology (Shandong Academy of Sciences), Jinan 250353, </w:t>
      </w:r>
      <w:r>
        <w:rPr>
          <w:rFonts w:hint="eastAsia" w:ascii="Times New Roman" w:hAnsi="Times New Roman" w:cs="Times New Roman"/>
          <w:color w:val="000000" w:themeColor="text1"/>
          <w:sz w:val="24"/>
          <w14:textFill>
            <w14:solidFill>
              <w14:schemeClr w14:val="tx1"/>
            </w14:solidFill>
          </w14:textFill>
        </w:rPr>
        <w:t>China</w:t>
      </w:r>
    </w:p>
    <w:p w14:paraId="626BDFFF">
      <w:pPr>
        <w:pStyle w:val="5"/>
        <w:rPr>
          <w:rFonts w:ascii="Times New Roman" w:hAnsi="Times New Roman" w:cs="Times New Roman"/>
          <w:color w:val="000000" w:themeColor="text1"/>
          <w:sz w:val="24"/>
          <w:szCs w:val="24"/>
          <w14:textFill>
            <w14:solidFill>
              <w14:schemeClr w14:val="tx1"/>
            </w14:solidFill>
          </w14:textFill>
        </w:rPr>
      </w:pPr>
    </w:p>
    <w:p w14:paraId="5F7D174C">
      <w:pPr>
        <w:pStyle w:val="5"/>
        <w:rPr>
          <w:rFonts w:ascii="Times New Roman" w:hAnsi="Times New Roman" w:cs="Times New Roman"/>
          <w:color w:val="000000" w:themeColor="text1"/>
          <w:sz w:val="24"/>
          <w:szCs w:val="24"/>
          <w14:textFill>
            <w14:solidFill>
              <w14:schemeClr w14:val="tx1"/>
            </w14:solidFill>
          </w14:textFill>
        </w:rPr>
      </w:pPr>
      <w:r>
        <w:rPr>
          <w:rStyle w:val="9"/>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Corresponding authors.</w:t>
      </w:r>
    </w:p>
    <w:p w14:paraId="5CF39A65">
      <w:pPr>
        <w:pStyle w:val="5"/>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Email addresses: </w:t>
      </w:r>
      <w:r>
        <w:fldChar w:fldCharType="begin"/>
      </w:r>
      <w:r>
        <w:instrText xml:space="preserve"> HYPERLINK "mailto:qlgdxyb@qlu.edu.cn" </w:instrText>
      </w:r>
      <w:r>
        <w:fldChar w:fldCharType="separate"/>
      </w:r>
      <w:r>
        <w:rPr>
          <w:rStyle w:val="8"/>
          <w:rFonts w:ascii="Times New Roman" w:hAnsi="Times New Roman" w:cs="Times New Roman"/>
          <w:color w:val="000000" w:themeColor="text1"/>
          <w:sz w:val="24"/>
          <w:szCs w:val="24"/>
          <w14:textFill>
            <w14:solidFill>
              <w14:schemeClr w14:val="tx1"/>
            </w14:solidFill>
          </w14:textFill>
        </w:rPr>
        <w:t>qlgdxyb@qlu.edu.cn</w:t>
      </w:r>
      <w:r>
        <w:rPr>
          <w:rStyle w:val="8"/>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(Y. Xi), </w:t>
      </w:r>
      <w:r>
        <w:fldChar w:fldCharType="begin"/>
      </w:r>
      <w:r>
        <w:instrText xml:space="preserve"> HYPERLINK "mailto:031142@htu.edu.cn" </w:instrText>
      </w:r>
      <w:r>
        <w:fldChar w:fldCharType="separate"/>
      </w:r>
      <w:r>
        <w:rPr>
          <w:rStyle w:val="8"/>
          <w:rFonts w:ascii="Times New Roman" w:hAnsi="Times New Roman" w:cs="Times New Roman"/>
          <w:color w:val="000000" w:themeColor="text1"/>
          <w:sz w:val="24"/>
          <w:szCs w:val="24"/>
          <w14:textFill>
            <w14:solidFill>
              <w14:schemeClr w14:val="tx1"/>
            </w14:solidFill>
          </w14:textFill>
        </w:rPr>
        <w:t>031142@htu.edu.cn</w:t>
      </w:r>
      <w:r>
        <w:rPr>
          <w:rStyle w:val="8"/>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(R. Liang).</w:t>
      </w:r>
    </w:p>
    <w:p w14:paraId="08770217">
      <w:pPr>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 E</w:t>
      </w:r>
      <w:r>
        <w:rPr>
          <w:rFonts w:ascii="Times New Roman" w:hAnsi="Times New Roman" w:cs="Times New Roman"/>
          <w:color w:val="000000" w:themeColor="text1"/>
          <w:sz w:val="24"/>
          <w:szCs w:val="24"/>
          <w14:textFill>
            <w14:solidFill>
              <w14:schemeClr w14:val="tx1"/>
            </w14:solidFill>
          </w14:textFill>
        </w:rPr>
        <w:t>qually contributed to this work</w:t>
      </w:r>
    </w:p>
    <w:p w14:paraId="5897E753">
      <w:pPr>
        <w:spacing w:line="480" w:lineRule="auto"/>
        <w:rPr>
          <w:rFonts w:ascii="Times New Roman" w:hAnsi="Times New Roman" w:cs="Times New Roman"/>
          <w:b/>
          <w:bCs/>
          <w:color w:val="000000" w:themeColor="text1"/>
          <w:sz w:val="24"/>
          <w:szCs w:val="24"/>
          <w14:textFill>
            <w14:solidFill>
              <w14:schemeClr w14:val="tx1"/>
            </w14:solidFill>
          </w14:textFill>
        </w:rPr>
        <w:sectPr>
          <w:pgSz w:w="11906" w:h="16838"/>
          <w:pgMar w:top="720" w:right="720" w:bottom="720" w:left="720" w:header="851" w:footer="992" w:gutter="0"/>
          <w:cols w:space="425" w:num="1"/>
          <w:docGrid w:type="lines" w:linePitch="312" w:charSpace="0"/>
        </w:sectPr>
      </w:pPr>
    </w:p>
    <w:p w14:paraId="5692331E">
      <w:pPr>
        <w:spacing w:line="360" w:lineRule="auto"/>
        <w:rPr>
          <w:rFonts w:ascii="Times New Roman" w:hAnsi="Times New Roman" w:cs="Times New Roman"/>
          <w:color w:val="000000" w:themeColor="text1"/>
          <w:szCs w:val="21"/>
          <w14:textFill>
            <w14:solidFill>
              <w14:schemeClr w14:val="tx1"/>
            </w14:solidFill>
          </w14:textFill>
        </w:rPr>
      </w:pPr>
    </w:p>
    <w:p w14:paraId="41BFE92E">
      <w:pPr>
        <w:spacing w:line="480" w:lineRule="auto"/>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Characterization of materials</w:t>
      </w:r>
    </w:p>
    <w:p w14:paraId="7A615709">
      <w:pPr>
        <w:spacing w:line="48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The crystal structure of the synthesized samples was characterized using X-ray powder diffraction (XRD), with data collected over a scattering angle (2</w:t>
      </w:r>
      <w:r>
        <w:rPr>
          <w:rFonts w:ascii="Times New Roman" w:hAnsi="Times New Roman" w:cs="Times New Roman"/>
          <w:color w:val="000000" w:themeColor="text1"/>
          <w14:textFill>
            <w14:solidFill>
              <w14:schemeClr w14:val="tx1"/>
            </w14:solidFill>
          </w14:textFill>
        </w:rPr>
        <w:t>θ</w:t>
      </w:r>
      <w:r>
        <w:rPr>
          <w:rFonts w:hint="eastAsia" w:ascii="Times New Roman" w:hAnsi="Times New Roman" w:cs="Times New Roman"/>
          <w:color w:val="000000" w:themeColor="text1"/>
          <w14:textFill>
            <w14:solidFill>
              <w14:schemeClr w14:val="tx1"/>
            </w14:solidFill>
          </w14:textFill>
        </w:rPr>
        <w:t>) range of 10</w:t>
      </w:r>
      <w:r>
        <w:rPr>
          <w:rFonts w:ascii="Times New Roman" w:hAnsi="Times New Roman" w:eastAsia="Segoe UI" w:cs="Times New Roman"/>
          <w:color w:val="0F1115"/>
          <w:sz w:val="18"/>
          <w:szCs w:val="18"/>
          <w:shd w:val="clear" w:color="auto" w:fill="FFFFFF"/>
        </w:rPr>
        <w:t>–</w:t>
      </w:r>
      <w:r>
        <w:rPr>
          <w:rFonts w:hint="eastAsia" w:ascii="Times New Roman" w:hAnsi="Times New Roman" w:cs="Times New Roman"/>
          <w:color w:val="000000" w:themeColor="text1"/>
          <w14:textFill>
            <w14:solidFill>
              <w14:schemeClr w14:val="tx1"/>
            </w14:solidFill>
          </w14:textFill>
        </w:rPr>
        <w:t>80</w:t>
      </w:r>
      <w:r>
        <w:rPr>
          <w:rFonts w:hint="eastAsia" w:ascii="Times New Roman" w:hAnsi="Times New Roman" w:cs="Times New Roman"/>
          <w:color w:val="000000" w:themeColor="text1"/>
          <w:vertAlign w:val="superscript"/>
          <w14:textFill>
            <w14:solidFill>
              <w14:schemeClr w14:val="tx1"/>
            </w14:solidFill>
          </w14:textFill>
        </w:rPr>
        <w:t>o</w:t>
      </w:r>
      <w:r>
        <w:rPr>
          <w:rFonts w:hint="eastAsia" w:ascii="Times New Roman" w:hAnsi="Times New Roman" w:cs="Times New Roman"/>
          <w:color w:val="000000" w:themeColor="text1"/>
          <w14:textFill>
            <w14:solidFill>
              <w14:schemeClr w14:val="tx1"/>
            </w14:solidFill>
          </w14:textFill>
        </w:rPr>
        <w:t>. The morphology of the NiCo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vertAlign w:val="subscript"/>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 xml:space="preserve"> and NiCo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vertAlign w:val="subscript"/>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/Co</w:t>
      </w:r>
      <w:r>
        <w:rPr>
          <w:rFonts w:hint="eastAsia" w:ascii="Times New Roman" w:hAnsi="Times New Roman" w:cs="Times New Roman"/>
          <w:color w:val="000000" w:themeColor="text1"/>
          <w:vertAlign w:val="subscript"/>
          <w14:textFill>
            <w14:solidFill>
              <w14:schemeClr w14:val="tx1"/>
            </w14:solidFill>
          </w14:textFill>
        </w:rPr>
        <w:t>9</w:t>
      </w:r>
      <w:r>
        <w:rPr>
          <w:rFonts w:hint="eastAsia" w:ascii="Times New Roman" w:hAnsi="Times New Roman" w:cs="Times New Roman"/>
          <w:color w:val="000000" w:themeColor="text1"/>
          <w14:textFill>
            <w14:solidFill>
              <w14:schemeClr w14:val="tx1"/>
            </w14:solidFill>
          </w14:textFill>
        </w:rPr>
        <w:t>S</w:t>
      </w:r>
      <w:r>
        <w:rPr>
          <w:rFonts w:hint="eastAsia" w:ascii="Times New Roman" w:hAnsi="Times New Roman" w:cs="Times New Roman"/>
          <w:color w:val="000000" w:themeColor="text1"/>
          <w:vertAlign w:val="subscript"/>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t>@LC was analyzed via field emission scanning electron microscopy (FESEM) and high-resolution transmission electron microscopy (HRTEM). Raman spectroscopy was employed to confirm the presence of carbon in the synthesized materials at an excitation wavelength of 532 nm. X-ray photoelectron spectroscopy (XPS) was utilized to characterize the chemical states of elements within the obtained samples. Nitrogen adsorption-desorption isotherms at 77K were acquired using an automatic microporous physical and chemical adsorption instrument, from which information regarding the Brunauer-Emmett-Teller (BET) specific surface area and Barrett-Joyner-Halenda (BJH) pore size distribution for the samples was derived.</w:t>
      </w:r>
    </w:p>
    <w:p w14:paraId="0354DF7F">
      <w:pPr>
        <w:spacing w:line="480" w:lineRule="auto"/>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Electrochemical measurements</w:t>
      </w:r>
    </w:p>
    <w:p w14:paraId="6A0EBBEA">
      <w:pPr>
        <w:spacing w:line="48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For the fabrication of the working electrode, the obtained samples were combined with acetylene black and polyvinylidene fluoride in a weight ratio of 8:1:1, followed by the addition of N-methyl-2-pyrrolidone to create a homogeneous slurry. This slurry was then coated onto copper foil using a film coater and dried overnight at 80 </w:t>
      </w:r>
      <w:r>
        <w:rPr>
          <w:rFonts w:hint="eastAsia" w:ascii="Times New Roman" w:hAnsi="Times New Roman" w:cs="Times New Roman"/>
          <w:color w:val="000000" w:themeColor="text1"/>
          <w:vertAlign w:val="superscript"/>
          <w14:textFill>
            <w14:solidFill>
              <w14:schemeClr w14:val="tx1"/>
            </w14:solidFill>
          </w14:textFill>
        </w:rPr>
        <w:t>o</w:t>
      </w:r>
      <w:r>
        <w:rPr>
          <w:rFonts w:hint="eastAsia" w:ascii="Times New Roman" w:hAnsi="Times New Roman" w:cs="Times New Roman"/>
          <w:color w:val="000000" w:themeColor="text1"/>
          <w14:textFill>
            <w14:solidFill>
              <w14:schemeClr w14:val="tx1"/>
            </w14:solidFill>
          </w14:textFill>
        </w:rPr>
        <w:t>C in a vacuum oven. Subsequently, the copper foil was cut into discs with a diameter of 8 mm, resulting in a mass loading of 0.12</w:t>
      </w:r>
      <w:r>
        <w:rPr>
          <w:rFonts w:ascii="Times New Roman" w:hAnsi="Times New Roman" w:eastAsia="Segoe UI" w:cs="Times New Roman"/>
          <w:color w:val="0F1115"/>
          <w:sz w:val="18"/>
          <w:szCs w:val="18"/>
          <w:shd w:val="clear" w:color="auto" w:fill="FFFFFF"/>
        </w:rPr>
        <w:t>–</w:t>
      </w:r>
      <w:r>
        <w:rPr>
          <w:rFonts w:hint="eastAsia" w:ascii="Times New Roman" w:hAnsi="Times New Roman" w:cs="Times New Roman"/>
          <w:color w:val="000000" w:themeColor="text1"/>
          <w14:textFill>
            <w14:solidFill>
              <w14:schemeClr w14:val="tx1"/>
            </w14:solidFill>
          </w14:textFill>
        </w:rPr>
        <w:t>0.20 mg cm</w:t>
      </w:r>
      <w:r>
        <w:rPr>
          <w:rFonts w:ascii="Times New Roman" w:hAnsi="Times New Roman" w:eastAsia="Segoe UI" w:cs="Times New Roman"/>
          <w:color w:val="0F1115"/>
          <w:sz w:val="24"/>
          <w:szCs w:val="24"/>
          <w:shd w:val="clear" w:color="auto" w:fill="FFFFFF"/>
        </w:rPr>
        <w:t>⁻</w:t>
      </w:r>
      <w:r>
        <w:rPr>
          <w:rFonts w:hint="eastAsia"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 A CR-2025 button half-cell was assembled within an argon-filled glove box (H</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O &lt; 0.01 ppm, 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 xml:space="preserve"> &lt; 0.01 ppm), utilizing the coated copper foil as the working electrode and sodium sheet as the counter electrode. The electrolyte consisted of a 1 M NaClO</w:t>
      </w:r>
      <w:r>
        <w:rPr>
          <w:rFonts w:hint="eastAsia" w:ascii="Times New Roman" w:hAnsi="Times New Roman" w:cs="Times New Roman"/>
          <w:color w:val="000000" w:themeColor="text1"/>
          <w:vertAlign w:val="subscript"/>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 xml:space="preserve"> solution composed of ethylene carbonate (EC) and propylene carbonate (PC) in a volume ratio of EC:PC=1:1, along with 5 vol.% fluoroethylene carbonate, while glass fiber (Whatman GF/D) served as the separator. The battery test system was used to conduct galvanostatic charge/discharge tests to evaluate both cycle life and rate performance over an operating voltage range of 0.01-3 V vs Na/Na</w:t>
      </w:r>
      <w:r>
        <w:rPr>
          <w:rFonts w:hint="eastAsia"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 Finally, cyclic voltammetry (CV) and electrochemical impedance spectroscopy (EIS) were performed using a CHI760E electrochemical workstation from Chenhua, Shanghai.</w:t>
      </w:r>
      <w:r>
        <w:rPr>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The CV test sets a reasonable voltage window (such as 0.01</w:t>
      </w:r>
      <w:r>
        <w:rPr>
          <w:rFonts w:ascii="Times New Roman" w:hAnsi="Times New Roman" w:eastAsia="Segoe UI" w:cs="Times New Roman"/>
          <w:color w:val="0F1115"/>
          <w:sz w:val="18"/>
          <w:szCs w:val="18"/>
          <w:shd w:val="clear" w:color="auto" w:fill="FFFFFF"/>
        </w:rPr>
        <w:t>–</w:t>
      </w:r>
      <w:r>
        <w:rPr>
          <w:rFonts w:ascii="Times New Roman" w:hAnsi="Times New Roman" w:cs="Times New Roman"/>
          <w:color w:val="000000" w:themeColor="text1"/>
          <w14:textFill>
            <w14:solidFill>
              <w14:schemeClr w14:val="tx1"/>
            </w14:solidFill>
          </w14:textFill>
        </w:rPr>
        <w:t>3.0V) and scanning rate (0.1</w:t>
      </w:r>
      <w:r>
        <w:rPr>
          <w:rFonts w:ascii="Times New Roman" w:hAnsi="Times New Roman" w:eastAsia="Segoe UI" w:cs="Times New Roman"/>
          <w:color w:val="0F1115"/>
          <w:sz w:val="18"/>
          <w:szCs w:val="18"/>
          <w:shd w:val="clear" w:color="auto" w:fill="FFFFFF"/>
        </w:rPr>
        <w:t>–</w:t>
      </w:r>
      <w:r>
        <w:rPr>
          <w:rFonts w:ascii="Times New Roman" w:hAnsi="Times New Roman" w:cs="Times New Roman"/>
          <w:color w:val="000000" w:themeColor="text1"/>
          <w14:textFill>
            <w14:solidFill>
              <w14:schemeClr w14:val="tx1"/>
            </w14:solidFill>
          </w14:textFill>
        </w:rPr>
        <w:t>5mV/s), and combines constant current charge and discharge data to comprehensively analyze the sodium storage mechanism and interface evolution law of sodium-ion batteries.</w:t>
      </w:r>
    </w:p>
    <w:p w14:paraId="524BE35D">
      <w:pPr>
        <w:spacing w:line="480" w:lineRule="auto"/>
        <w:ind w:firstLine="420" w:firstLineChars="200"/>
        <w:rPr>
          <w:rFonts w:ascii="Times New Roman" w:hAnsi="Times New Roman" w:cs="Times New Roman"/>
          <w:color w:val="000000" w:themeColor="text1"/>
          <w14:textFill>
            <w14:solidFill>
              <w14:schemeClr w14:val="tx1"/>
            </w14:solidFill>
          </w14:textFill>
        </w:rPr>
      </w:pPr>
    </w:p>
    <w:p w14:paraId="445E5215">
      <w:pPr>
        <w:spacing w:line="480" w:lineRule="auto"/>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Computational details</w:t>
      </w:r>
    </w:p>
    <w:p w14:paraId="717FCDA9">
      <w:pPr>
        <w:spacing w:line="480" w:lineRule="auto"/>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All calculations were performed within the framework of Density Functional Theory (DFT) using the Vienna Ab initio Simulation Package (VASP 6.3.0). The generalized gradient approximation (GGA) based on the Perdew-Burke-Ernzerhof (PBE) functional was employed to describe the exchange-correlation energy. The projected augmented wave (PAW) method and corresponding pseudopotentials were employed to describe the interactions between valence electrons and ions. To ensure the efficiency of computational results and parallel computing, a 3*3*1 k-point grid based on the Monkhorst-Pack scheme was employed in the optimization process, and a truncation energy of 500 eV was set. </w:t>
      </w:r>
      <w:r>
        <w:rPr>
          <w:rFonts w:ascii="Times New Roman" w:hAnsi="Times New Roman" w:cs="Times New Roman"/>
          <w:color w:val="000000" w:themeColor="text1"/>
          <w14:textFill>
            <w14:solidFill>
              <w14:schemeClr w14:val="tx1"/>
            </w14:solidFill>
          </w14:textFill>
        </w:rPr>
        <w:t>The lattice parameters and ionic positions of all crystals were fully relaxed, with the convergence criteria for the total energy of all relaxed atoms and the final forces set at 10</w:t>
      </w:r>
      <w:r>
        <w:rPr>
          <w:rFonts w:ascii="Times New Roman" w:hAnsi="Times New Roman" w:eastAsia="Segoe UI" w:cs="Times New Roman"/>
          <w:color w:val="0F1115"/>
          <w:sz w:val="24"/>
          <w:szCs w:val="24"/>
          <w:shd w:val="clear" w:color="auto" w:fill="FFFFFF"/>
        </w:rPr>
        <w:t>⁻</w:t>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 xml:space="preserve"> eV and 0.03 eV/</w:t>
      </w:r>
      <w:r>
        <w:rPr>
          <w:rFonts w:ascii="Times New Roman" w:hAnsi="Times New Roman" w:eastAsia="微软雅黑" w:cs="Times New Roman"/>
          <w:color w:val="000000" w:themeColor="text1"/>
          <w14:textFill>
            <w14:solidFill>
              <w14:schemeClr w14:val="tx1"/>
            </w14:solidFill>
          </w14:textFill>
        </w:rPr>
        <w:t>Å</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respectively. To correct the localization effect of D-orbital electrons in transition metal atoms, the Hubbard+U method was employed, with the effective U values for Co and Ni set at 2.5 eV.</w:t>
      </w:r>
    </w:p>
    <w:p w14:paraId="4F01CB06">
      <w:pPr>
        <w:spacing w:line="360" w:lineRule="auto"/>
        <w:rPr>
          <w:rFonts w:ascii="Times New Roman" w:hAnsi="Times New Roman" w:cs="Times New Roman"/>
          <w:color w:val="000000" w:themeColor="text1"/>
          <w:szCs w:val="21"/>
          <w14:textFill>
            <w14:solidFill>
              <w14:schemeClr w14:val="tx1"/>
            </w14:solidFill>
          </w14:textFill>
        </w:rPr>
      </w:pPr>
    </w:p>
    <w:p w14:paraId="12D67E1F">
      <w:pPr>
        <w:spacing w:line="360" w:lineRule="auto"/>
        <w:rPr>
          <w:rFonts w:ascii="Times New Roman" w:hAnsi="Times New Roman" w:cs="Times New Roman"/>
          <w:color w:val="000000" w:themeColor="text1"/>
          <w:szCs w:val="21"/>
          <w14:textFill>
            <w14:solidFill>
              <w14:schemeClr w14:val="tx1"/>
            </w14:solidFill>
          </w14:textFill>
        </w:rPr>
      </w:pPr>
    </w:p>
    <w:p w14:paraId="49B1360A">
      <w:pPr>
        <w:spacing w:line="360" w:lineRule="auto"/>
        <w:rPr>
          <w:rFonts w:ascii="Times New Roman" w:hAnsi="Times New Roman" w:cs="Times New Roman"/>
          <w:color w:val="000000" w:themeColor="text1"/>
          <w:szCs w:val="21"/>
          <w14:textFill>
            <w14:solidFill>
              <w14:schemeClr w14:val="tx1"/>
            </w14:solidFill>
          </w14:textFill>
        </w:rPr>
      </w:pPr>
    </w:p>
    <w:p w14:paraId="2E73021D">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0D24DC45">
      <w:pPr>
        <w:spacing w:line="360" w:lineRule="auto"/>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5274310" cy="2253615"/>
            <wp:effectExtent l="0" t="0" r="2540" b="0"/>
            <wp:docPr id="594813143"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13143" name="图片 1" descr="图片包含 图表&#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253615"/>
                    </a:xfrm>
                    <a:prstGeom prst="rect">
                      <a:avLst/>
                    </a:prstGeom>
                    <a:noFill/>
                    <a:ln>
                      <a:noFill/>
                    </a:ln>
                  </pic:spPr>
                </pic:pic>
              </a:graphicData>
            </a:graphic>
          </wp:inline>
        </w:drawing>
      </w:r>
    </w:p>
    <w:p w14:paraId="5A22EC5A">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b/>
          <w:bCs/>
          <w:color w:val="000000" w:themeColor="text1"/>
          <w:sz w:val="18"/>
          <w:szCs w:val="18"/>
          <w14:textFill>
            <w14:solidFill>
              <w14:schemeClr w14:val="tx1"/>
            </w14:solidFill>
          </w14:textFill>
        </w:rPr>
        <w:t>Fig. S1</w:t>
      </w:r>
      <w:r>
        <w:rPr>
          <w:rFonts w:hint="eastAsia" w:ascii="Times New Roman" w:hAnsi="Times New Roman" w:cs="Times New Roman"/>
          <w:color w:val="000000" w:themeColor="text1"/>
          <w:sz w:val="18"/>
          <w:szCs w:val="18"/>
          <w14:textFill>
            <w14:solidFill>
              <w14:schemeClr w14:val="tx1"/>
            </w14:solidFill>
          </w14:textFill>
        </w:rPr>
        <w:t xml:space="preserve"> Adsorption-desorption isotherm of (a) </w:t>
      </w:r>
      <w:r>
        <w:rPr>
          <w:rFonts w:ascii="Times New Roman" w:hAnsi="Times New Roman" w:cs="Times New Roman"/>
          <w:color w:val="000000" w:themeColor="text1"/>
          <w:sz w:val="18"/>
          <w:szCs w:val="18"/>
          <w14:textFill>
            <w14:solidFill>
              <w14:schemeClr w14:val="tx1"/>
            </w14:solidFill>
          </w14:textFill>
        </w:rPr>
        <w:t>NCS/CS</w:t>
      </w:r>
      <w:r>
        <w:rPr>
          <w:rFonts w:hint="eastAsia" w:ascii="Times New Roman" w:hAnsi="Times New Roman" w:cs="Times New Roman"/>
          <w:color w:val="000000" w:themeColor="text1"/>
          <w:sz w:val="18"/>
          <w:szCs w:val="18"/>
          <w14:textFill>
            <w14:solidFill>
              <w14:schemeClr w14:val="tx1"/>
            </w14:solidFill>
          </w14:textFill>
        </w:rPr>
        <w:t>@L</w:t>
      </w:r>
      <w:r>
        <w:rPr>
          <w:rFonts w:ascii="Times New Roman" w:hAnsi="Times New Roman" w:cs="Times New Roman"/>
          <w:color w:val="000000" w:themeColor="text1"/>
          <w:sz w:val="18"/>
          <w:szCs w:val="18"/>
          <w14:textFill>
            <w14:solidFill>
              <w14:schemeClr w14:val="tx1"/>
            </w14:solidFill>
          </w14:textFill>
        </w:rPr>
        <w:t>C</w:t>
      </w:r>
      <w:r>
        <w:rPr>
          <w:rFonts w:hint="eastAsia" w:ascii="Times New Roman" w:hAnsi="Times New Roman" w:cs="Times New Roman"/>
          <w:color w:val="000000" w:themeColor="text1"/>
          <w:sz w:val="18"/>
          <w:szCs w:val="18"/>
          <w:vertAlign w:val="subscript"/>
          <w14:textFill>
            <w14:solidFill>
              <w14:schemeClr w14:val="tx1"/>
            </w14:solidFill>
          </w14:textFill>
        </w:rPr>
        <w:t>25</w:t>
      </w:r>
      <w:r>
        <w:rPr>
          <w:rFonts w:hint="eastAsia" w:ascii="Times New Roman" w:hAnsi="Times New Roman" w:cs="Times New Roman"/>
          <w:color w:val="000000" w:themeColor="text1"/>
          <w:sz w:val="18"/>
          <w:szCs w:val="18"/>
          <w14:textFill>
            <w14:solidFill>
              <w14:schemeClr w14:val="tx1"/>
            </w14:solidFill>
          </w14:textFill>
        </w:rPr>
        <w:t xml:space="preserve"> ;(b) </w:t>
      </w:r>
      <w:r>
        <w:rPr>
          <w:rFonts w:ascii="Times New Roman" w:hAnsi="Times New Roman" w:cs="Times New Roman"/>
          <w:color w:val="000000" w:themeColor="text1"/>
          <w:sz w:val="18"/>
          <w:szCs w:val="18"/>
          <w14:textFill>
            <w14:solidFill>
              <w14:schemeClr w14:val="tx1"/>
            </w14:solidFill>
          </w14:textFill>
        </w:rPr>
        <w:t>NCS/CS</w:t>
      </w:r>
      <w:r>
        <w:rPr>
          <w:rFonts w:hint="eastAsia" w:ascii="Times New Roman" w:hAnsi="Times New Roman" w:cs="Times New Roman"/>
          <w:color w:val="000000" w:themeColor="text1"/>
          <w:sz w:val="18"/>
          <w:szCs w:val="18"/>
          <w14:textFill>
            <w14:solidFill>
              <w14:schemeClr w14:val="tx1"/>
            </w14:solidFill>
          </w14:textFill>
        </w:rPr>
        <w:t>@L</w:t>
      </w:r>
      <w:r>
        <w:rPr>
          <w:rFonts w:ascii="Times New Roman" w:hAnsi="Times New Roman" w:cs="Times New Roman"/>
          <w:color w:val="000000" w:themeColor="text1"/>
          <w:sz w:val="18"/>
          <w:szCs w:val="18"/>
          <w14:textFill>
            <w14:solidFill>
              <w14:schemeClr w14:val="tx1"/>
            </w14:solidFill>
          </w14:textFill>
        </w:rPr>
        <w:t>C</w:t>
      </w:r>
      <w:r>
        <w:rPr>
          <w:rFonts w:hint="eastAsia" w:ascii="Times New Roman" w:hAnsi="Times New Roman" w:cs="Times New Roman"/>
          <w:color w:val="000000" w:themeColor="text1"/>
          <w:sz w:val="18"/>
          <w:szCs w:val="18"/>
          <w:vertAlign w:val="subscript"/>
          <w14:textFill>
            <w14:solidFill>
              <w14:schemeClr w14:val="tx1"/>
            </w14:solidFill>
          </w14:textFill>
        </w:rPr>
        <w:t>75</w:t>
      </w:r>
      <w:r>
        <w:rPr>
          <w:rFonts w:hint="eastAsia" w:ascii="Times New Roman" w:hAnsi="Times New Roman" w:cs="Times New Roman"/>
          <w:color w:val="000000" w:themeColor="text1"/>
          <w:sz w:val="18"/>
          <w:szCs w:val="18"/>
          <w14:textFill>
            <w14:solidFill>
              <w14:schemeClr w14:val="tx1"/>
            </w14:solidFill>
          </w14:textFill>
        </w:rPr>
        <w:t>.</w:t>
      </w:r>
    </w:p>
    <w:p w14:paraId="08D215C3">
      <w:pPr>
        <w:spacing w:line="360" w:lineRule="auto"/>
        <w:rPr>
          <w:rFonts w:ascii="Times New Roman" w:hAnsi="Times New Roman" w:cs="Times New Roman"/>
          <w:color w:val="000000" w:themeColor="text1"/>
          <w:szCs w:val="21"/>
          <w14:textFill>
            <w14:solidFill>
              <w14:schemeClr w14:val="tx1"/>
            </w14:solidFill>
          </w14:textFill>
        </w:rPr>
      </w:pPr>
    </w:p>
    <w:p w14:paraId="7E997DE0">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bookmarkStart w:id="2" w:name="_GoBack"/>
      <w:bookmarkEnd w:id="2"/>
    </w:p>
    <w:p w14:paraId="617F08BD">
      <w:pPr>
        <w:spacing w:line="360" w:lineRule="auto"/>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5274310" cy="1915795"/>
            <wp:effectExtent l="0" t="0" r="2540" b="8255"/>
            <wp:docPr id="360718288" name="图片 4" descr="地上有许多照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18288" name="图片 4" descr="地上有许多照片&#10;&#10;AI 生成的内容可能不正确。"/>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915795"/>
                    </a:xfrm>
                    <a:prstGeom prst="rect">
                      <a:avLst/>
                    </a:prstGeom>
                    <a:noFill/>
                    <a:ln>
                      <a:noFill/>
                    </a:ln>
                  </pic:spPr>
                </pic:pic>
              </a:graphicData>
            </a:graphic>
          </wp:inline>
        </w:drawing>
      </w:r>
    </w:p>
    <w:p w14:paraId="617F18FE">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 w:val="18"/>
          <w:szCs w:val="18"/>
          <w14:textFill>
            <w14:solidFill>
              <w14:schemeClr w14:val="tx1"/>
            </w14:solidFill>
          </w14:textFill>
        </w:rPr>
        <w:t>Fig. S2</w:t>
      </w:r>
      <w:r>
        <w:rPr>
          <w:rFonts w:hint="eastAsia" w:ascii="Times New Roman" w:hAnsi="Times New Roman" w:cs="Times New Roman"/>
          <w:color w:val="000000" w:themeColor="text1"/>
          <w:sz w:val="18"/>
          <w:szCs w:val="18"/>
          <w14:textFill>
            <w14:solidFill>
              <w14:schemeClr w14:val="tx1"/>
            </w14:solidFill>
          </w14:textFill>
        </w:rPr>
        <w:t xml:space="preserve"> SEM images of synthesized samples: </w:t>
      </w:r>
      <w:bookmarkStart w:id="0" w:name="OLE_LINK46"/>
      <w:r>
        <w:rPr>
          <w:rFonts w:hint="eastAsia" w:ascii="Times New Roman" w:hAnsi="Times New Roman" w:cs="Times New Roman"/>
          <w:color w:val="000000" w:themeColor="text1"/>
          <w:sz w:val="18"/>
          <w:szCs w:val="18"/>
          <w14:textFill>
            <w14:solidFill>
              <w14:schemeClr w14:val="tx1"/>
            </w14:solidFill>
          </w14:textFill>
        </w:rPr>
        <w:t>(a)</w:t>
      </w:r>
      <w:bookmarkStart w:id="1" w:name="OLE_LINK34"/>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NCS/CS</w:t>
      </w:r>
      <w:r>
        <w:rPr>
          <w:rFonts w:hint="eastAsia" w:ascii="Times New Roman" w:hAnsi="Times New Roman" w:cs="Times New Roman"/>
          <w:color w:val="000000" w:themeColor="text1"/>
          <w:sz w:val="18"/>
          <w:szCs w:val="18"/>
          <w14:textFill>
            <w14:solidFill>
              <w14:schemeClr w14:val="tx1"/>
            </w14:solidFill>
          </w14:textFill>
        </w:rPr>
        <w:t>@L</w:t>
      </w:r>
      <w:r>
        <w:rPr>
          <w:rFonts w:ascii="Times New Roman" w:hAnsi="Times New Roman" w:cs="Times New Roman"/>
          <w:color w:val="000000" w:themeColor="text1"/>
          <w:sz w:val="18"/>
          <w:szCs w:val="18"/>
          <w14:textFill>
            <w14:solidFill>
              <w14:schemeClr w14:val="tx1"/>
            </w14:solidFill>
          </w14:textFill>
        </w:rPr>
        <w:t>C</w:t>
      </w:r>
      <w:r>
        <w:rPr>
          <w:rFonts w:hint="eastAsia" w:ascii="Times New Roman" w:hAnsi="Times New Roman" w:cs="Times New Roman"/>
          <w:color w:val="000000" w:themeColor="text1"/>
          <w:sz w:val="18"/>
          <w:szCs w:val="18"/>
          <w:vertAlign w:val="subscript"/>
          <w14:textFill>
            <w14:solidFill>
              <w14:schemeClr w14:val="tx1"/>
            </w14:solidFill>
          </w14:textFill>
        </w:rPr>
        <w:t>25</w:t>
      </w:r>
      <w:bookmarkEnd w:id="1"/>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 xml:space="preserve"> (b) </w:t>
      </w:r>
      <w:r>
        <w:rPr>
          <w:rFonts w:ascii="Times New Roman" w:hAnsi="Times New Roman" w:cs="Times New Roman"/>
          <w:color w:val="000000" w:themeColor="text1"/>
          <w:sz w:val="18"/>
          <w:szCs w:val="18"/>
          <w14:textFill>
            <w14:solidFill>
              <w14:schemeClr w14:val="tx1"/>
            </w14:solidFill>
          </w14:textFill>
        </w:rPr>
        <w:t>NCS/CS</w:t>
      </w:r>
      <w:r>
        <w:rPr>
          <w:rFonts w:hint="eastAsia" w:ascii="Times New Roman" w:hAnsi="Times New Roman" w:cs="Times New Roman"/>
          <w:color w:val="000000" w:themeColor="text1"/>
          <w:sz w:val="18"/>
          <w:szCs w:val="18"/>
          <w14:textFill>
            <w14:solidFill>
              <w14:schemeClr w14:val="tx1"/>
            </w14:solidFill>
          </w14:textFill>
        </w:rPr>
        <w:t>@L</w:t>
      </w:r>
      <w:r>
        <w:rPr>
          <w:rFonts w:ascii="Times New Roman" w:hAnsi="Times New Roman" w:cs="Times New Roman"/>
          <w:color w:val="000000" w:themeColor="text1"/>
          <w:sz w:val="18"/>
          <w:szCs w:val="18"/>
          <w14:textFill>
            <w14:solidFill>
              <w14:schemeClr w14:val="tx1"/>
            </w14:solidFill>
          </w14:textFill>
        </w:rPr>
        <w:t>C</w:t>
      </w:r>
      <w:r>
        <w:rPr>
          <w:rFonts w:hint="eastAsia" w:ascii="Times New Roman" w:hAnsi="Times New Roman" w:cs="Times New Roman"/>
          <w:color w:val="000000" w:themeColor="text1"/>
          <w:sz w:val="18"/>
          <w:szCs w:val="18"/>
          <w:vertAlign w:val="subscript"/>
          <w14:textFill>
            <w14:solidFill>
              <w14:schemeClr w14:val="tx1"/>
            </w14:solidFill>
          </w14:textFill>
        </w:rPr>
        <w:t>75</w:t>
      </w:r>
      <w:bookmarkEnd w:id="0"/>
    </w:p>
    <w:p w14:paraId="63EEBC69">
      <w:pPr>
        <w:spacing w:line="360" w:lineRule="auto"/>
        <w:rPr>
          <w:rFonts w:ascii="Times New Roman" w:hAnsi="Times New Roman" w:cs="Times New Roman"/>
          <w:color w:val="000000" w:themeColor="text1"/>
          <w:szCs w:val="21"/>
          <w14:textFill>
            <w14:solidFill>
              <w14:schemeClr w14:val="tx1"/>
            </w14:solidFill>
          </w14:textFill>
        </w:rPr>
      </w:pPr>
    </w:p>
    <w:p w14:paraId="58BEF6D0">
      <w:pPr>
        <w:spacing w:line="360" w:lineRule="auto"/>
        <w:rPr>
          <w:rFonts w:ascii="Times New Roman" w:hAnsi="Times New Roman" w:cs="Times New Roman"/>
          <w:color w:val="000000" w:themeColor="text1"/>
          <w:szCs w:val="21"/>
          <w14:textFill>
            <w14:solidFill>
              <w14:schemeClr w14:val="tx1"/>
            </w14:solidFill>
          </w14:textFill>
        </w:rPr>
      </w:pPr>
    </w:p>
    <w:p w14:paraId="310F6E44">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38060557">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114300" distR="114300">
            <wp:extent cx="5273675" cy="1520825"/>
            <wp:effectExtent l="0" t="0" r="3175" b="3175"/>
            <wp:docPr id="4" name="图片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
                    <pic:cNvPicPr>
                      <a:picLocks noChangeAspect="1"/>
                    </pic:cNvPicPr>
                  </pic:nvPicPr>
                  <pic:blipFill>
                    <a:blip r:embed="rId7"/>
                    <a:stretch>
                      <a:fillRect/>
                    </a:stretch>
                  </pic:blipFill>
                  <pic:spPr>
                    <a:xfrm>
                      <a:off x="0" y="0"/>
                      <a:ext cx="5273675" cy="1520825"/>
                    </a:xfrm>
                    <a:prstGeom prst="rect">
                      <a:avLst/>
                    </a:prstGeom>
                  </pic:spPr>
                </pic:pic>
              </a:graphicData>
            </a:graphic>
          </wp:inline>
        </w:drawing>
      </w:r>
    </w:p>
    <w:p w14:paraId="5A079DE4">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b/>
          <w:bCs/>
          <w:color w:val="000000" w:themeColor="text1"/>
          <w:sz w:val="18"/>
          <w:szCs w:val="18"/>
          <w14:textFill>
            <w14:solidFill>
              <w14:schemeClr w14:val="tx1"/>
            </w14:solidFill>
          </w14:textFill>
        </w:rPr>
        <w:t xml:space="preserve">Fig. S3 </w:t>
      </w:r>
      <w:r>
        <w:rPr>
          <w:rFonts w:hint="eastAsia" w:ascii="Times New Roman" w:hAnsi="Times New Roman" w:cs="Times New Roman"/>
          <w:color w:val="000000" w:themeColor="text1"/>
          <w:sz w:val="18"/>
          <w:szCs w:val="18"/>
          <w14:textFill>
            <w14:solidFill>
              <w14:schemeClr w14:val="tx1"/>
            </w14:solidFill>
          </w14:textFill>
        </w:rPr>
        <w:t>CV plot of the first five cycles for (a) NCS, (b) NCS/CS@LC</w:t>
      </w:r>
      <w:r>
        <w:rPr>
          <w:rFonts w:hint="eastAsia" w:ascii="Times New Roman" w:hAnsi="Times New Roman" w:cs="Times New Roman"/>
          <w:color w:val="000000" w:themeColor="text1"/>
          <w:sz w:val="18"/>
          <w:szCs w:val="18"/>
          <w:vertAlign w:val="subscript"/>
          <w14:textFill>
            <w14:solidFill>
              <w14:schemeClr w14:val="tx1"/>
            </w14:solidFill>
          </w14:textFill>
        </w:rPr>
        <w:t>25</w:t>
      </w:r>
      <w:r>
        <w:rPr>
          <w:rFonts w:hint="eastAsia" w:ascii="Times New Roman" w:hAnsi="Times New Roman" w:cs="Times New Roman"/>
          <w:color w:val="000000" w:themeColor="text1"/>
          <w:sz w:val="18"/>
          <w:szCs w:val="18"/>
          <w14:textFill>
            <w14:solidFill>
              <w14:schemeClr w14:val="tx1"/>
            </w14:solidFill>
          </w14:textFill>
        </w:rPr>
        <w:t xml:space="preserve"> and (c) NCS/CS@LC</w:t>
      </w:r>
      <w:r>
        <w:rPr>
          <w:rFonts w:hint="eastAsia" w:ascii="Times New Roman" w:hAnsi="Times New Roman" w:cs="Times New Roman"/>
          <w:color w:val="000000" w:themeColor="text1"/>
          <w:sz w:val="18"/>
          <w:szCs w:val="18"/>
          <w:vertAlign w:val="subscript"/>
          <w14:textFill>
            <w14:solidFill>
              <w14:schemeClr w14:val="tx1"/>
            </w14:solidFill>
          </w14:textFill>
        </w:rPr>
        <w:t>75</w:t>
      </w:r>
      <w:r>
        <w:rPr>
          <w:rFonts w:hint="eastAsia" w:ascii="Times New Roman" w:hAnsi="Times New Roman" w:cs="Times New Roman"/>
          <w:color w:val="000000" w:themeColor="text1"/>
          <w:sz w:val="18"/>
          <w:szCs w:val="18"/>
          <w14:textFill>
            <w14:solidFill>
              <w14:schemeClr w14:val="tx1"/>
            </w14:solidFill>
          </w14:textFill>
        </w:rPr>
        <w:t>.</w:t>
      </w:r>
    </w:p>
    <w:p w14:paraId="71411203">
      <w:pPr>
        <w:spacing w:line="360" w:lineRule="auto"/>
        <w:jc w:val="center"/>
        <w:rPr>
          <w:rFonts w:ascii="Times New Roman" w:hAnsi="Times New Roman" w:cs="Times New Roman"/>
          <w:color w:val="000000" w:themeColor="text1"/>
          <w:sz w:val="18"/>
          <w:szCs w:val="18"/>
          <w14:textFill>
            <w14:solidFill>
              <w14:schemeClr w14:val="tx1"/>
            </w14:solidFill>
          </w14:textFill>
        </w:rPr>
      </w:pPr>
    </w:p>
    <w:p w14:paraId="685CE34A">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br w:type="page"/>
      </w:r>
    </w:p>
    <w:p w14:paraId="4E8884CB">
      <w:pPr>
        <w:spacing w:line="360" w:lineRule="auto"/>
        <w:jc w:val="center"/>
        <w:rPr>
          <w:rFonts w:ascii="Times New Roman" w:hAnsi="Times New Roman" w:cs="Times New Roman"/>
          <w:color w:val="000000" w:themeColor="text1"/>
          <w:sz w:val="18"/>
          <w:szCs w:val="18"/>
          <w14:textFill>
            <w14:solidFill>
              <w14:schemeClr w14:val="tx1"/>
            </w14:solidFill>
          </w14:textFill>
        </w:rPr>
      </w:pPr>
    </w:p>
    <w:p w14:paraId="665B43B3">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114300" distR="114300">
            <wp:extent cx="5273675" cy="1520825"/>
            <wp:effectExtent l="0" t="0" r="3175" b="3175"/>
            <wp:docPr id="5" name="图片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
                    <pic:cNvPicPr>
                      <a:picLocks noChangeAspect="1"/>
                    </pic:cNvPicPr>
                  </pic:nvPicPr>
                  <pic:blipFill>
                    <a:blip r:embed="rId8"/>
                    <a:stretch>
                      <a:fillRect/>
                    </a:stretch>
                  </pic:blipFill>
                  <pic:spPr>
                    <a:xfrm>
                      <a:off x="0" y="0"/>
                      <a:ext cx="5273675" cy="1520825"/>
                    </a:xfrm>
                    <a:prstGeom prst="rect">
                      <a:avLst/>
                    </a:prstGeom>
                  </pic:spPr>
                </pic:pic>
              </a:graphicData>
            </a:graphic>
          </wp:inline>
        </w:drawing>
      </w:r>
    </w:p>
    <w:p w14:paraId="56410FB4">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b/>
          <w:bCs/>
          <w:color w:val="000000" w:themeColor="text1"/>
          <w:sz w:val="18"/>
          <w:szCs w:val="18"/>
          <w14:textFill>
            <w14:solidFill>
              <w14:schemeClr w14:val="tx1"/>
            </w14:solidFill>
          </w14:textFill>
        </w:rPr>
        <w:t xml:space="preserve">Fig. S4 </w:t>
      </w:r>
      <w:r>
        <w:rPr>
          <w:rFonts w:hint="eastAsia" w:ascii="Times New Roman" w:hAnsi="Times New Roman" w:cs="Times New Roman"/>
          <w:color w:val="000000" w:themeColor="text1"/>
          <w:sz w:val="18"/>
          <w:szCs w:val="18"/>
          <w14:textFill>
            <w14:solidFill>
              <w14:schemeClr w14:val="tx1"/>
            </w14:solidFill>
          </w14:textFill>
        </w:rPr>
        <w:t>Constant current charge-discharge profile of (a) NCS, (b) NCS/CS@LC</w:t>
      </w:r>
      <w:r>
        <w:rPr>
          <w:rFonts w:hint="eastAsia" w:ascii="Times New Roman" w:hAnsi="Times New Roman" w:cs="Times New Roman"/>
          <w:color w:val="000000" w:themeColor="text1"/>
          <w:sz w:val="18"/>
          <w:szCs w:val="18"/>
          <w:vertAlign w:val="subscript"/>
          <w14:textFill>
            <w14:solidFill>
              <w14:schemeClr w14:val="tx1"/>
            </w14:solidFill>
          </w14:textFill>
        </w:rPr>
        <w:t>25</w:t>
      </w:r>
      <w:r>
        <w:rPr>
          <w:rFonts w:hint="eastAsia" w:ascii="Times New Roman" w:hAnsi="Times New Roman" w:cs="Times New Roman"/>
          <w:color w:val="000000" w:themeColor="text1"/>
          <w:sz w:val="18"/>
          <w:szCs w:val="18"/>
          <w14:textFill>
            <w14:solidFill>
              <w14:schemeClr w14:val="tx1"/>
            </w14:solidFill>
          </w14:textFill>
        </w:rPr>
        <w:t xml:space="preserve"> and (c) NCS/CS@LC</w:t>
      </w:r>
      <w:r>
        <w:rPr>
          <w:rFonts w:hint="eastAsia" w:ascii="Times New Roman" w:hAnsi="Times New Roman" w:cs="Times New Roman"/>
          <w:color w:val="000000" w:themeColor="text1"/>
          <w:sz w:val="18"/>
          <w:szCs w:val="18"/>
          <w:vertAlign w:val="subscript"/>
          <w14:textFill>
            <w14:solidFill>
              <w14:schemeClr w14:val="tx1"/>
            </w14:solidFill>
          </w14:textFill>
        </w:rPr>
        <w:t>75</w:t>
      </w:r>
      <w:r>
        <w:rPr>
          <w:rFonts w:hint="eastAsia" w:ascii="Times New Roman" w:hAnsi="Times New Roman" w:cs="Times New Roman"/>
          <w:color w:val="000000" w:themeColor="text1"/>
          <w:sz w:val="18"/>
          <w:szCs w:val="18"/>
          <w14:textFill>
            <w14:solidFill>
              <w14:schemeClr w14:val="tx1"/>
            </w14:solidFill>
          </w14:textFill>
        </w:rPr>
        <w:t xml:space="preserve"> at a current of 0.1 A g</w:t>
      </w:r>
      <w:r>
        <w:rPr>
          <w:rFonts w:ascii="Times New Roman" w:hAnsi="Times New Roman" w:eastAsia="Segoe UI" w:cs="Times New Roman"/>
          <w:color w:val="0F1115"/>
          <w:sz w:val="18"/>
          <w:szCs w:val="18"/>
          <w:shd w:val="clear" w:color="auto" w:fill="FFFFFF"/>
        </w:rPr>
        <w:t>⁻</w:t>
      </w:r>
      <w:r>
        <w:rPr>
          <w:rFonts w:hint="eastAsia" w:ascii="Times New Roman" w:hAnsi="Times New Roman" w:cs="Times New Roman"/>
          <w:color w:val="000000" w:themeColor="text1"/>
          <w:sz w:val="18"/>
          <w:szCs w:val="18"/>
          <w:vertAlign w:val="superscript"/>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w:t>
      </w:r>
    </w:p>
    <w:p w14:paraId="190458E4">
      <w:pPr>
        <w:spacing w:line="360" w:lineRule="auto"/>
        <w:rPr>
          <w:rFonts w:ascii="Times New Roman" w:hAnsi="Times New Roman" w:cs="Times New Roman"/>
          <w:color w:val="000000" w:themeColor="text1"/>
          <w:szCs w:val="21"/>
          <w14:textFill>
            <w14:solidFill>
              <w14:schemeClr w14:val="tx1"/>
            </w14:solidFill>
          </w14:textFill>
        </w:rPr>
      </w:pPr>
    </w:p>
    <w:p w14:paraId="56D2D6E7">
      <w:pPr>
        <w:spacing w:line="360" w:lineRule="auto"/>
        <w:rPr>
          <w:rFonts w:ascii="Times New Roman" w:hAnsi="Times New Roman" w:cs="Times New Roman"/>
          <w:color w:val="000000" w:themeColor="text1"/>
          <w:szCs w:val="21"/>
          <w14:textFill>
            <w14:solidFill>
              <w14:schemeClr w14:val="tx1"/>
            </w14:solidFill>
          </w14:textFill>
        </w:rPr>
      </w:pPr>
    </w:p>
    <w:p w14:paraId="718B3EF8">
      <w:pPr>
        <w:spacing w:line="360" w:lineRule="auto"/>
        <w:rPr>
          <w:rFonts w:ascii="Times New Roman" w:hAnsi="Times New Roman" w:cs="Times New Roman"/>
          <w:color w:val="000000" w:themeColor="text1"/>
          <w:szCs w:val="21"/>
          <w14:textFill>
            <w14:solidFill>
              <w14:schemeClr w14:val="tx1"/>
            </w14:solidFill>
          </w14:textFill>
        </w:rPr>
      </w:pPr>
    </w:p>
    <w:p w14:paraId="05FBB53F">
      <w:pPr>
        <w:spacing w:line="360" w:lineRule="auto"/>
        <w:rPr>
          <w:rFonts w:ascii="Times New Roman" w:hAnsi="Times New Roman" w:cs="Times New Roman"/>
          <w:color w:val="000000" w:themeColor="text1"/>
          <w:szCs w:val="21"/>
          <w14:textFill>
            <w14:solidFill>
              <w14:schemeClr w14:val="tx1"/>
            </w14:solidFill>
          </w14:textFill>
        </w:rPr>
      </w:pPr>
    </w:p>
    <w:p w14:paraId="2464DCD3">
      <w:pPr>
        <w:widowControl/>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br w:type="page"/>
      </w:r>
    </w:p>
    <w:p w14:paraId="4C784133">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3458210" cy="2567305"/>
            <wp:effectExtent l="0" t="0" r="8890" b="444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5481" cy="2572617"/>
                    </a:xfrm>
                    <a:prstGeom prst="rect">
                      <a:avLst/>
                    </a:prstGeom>
                  </pic:spPr>
                </pic:pic>
              </a:graphicData>
            </a:graphic>
          </wp:inline>
        </w:drawing>
      </w:r>
    </w:p>
    <w:p w14:paraId="3C6A245C">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b/>
          <w:bCs/>
          <w:color w:val="000000" w:themeColor="text1"/>
          <w:sz w:val="18"/>
          <w:szCs w:val="18"/>
          <w14:textFill>
            <w14:solidFill>
              <w14:schemeClr w14:val="tx1"/>
            </w14:solidFill>
          </w14:textFill>
        </w:rPr>
        <w:t>Fig. S</w:t>
      </w:r>
      <w:r>
        <w:rPr>
          <w:rFonts w:ascii="Times New Roman" w:hAnsi="Times New Roman" w:cs="Times New Roman"/>
          <w:b/>
          <w:bCs/>
          <w:color w:val="000000" w:themeColor="text1"/>
          <w:sz w:val="18"/>
          <w:szCs w:val="18"/>
          <w14:textFill>
            <w14:solidFill>
              <w14:schemeClr w14:val="tx1"/>
            </w14:solidFill>
          </w14:textFill>
        </w:rPr>
        <w:t>5</w:t>
      </w:r>
      <w:r>
        <w:rPr>
          <w:rFonts w:hint="eastAsia" w:ascii="Times New Roman" w:hAnsi="Times New Roman" w:cs="Times New Roman"/>
          <w:b/>
          <w:bCs/>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SEM</w:t>
      </w:r>
      <w:r>
        <w:rPr>
          <w:rFonts w:hint="eastAsia" w:ascii="Times New Roman" w:hAnsi="Times New Roman" w:cs="Times New Roman"/>
          <w:color w:val="000000" w:themeColor="text1"/>
          <w:sz w:val="18"/>
          <w:szCs w:val="18"/>
          <w14:textFill>
            <w14:solidFill>
              <w14:schemeClr w14:val="tx1"/>
            </w14:solidFill>
          </w14:textFill>
        </w:rPr>
        <w:t xml:space="preserve"> for NCS/CS@LC</w:t>
      </w:r>
      <w:r>
        <w:rPr>
          <w:rFonts w:hint="eastAsia" w:ascii="Times New Roman" w:hAnsi="Times New Roman" w:cs="Times New Roman"/>
          <w:color w:val="000000" w:themeColor="text1"/>
          <w:sz w:val="18"/>
          <w:szCs w:val="18"/>
          <w:vertAlign w:val="subscript"/>
          <w14:textFill>
            <w14:solidFill>
              <w14:schemeClr w14:val="tx1"/>
            </w14:solidFill>
          </w14:textFill>
        </w:rPr>
        <w:t>50</w:t>
      </w:r>
      <w:r>
        <w:rPr>
          <w:rFonts w:hint="eastAsia" w:ascii="Times New Roman" w:hAnsi="Times New Roman" w:cs="Times New Roman"/>
          <w:color w:val="000000" w:themeColor="text1"/>
          <w:sz w:val="18"/>
          <w:szCs w:val="18"/>
          <w14:textFill>
            <w14:solidFill>
              <w14:schemeClr w14:val="tx1"/>
            </w14:solidFill>
          </w14:textFill>
        </w:rPr>
        <w:t xml:space="preserve"> electrode</w:t>
      </w:r>
      <w:r>
        <w:rPr>
          <w:rFonts w:ascii="Times New Roman" w:hAnsi="Times New Roman" w:cs="Times New Roman"/>
          <w:color w:val="000000" w:themeColor="text1"/>
          <w:sz w:val="18"/>
          <w:szCs w:val="18"/>
          <w14:textFill>
            <w14:solidFill>
              <w14:schemeClr w14:val="tx1"/>
            </w14:solidFill>
          </w14:textFill>
        </w:rPr>
        <w:t xml:space="preserve"> after 50 300 cycles</w:t>
      </w:r>
      <w:r>
        <w:rPr>
          <w:rFonts w:hint="eastAsia" w:ascii="Times New Roman" w:hAnsi="Times New Roman" w:cs="Times New Roman"/>
          <w:color w:val="000000" w:themeColor="text1"/>
          <w:sz w:val="18"/>
          <w:szCs w:val="18"/>
          <w14:textFill>
            <w14:solidFill>
              <w14:schemeClr w14:val="tx1"/>
            </w14:solidFill>
          </w14:textFill>
        </w:rPr>
        <w:t>.</w:t>
      </w:r>
    </w:p>
    <w:p w14:paraId="4F01A74D">
      <w:pPr>
        <w:widowControl/>
        <w:jc w:val="left"/>
        <w:rPr>
          <w:rFonts w:ascii="Times New Roman" w:hAnsi="Times New Roman" w:cs="Times New Roman"/>
          <w:color w:val="000000" w:themeColor="text1"/>
          <w:szCs w:val="21"/>
          <w14:textFill>
            <w14:solidFill>
              <w14:schemeClr w14:val="tx1"/>
            </w14:solidFill>
          </w14:textFill>
        </w:rPr>
      </w:pPr>
    </w:p>
    <w:p w14:paraId="0D7C1290">
      <w:pPr>
        <w:widowControl/>
        <w:jc w:val="left"/>
        <w:rPr>
          <w:rFonts w:ascii="Times New Roman" w:hAnsi="Times New Roman" w:cs="Times New Roman"/>
          <w:color w:val="000000" w:themeColor="text1"/>
          <w:szCs w:val="21"/>
          <w14:textFill>
            <w14:solidFill>
              <w14:schemeClr w14:val="tx1"/>
            </w14:solidFill>
          </w14:textFill>
        </w:rPr>
      </w:pPr>
    </w:p>
    <w:p w14:paraId="6BE0CCC4">
      <w:pPr>
        <w:widowControl/>
        <w:jc w:val="left"/>
        <w:rPr>
          <w:rFonts w:ascii="Times New Roman" w:hAnsi="Times New Roman" w:cs="Times New Roman"/>
          <w:color w:val="000000" w:themeColor="text1"/>
          <w:szCs w:val="21"/>
          <w14:textFill>
            <w14:solidFill>
              <w14:schemeClr w14:val="tx1"/>
            </w14:solidFill>
          </w14:textFill>
        </w:rPr>
      </w:pPr>
    </w:p>
    <w:p w14:paraId="2A1C6CB9">
      <w:pPr>
        <w:widowControl/>
        <w:jc w:val="left"/>
        <w:rPr>
          <w:rFonts w:ascii="Times New Roman" w:hAnsi="Times New Roman" w:cs="Times New Roman"/>
          <w:color w:val="000000" w:themeColor="text1"/>
          <w:szCs w:val="21"/>
          <w14:textFill>
            <w14:solidFill>
              <w14:schemeClr w14:val="tx1"/>
            </w14:solidFill>
          </w14:textFill>
        </w:rPr>
      </w:pPr>
    </w:p>
    <w:p w14:paraId="1F83AFE1">
      <w:pPr>
        <w:widowControl/>
        <w:jc w:val="left"/>
        <w:rPr>
          <w:rFonts w:ascii="Times New Roman" w:hAnsi="Times New Roman" w:cs="Times New Roman"/>
          <w:color w:val="000000" w:themeColor="text1"/>
          <w:szCs w:val="21"/>
          <w14:textFill>
            <w14:solidFill>
              <w14:schemeClr w14:val="tx1"/>
            </w14:solidFill>
          </w14:textFill>
        </w:rPr>
      </w:pPr>
    </w:p>
    <w:p w14:paraId="19FF06D5">
      <w:pPr>
        <w:widowControl/>
        <w:jc w:val="left"/>
        <w:rPr>
          <w:rFonts w:ascii="Times New Roman" w:hAnsi="Times New Roman" w:cs="Times New Roman"/>
          <w:color w:val="000000" w:themeColor="text1"/>
          <w:szCs w:val="21"/>
          <w14:textFill>
            <w14:solidFill>
              <w14:schemeClr w14:val="tx1"/>
            </w14:solidFill>
          </w14:textFill>
        </w:rPr>
        <w:sectPr>
          <w:pgSz w:w="11906" w:h="16838"/>
          <w:pgMar w:top="720" w:right="720" w:bottom="720" w:left="720" w:header="851" w:footer="992" w:gutter="0"/>
          <w:cols w:space="425" w:num="1"/>
          <w:docGrid w:type="lines" w:linePitch="312" w:charSpace="0"/>
        </w:sectPr>
      </w:pPr>
    </w:p>
    <w:p w14:paraId="67B5E6C7">
      <w:pPr>
        <w:widowControl/>
        <w:jc w:val="center"/>
        <w:rPr>
          <w:rFonts w:ascii="Times New Roman" w:hAnsi="Times New Roman" w:cs="Times New Roman"/>
          <w:color w:val="000000" w:themeColor="text1"/>
          <w:szCs w:val="21"/>
          <w14:textFill>
            <w14:solidFill>
              <w14:schemeClr w14:val="tx1"/>
            </w14:solidFill>
          </w14:textFill>
        </w:rPr>
      </w:pPr>
    </w:p>
    <w:p w14:paraId="4863527C">
      <w:pPr>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49040" cy="3124835"/>
            <wp:effectExtent l="0" t="0" r="3810" b="0"/>
            <wp:docPr id="1144363324"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63324" name="图片 2"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55858" cy="3130936"/>
                    </a:xfrm>
                    <a:prstGeom prst="rect">
                      <a:avLst/>
                    </a:prstGeom>
                    <a:noFill/>
                    <a:ln>
                      <a:noFill/>
                    </a:ln>
                  </pic:spPr>
                </pic:pic>
              </a:graphicData>
            </a:graphic>
          </wp:inline>
        </w:drawing>
      </w:r>
    </w:p>
    <w:p w14:paraId="256031FF">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b/>
          <w:bCs/>
          <w:color w:val="000000" w:themeColor="text1"/>
          <w:sz w:val="18"/>
          <w:szCs w:val="18"/>
          <w14:textFill>
            <w14:solidFill>
              <w14:schemeClr w14:val="tx1"/>
            </w14:solidFill>
          </w14:textFill>
        </w:rPr>
        <w:t>Fig. S</w:t>
      </w:r>
      <w:r>
        <w:rPr>
          <w:rFonts w:ascii="Times New Roman" w:hAnsi="Times New Roman" w:cs="Times New Roman"/>
          <w:b/>
          <w:bCs/>
          <w:color w:val="000000" w:themeColor="text1"/>
          <w:sz w:val="18"/>
          <w:szCs w:val="18"/>
          <w14:textFill>
            <w14:solidFill>
              <w14:schemeClr w14:val="tx1"/>
            </w14:solidFill>
          </w14:textFill>
        </w:rPr>
        <w:t>6</w:t>
      </w:r>
      <w:r>
        <w:rPr>
          <w:rFonts w:hint="eastAsia" w:ascii="Times New Roman" w:hAnsi="Times New Roman" w:cs="Times New Roman"/>
          <w:b/>
          <w:bCs/>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 xml:space="preserve"> A linear correlation between log(i) and log(v) at both the reduction and oxidation peaks for NCS/CS@LC</w:t>
      </w:r>
      <w:r>
        <w:rPr>
          <w:rFonts w:hint="eastAsia" w:ascii="Times New Roman" w:hAnsi="Times New Roman" w:cs="Times New Roman"/>
          <w:color w:val="000000" w:themeColor="text1"/>
          <w:sz w:val="18"/>
          <w:szCs w:val="18"/>
          <w:vertAlign w:val="subscript"/>
          <w14:textFill>
            <w14:solidFill>
              <w14:schemeClr w14:val="tx1"/>
            </w14:solidFill>
          </w14:textFill>
        </w:rPr>
        <w:t>50</w:t>
      </w:r>
      <w:r>
        <w:rPr>
          <w:rFonts w:hint="eastAsia" w:ascii="Times New Roman" w:hAnsi="Times New Roman" w:cs="Times New Roman"/>
          <w:color w:val="000000" w:themeColor="text1"/>
          <w:sz w:val="18"/>
          <w:szCs w:val="18"/>
          <w14:textFill>
            <w14:solidFill>
              <w14:schemeClr w14:val="tx1"/>
            </w14:solidFill>
          </w14:textFill>
        </w:rPr>
        <w:t xml:space="preserve"> electrode.</w:t>
      </w:r>
    </w:p>
    <w:p w14:paraId="766ABA08">
      <w:pPr>
        <w:jc w:val="center"/>
        <w:rPr>
          <w:rFonts w:ascii="Times New Roman" w:hAnsi="Times New Roman" w:cs="Times New Roman"/>
          <w:color w:val="000000" w:themeColor="text1"/>
          <w14:textFill>
            <w14:solidFill>
              <w14:schemeClr w14:val="tx1"/>
            </w14:solidFill>
          </w14:textFill>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Segoe Print"/>
    <w:panose1 w:val="02020609040205080304"/>
    <w:charset w:val="00"/>
    <w:family w:val="auto"/>
    <w:pitch w:val="default"/>
    <w:sig w:usb0="00000000" w:usb1="00000000" w:usb2="00000000" w:usb3="00000000" w:csb0="00000000" w:csb1="00000000"/>
  </w:font>
  <w:font w:name="ＭＳ 明朝">
    <w:altName w:val="AMGD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0EF1FA0D">
      <w:pPr>
        <w:pStyle w:val="5"/>
        <w:rPr>
          <w:rFonts w:ascii="Times New Roman" w:hAnsi="Times New Roman" w:cs="Times New Roman"/>
        </w:rPr>
      </w:pPr>
      <w:r>
        <w:rPr>
          <w:rStyle w:val="9"/>
          <w:rFonts w:ascii="Times New Roman" w:hAnsi="Times New Roman" w:cs="Times New Roman"/>
        </w:rPr>
        <w:t>*</w:t>
      </w:r>
      <w:r>
        <w:rPr>
          <w:rFonts w:ascii="Times New Roman" w:hAnsi="Times New Roman" w:cs="Times New Roman"/>
        </w:rPr>
        <w:t xml:space="preserve"> Corresponding authors.</w:t>
      </w:r>
    </w:p>
    <w:p w14:paraId="74128A7A">
      <w:pPr>
        <w:pStyle w:val="5"/>
        <w:rPr>
          <w:rFonts w:ascii="Times New Roman" w:hAnsi="Times New Roman" w:cs="Times New Roman"/>
        </w:rPr>
      </w:pPr>
      <w:r>
        <w:rPr>
          <w:rFonts w:ascii="Times New Roman" w:hAnsi="Times New Roman" w:cs="Times New Roman"/>
        </w:rPr>
        <w:t xml:space="preserve">Email addresses: </w:t>
      </w:r>
      <w:r>
        <w:fldChar w:fldCharType="begin"/>
      </w:r>
      <w:r>
        <w:instrText xml:space="preserve"> HYPERLINK "mailto:qlgdxyb@qlu.edu.cn" </w:instrText>
      </w:r>
      <w:r>
        <w:fldChar w:fldCharType="separate"/>
      </w:r>
      <w:r>
        <w:rPr>
          <w:rStyle w:val="8"/>
          <w:rFonts w:ascii="Times New Roman" w:hAnsi="Times New Roman" w:cs="Times New Roman"/>
        </w:rPr>
        <w:t>qlgdxyb@qlu.edu.cn</w:t>
      </w:r>
      <w:r>
        <w:rPr>
          <w:rStyle w:val="8"/>
          <w:rFonts w:ascii="Times New Roman" w:hAnsi="Times New Roman" w:cs="Times New Roman"/>
        </w:rPr>
        <w:fldChar w:fldCharType="end"/>
      </w:r>
      <w:r>
        <w:rPr>
          <w:rFonts w:ascii="Times New Roman" w:hAnsi="Times New Roman" w:cs="Times New Roman"/>
        </w:rPr>
        <w:t xml:space="preserve"> (Y. Xi), </w:t>
      </w:r>
      <w:r>
        <w:fldChar w:fldCharType="begin"/>
      </w:r>
      <w:r>
        <w:instrText xml:space="preserve"> HYPERLINK "mailto:031142@htu.edu.cn" </w:instrText>
      </w:r>
      <w:r>
        <w:fldChar w:fldCharType="separate"/>
      </w:r>
      <w:r>
        <w:rPr>
          <w:rStyle w:val="8"/>
          <w:rFonts w:ascii="Times New Roman" w:hAnsi="Times New Roman" w:cs="Times New Roman"/>
        </w:rPr>
        <w:t>031142@htu.edu.cn</w:t>
      </w:r>
      <w:r>
        <w:rPr>
          <w:rStyle w:val="8"/>
          <w:rFonts w:ascii="Times New Roman" w:hAnsi="Times New Roman" w:cs="Times New Roman"/>
        </w:rPr>
        <w:fldChar w:fldCharType="end"/>
      </w:r>
      <w:r>
        <w:rPr>
          <w:rFonts w:ascii="Times New Roman" w:hAnsi="Times New Roman" w:cs="Times New Roman"/>
        </w:rPr>
        <w:t xml:space="preserve"> (R. Liang).</w:t>
      </w:r>
    </w:p>
  </w:footnote>
  <w:footnote w:id="1">
    <w:p w14:paraId="06576EA6">
      <w:pPr>
        <w:pStyle w:val="5"/>
      </w:pPr>
      <w:r>
        <w:rPr>
          <w:rFonts w:ascii="Times New Roman" w:hAnsi="Times New Roman" w:cs="Times New Roman"/>
          <w:sz w:val="24"/>
          <w:vertAlign w:val="superscript"/>
        </w:rPr>
        <w:t>†</w:t>
      </w:r>
      <w:r>
        <w:rPr>
          <w:rFonts w:hint="eastAsia" w:ascii="Times New Roman" w:hAnsi="Times New Roman" w:cs="Times New Roman"/>
          <w:sz w:val="24"/>
          <w:vertAlign w:val="superscript"/>
        </w:rPr>
        <w:t xml:space="preserve"> E</w:t>
      </w:r>
      <w:r>
        <w:rPr>
          <w:rFonts w:ascii="Times New Roman" w:hAnsi="Times New Roman" w:cs="Times New Roman"/>
          <w:sz w:val="24"/>
          <w:vertAlign w:val="superscript"/>
        </w:rPr>
        <w:t>qually contributed to this work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7E9"/>
    <w:rsid w:val="00006A63"/>
    <w:rsid w:val="00097B35"/>
    <w:rsid w:val="000A290E"/>
    <w:rsid w:val="000B2181"/>
    <w:rsid w:val="000B2A8C"/>
    <w:rsid w:val="00147AFF"/>
    <w:rsid w:val="0016583B"/>
    <w:rsid w:val="00185AF4"/>
    <w:rsid w:val="00254936"/>
    <w:rsid w:val="002B4BC2"/>
    <w:rsid w:val="00330390"/>
    <w:rsid w:val="00383522"/>
    <w:rsid w:val="004267EA"/>
    <w:rsid w:val="00486D01"/>
    <w:rsid w:val="00496DA9"/>
    <w:rsid w:val="00555FB1"/>
    <w:rsid w:val="00564897"/>
    <w:rsid w:val="005828E2"/>
    <w:rsid w:val="005B1409"/>
    <w:rsid w:val="005C321E"/>
    <w:rsid w:val="00656570"/>
    <w:rsid w:val="006707DE"/>
    <w:rsid w:val="006E1646"/>
    <w:rsid w:val="00715DED"/>
    <w:rsid w:val="007302BC"/>
    <w:rsid w:val="00840F4F"/>
    <w:rsid w:val="00841402"/>
    <w:rsid w:val="00897626"/>
    <w:rsid w:val="008C30F4"/>
    <w:rsid w:val="009047EC"/>
    <w:rsid w:val="00943826"/>
    <w:rsid w:val="00995BF6"/>
    <w:rsid w:val="009E70F5"/>
    <w:rsid w:val="00A317BE"/>
    <w:rsid w:val="00A42B22"/>
    <w:rsid w:val="00A719E8"/>
    <w:rsid w:val="00A846D8"/>
    <w:rsid w:val="00A967E9"/>
    <w:rsid w:val="00AE1467"/>
    <w:rsid w:val="00B46E72"/>
    <w:rsid w:val="00B96BFD"/>
    <w:rsid w:val="00C560E7"/>
    <w:rsid w:val="00C62515"/>
    <w:rsid w:val="00CA609B"/>
    <w:rsid w:val="00CA7F8C"/>
    <w:rsid w:val="00CB151F"/>
    <w:rsid w:val="00CB299F"/>
    <w:rsid w:val="00CC1749"/>
    <w:rsid w:val="00D43F33"/>
    <w:rsid w:val="00DC6E5F"/>
    <w:rsid w:val="00E04CE1"/>
    <w:rsid w:val="00E213D5"/>
    <w:rsid w:val="00E3455B"/>
    <w:rsid w:val="00E61E09"/>
    <w:rsid w:val="00E706AF"/>
    <w:rsid w:val="00F0450A"/>
    <w:rsid w:val="00F3035F"/>
    <w:rsid w:val="00F748D3"/>
    <w:rsid w:val="00FB6F23"/>
    <w:rsid w:val="00FC408B"/>
    <w:rsid w:val="011473B7"/>
    <w:rsid w:val="01EE7C08"/>
    <w:rsid w:val="021D2784"/>
    <w:rsid w:val="024C0DD3"/>
    <w:rsid w:val="027122D5"/>
    <w:rsid w:val="03791753"/>
    <w:rsid w:val="040C6A6B"/>
    <w:rsid w:val="0462668B"/>
    <w:rsid w:val="05D45367"/>
    <w:rsid w:val="060914B4"/>
    <w:rsid w:val="06133069"/>
    <w:rsid w:val="06316315"/>
    <w:rsid w:val="06747F80"/>
    <w:rsid w:val="073C7668"/>
    <w:rsid w:val="0754675F"/>
    <w:rsid w:val="077B0190"/>
    <w:rsid w:val="07A33243"/>
    <w:rsid w:val="07BC6E53"/>
    <w:rsid w:val="095011A8"/>
    <w:rsid w:val="099948FD"/>
    <w:rsid w:val="0D4A51DB"/>
    <w:rsid w:val="0ECA5559"/>
    <w:rsid w:val="112A0531"/>
    <w:rsid w:val="11E42DD6"/>
    <w:rsid w:val="12445622"/>
    <w:rsid w:val="14265E9D"/>
    <w:rsid w:val="150F0169"/>
    <w:rsid w:val="17F65611"/>
    <w:rsid w:val="18C5749D"/>
    <w:rsid w:val="1998697F"/>
    <w:rsid w:val="1AFB6F57"/>
    <w:rsid w:val="1BC7354C"/>
    <w:rsid w:val="1E195BB5"/>
    <w:rsid w:val="20734C57"/>
    <w:rsid w:val="2091237A"/>
    <w:rsid w:val="210B5C89"/>
    <w:rsid w:val="21E14C3C"/>
    <w:rsid w:val="22DB78DD"/>
    <w:rsid w:val="22FE17C8"/>
    <w:rsid w:val="23470083"/>
    <w:rsid w:val="235D4796"/>
    <w:rsid w:val="23A67EEB"/>
    <w:rsid w:val="23B56380"/>
    <w:rsid w:val="24AA57B9"/>
    <w:rsid w:val="27117D71"/>
    <w:rsid w:val="27A74232"/>
    <w:rsid w:val="288B5901"/>
    <w:rsid w:val="29074529"/>
    <w:rsid w:val="2A701253"/>
    <w:rsid w:val="2DB41456"/>
    <w:rsid w:val="2EE87609"/>
    <w:rsid w:val="2EF75A9F"/>
    <w:rsid w:val="30ED7159"/>
    <w:rsid w:val="313C59EB"/>
    <w:rsid w:val="336D27D3"/>
    <w:rsid w:val="340D18C0"/>
    <w:rsid w:val="34337579"/>
    <w:rsid w:val="34871673"/>
    <w:rsid w:val="382D2531"/>
    <w:rsid w:val="396B3311"/>
    <w:rsid w:val="39BF18AF"/>
    <w:rsid w:val="3A3C4CAD"/>
    <w:rsid w:val="3AFA0DF0"/>
    <w:rsid w:val="3F161F71"/>
    <w:rsid w:val="40AD2461"/>
    <w:rsid w:val="416074D3"/>
    <w:rsid w:val="41A27AEC"/>
    <w:rsid w:val="42350960"/>
    <w:rsid w:val="42AD6748"/>
    <w:rsid w:val="43F347FC"/>
    <w:rsid w:val="45132AAF"/>
    <w:rsid w:val="457D5F5C"/>
    <w:rsid w:val="464E1FF0"/>
    <w:rsid w:val="46B869A4"/>
    <w:rsid w:val="46D22C21"/>
    <w:rsid w:val="47F941DE"/>
    <w:rsid w:val="48E704DA"/>
    <w:rsid w:val="4A4706FF"/>
    <w:rsid w:val="4AA523FB"/>
    <w:rsid w:val="4C082C41"/>
    <w:rsid w:val="4C371778"/>
    <w:rsid w:val="4C746529"/>
    <w:rsid w:val="4CA94424"/>
    <w:rsid w:val="4CAE37E9"/>
    <w:rsid w:val="4CE76CFB"/>
    <w:rsid w:val="4D3360E7"/>
    <w:rsid w:val="51E657D3"/>
    <w:rsid w:val="53177C0E"/>
    <w:rsid w:val="542D76E9"/>
    <w:rsid w:val="544607AB"/>
    <w:rsid w:val="560E52F8"/>
    <w:rsid w:val="56286616"/>
    <w:rsid w:val="56E04EE6"/>
    <w:rsid w:val="5875165E"/>
    <w:rsid w:val="589046EA"/>
    <w:rsid w:val="5967369D"/>
    <w:rsid w:val="5ABB5323"/>
    <w:rsid w:val="5B2D6220"/>
    <w:rsid w:val="5CCC1A69"/>
    <w:rsid w:val="5CE943C9"/>
    <w:rsid w:val="5D6879E4"/>
    <w:rsid w:val="5E413486"/>
    <w:rsid w:val="5EE94B54"/>
    <w:rsid w:val="5F245B8C"/>
    <w:rsid w:val="60A76A75"/>
    <w:rsid w:val="61A60ADB"/>
    <w:rsid w:val="62514EEA"/>
    <w:rsid w:val="6367429A"/>
    <w:rsid w:val="638A100D"/>
    <w:rsid w:val="63D07BF3"/>
    <w:rsid w:val="64F1206D"/>
    <w:rsid w:val="66D659BE"/>
    <w:rsid w:val="672A3F5C"/>
    <w:rsid w:val="692934EF"/>
    <w:rsid w:val="695B664F"/>
    <w:rsid w:val="69765236"/>
    <w:rsid w:val="69C04704"/>
    <w:rsid w:val="69F83E9D"/>
    <w:rsid w:val="6A1C4030"/>
    <w:rsid w:val="6A244C92"/>
    <w:rsid w:val="6A462E5B"/>
    <w:rsid w:val="6B00125C"/>
    <w:rsid w:val="6B480E55"/>
    <w:rsid w:val="6DF17581"/>
    <w:rsid w:val="6F964848"/>
    <w:rsid w:val="6FE4739E"/>
    <w:rsid w:val="707F0E75"/>
    <w:rsid w:val="708B7819"/>
    <w:rsid w:val="70A703CB"/>
    <w:rsid w:val="7141437C"/>
    <w:rsid w:val="719B7F30"/>
    <w:rsid w:val="71C805F9"/>
    <w:rsid w:val="71CF1988"/>
    <w:rsid w:val="71DB657E"/>
    <w:rsid w:val="72621748"/>
    <w:rsid w:val="73966C01"/>
    <w:rsid w:val="73E6120B"/>
    <w:rsid w:val="74365CEE"/>
    <w:rsid w:val="74A7099A"/>
    <w:rsid w:val="774E15A1"/>
    <w:rsid w:val="77D97DC8"/>
    <w:rsid w:val="781B5927"/>
    <w:rsid w:val="78A91184"/>
    <w:rsid w:val="7D16490F"/>
    <w:rsid w:val="7D23702C"/>
    <w:rsid w:val="7DA0067C"/>
    <w:rsid w:val="7E9975A5"/>
    <w:rsid w:val="7F623E3B"/>
    <w:rsid w:val="7F8738A2"/>
    <w:rsid w:val="7FA206DC"/>
    <w:rsid w:val="7FDD3D43"/>
    <w:rsid w:val="7FE71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footnote text"/>
    <w:basedOn w:val="1"/>
    <w:link w:val="13"/>
    <w:unhideWhenUsed/>
    <w:qFormat/>
    <w:uiPriority w:val="0"/>
    <w:pPr>
      <w:snapToGrid w:val="0"/>
      <w:jc w:val="left"/>
    </w:pPr>
    <w:rPr>
      <w:sz w:val="18"/>
      <w:szCs w:val="18"/>
    </w:rPr>
  </w:style>
  <w:style w:type="character" w:styleId="8">
    <w:name w:val="Hyperlink"/>
    <w:basedOn w:val="7"/>
    <w:unhideWhenUsed/>
    <w:qFormat/>
    <w:uiPriority w:val="99"/>
    <w:rPr>
      <w:color w:val="0000FF" w:themeColor="hyperlink"/>
      <w:u w:val="single"/>
      <w14:textFill>
        <w14:solidFill>
          <w14:schemeClr w14:val="hlink"/>
        </w14:solidFill>
      </w14:textFill>
    </w:rPr>
  </w:style>
  <w:style w:type="character" w:styleId="9">
    <w:name w:val="footnote reference"/>
    <w:basedOn w:val="7"/>
    <w:unhideWhenUsed/>
    <w:qFormat/>
    <w:uiPriority w:val="0"/>
    <w:rPr>
      <w:vertAlign w:val="superscript"/>
    </w:rPr>
  </w:style>
  <w:style w:type="character" w:customStyle="1" w:styleId="10">
    <w:name w:val="批注框文本 字符"/>
    <w:basedOn w:val="7"/>
    <w:link w:val="2"/>
    <w:semiHidden/>
    <w:qFormat/>
    <w:uiPriority w:val="99"/>
    <w:rPr>
      <w:sz w:val="18"/>
      <w:szCs w:val="18"/>
    </w:rPr>
  </w:style>
  <w:style w:type="character" w:customStyle="1" w:styleId="11">
    <w:name w:val="页眉 字符"/>
    <w:basedOn w:val="7"/>
    <w:link w:val="4"/>
    <w:qFormat/>
    <w:uiPriority w:val="99"/>
    <w:rPr>
      <w:sz w:val="18"/>
      <w:szCs w:val="18"/>
    </w:rPr>
  </w:style>
  <w:style w:type="character" w:customStyle="1" w:styleId="12">
    <w:name w:val="页脚 字符"/>
    <w:basedOn w:val="7"/>
    <w:link w:val="3"/>
    <w:qFormat/>
    <w:uiPriority w:val="99"/>
    <w:rPr>
      <w:sz w:val="18"/>
      <w:szCs w:val="18"/>
    </w:rPr>
  </w:style>
  <w:style w:type="character" w:customStyle="1" w:styleId="13">
    <w:name w:val="脚注文本 字符"/>
    <w:basedOn w:val="7"/>
    <w:link w:val="5"/>
    <w:semiHidden/>
    <w:qFormat/>
    <w:uiPriority w:val="99"/>
    <w:rPr>
      <w:sz w:val="18"/>
      <w:szCs w:val="18"/>
    </w:rPr>
  </w:style>
  <w:style w:type="paragraph" w:customStyle="1" w:styleId="14">
    <w:name w:val="Title2"/>
    <w:basedOn w:val="1"/>
    <w:qFormat/>
    <w:uiPriority w:val="0"/>
    <w:pPr>
      <w:widowControl/>
      <w:jc w:val="left"/>
    </w:pPr>
    <w:rPr>
      <w:rFonts w:ascii="Times New Roman" w:hAnsi="Times New Roman" w:eastAsia="MS Mincho" w:cs="Times New Roman"/>
      <w:b/>
      <w:kern w:val="0"/>
      <w:sz w:val="24"/>
      <w:szCs w:val="24"/>
      <w:lang w:eastAsia="ja-JP"/>
    </w:rPr>
  </w:style>
  <w:style w:type="paragraph" w:customStyle="1" w:styleId="15">
    <w:name w:val="EndNote Bibliography"/>
    <w:qFormat/>
    <w:uiPriority w:val="0"/>
    <w:pPr>
      <w:jc w:val="both"/>
    </w:pPr>
    <w:rPr>
      <w:rFonts w:ascii="Calibri" w:hAnsi="Calibri" w:cs="Calibri" w:eastAsiaTheme="minorEastAsia"/>
      <w:kern w:val="2"/>
      <w:szCs w:val="24"/>
      <w:lang w:val="en-US" w:eastAsia="zh-CN" w:bidi="ar-SA"/>
    </w:rPr>
  </w:style>
  <w:style w:type="paragraph" w:customStyle="1" w:styleId="16">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D012F-DCDC-4B95-B65C-D90AEE2B382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742</Words>
  <Characters>4358</Characters>
  <Lines>103</Lines>
  <Paragraphs>23</Paragraphs>
  <TotalTime>0</TotalTime>
  <ScaleCrop>false</ScaleCrop>
  <LinksUpToDate>false</LinksUpToDate>
  <CharactersWithSpaces>5080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2026-01-08T07:11:00Z</dcterms:created>
  <dc:creator>HSDHXX312</dc:creator>
  <cp:lastModifiedBy>@ 华@</cp:lastModifiedBy>
  <dcterms:modified xsi:type="dcterms:W3CDTF">2026-02-09T02:02:49Z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E4A8AE562759452FBEC8C71A880A3FB4_13</vt:lpwstr>
  </property>
  <property fmtid="{D5CDD505-2E9C-101B-9397-08002B2CF9AE}" pid="4" name="KSOTemplateDocerSaveRecord">
    <vt:lpwstr>eyJoZGlkIjoiYTU1NWFjODI5NzUxNzg3NDcyNmZiNDllZmY1Mzg0ZWEiLCJ1c2VySWQiOiI1NDYwODA1MjMifQ==</vt:lpwstr>
  </property>
</Properties>
</file>