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394AA">
      <w:pPr>
        <w:spacing w:line="48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OLE_LINK94"/>
      <w:bookmarkStart w:id="1" w:name="OLE_LINK41"/>
      <w:r>
        <w:rPr>
          <w:rFonts w:ascii="Times New Roman" w:hAnsi="Times New Roman" w:eastAsia="宋体" w:cs="Times New Roman"/>
          <w:b/>
          <w:bCs/>
          <w:sz w:val="28"/>
          <w:szCs w:val="28"/>
        </w:rPr>
        <w:t>Supplemental Materials</w:t>
      </w:r>
    </w:p>
    <w:p w14:paraId="1CAA4326">
      <w:pPr>
        <w:spacing w:line="48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Ca(OH)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-Modified </w:t>
      </w:r>
      <w:r>
        <w:rPr>
          <w:rFonts w:ascii="Times New Roman" w:hAnsi="Times New Roman" w:eastAsia="宋体" w:cs="Times New Roman"/>
          <w:b/>
          <w:bCs/>
          <w:i/>
          <w:iCs/>
          <w:sz w:val="28"/>
          <w:szCs w:val="28"/>
        </w:rPr>
        <w:t xml:space="preserve">Camellia oleifera 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shell</w:t>
      </w:r>
      <w:bookmarkStart w:id="2" w:name="_GoBack"/>
      <w:bookmarkEnd w:id="2"/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b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iochar: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p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reparation,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c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haracterization and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a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dsorption of NH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vertAlign w:val="subscript"/>
        </w:rPr>
        <w:t>4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vertAlign w:val="superscript"/>
        </w:rPr>
        <w:t>+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 and PO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vertAlign w:val="subscript"/>
        </w:rPr>
        <w:t>4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vertAlign w:val="superscript"/>
        </w:rPr>
        <w:t>3-</w:t>
      </w:r>
    </w:p>
    <w:bookmarkEnd w:id="0"/>
    <w:p w14:paraId="4ADEC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Min Chen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†,1</w:t>
      </w:r>
      <w:r>
        <w:rPr>
          <w:rFonts w:ascii="Times New Roman" w:hAnsi="Times New Roman" w:cs="Times New Roman"/>
          <w:sz w:val="28"/>
          <w:szCs w:val="28"/>
        </w:rPr>
        <w:t>, Xichang Wu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†,1</w:t>
      </w:r>
      <w:r>
        <w:rPr>
          <w:rFonts w:ascii="Times New Roman" w:hAnsi="Times New Roman" w:cs="Times New Roman"/>
          <w:sz w:val="28"/>
          <w:szCs w:val="28"/>
        </w:rPr>
        <w:t>, Yu Wang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</w:rPr>
        <w:t>Jie</w:t>
      </w:r>
      <w:r>
        <w:rPr>
          <w:rFonts w:ascii="Times New Roman" w:hAnsi="Times New Roman" w:cs="Times New Roman"/>
          <w:sz w:val="28"/>
          <w:szCs w:val="28"/>
        </w:rPr>
        <w:t xml:space="preserve"> Wang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eastAsia" w:ascii="Times New Roman" w:hAnsi="Times New Roman" w:cs="Times New Roman"/>
          <w:sz w:val="28"/>
          <w:szCs w:val="28"/>
        </w:rPr>
        <w:t xml:space="preserve"> Chaochan Li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Tianhua Yu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Anping Wang</w:t>
      </w:r>
      <w:bookmarkEnd w:id="1"/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cr/>
      </w:r>
    </w:p>
    <w:p w14:paraId="5FFDAFE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Key Laboratory of Mountain Information System and Ecological Environment Protection, Guizhou Normal University, Guiyang, 550025, China</w:t>
      </w:r>
      <w:r>
        <w:rPr>
          <w:rFonts w:hint="eastAsia" w:ascii="Times New Roman" w:hAnsi="Times New Roman" w:cs="Times New Roman"/>
          <w:sz w:val="28"/>
          <w:szCs w:val="28"/>
        </w:rPr>
        <w:t>.</w:t>
      </w:r>
    </w:p>
    <w:p w14:paraId="22520F2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i/>
          <w:iCs/>
          <w:sz w:val="28"/>
          <w:szCs w:val="28"/>
          <w:vertAlign w:val="superscript"/>
        </w:rPr>
        <w:t xml:space="preserve">2 </w:t>
      </w:r>
      <w:r>
        <w:rPr>
          <w:rFonts w:hint="eastAsia" w:ascii="Times New Roman" w:hAnsi="Times New Roman" w:cs="Times New Roman"/>
          <w:sz w:val="28"/>
          <w:szCs w:val="28"/>
        </w:rPr>
        <w:t>Qiandongnan Agriculture Science Institute, Kai Li, 556099, China.</w:t>
      </w:r>
    </w:p>
    <w:p w14:paraId="411D1E8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Arial" w:hAnsi="Arial" w:eastAsia="宋体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† </w:t>
      </w:r>
      <w:r>
        <w:rPr>
          <w:rFonts w:ascii="Times New Roman" w:hAnsi="Times New Roman" w:cs="Times New Roman"/>
          <w:sz w:val="28"/>
          <w:szCs w:val="28"/>
        </w:rPr>
        <w:t>Min Chen</w:t>
      </w:r>
      <w:r>
        <w:rPr>
          <w:rFonts w:hint="eastAsia" w:ascii="Times New Roman" w:hAnsi="Times New Roman" w:cs="Times New Roman"/>
          <w:sz w:val="28"/>
          <w:szCs w:val="28"/>
        </w:rPr>
        <w:t xml:space="preserve"> and Xichang Wu are co-first-authors and contributed equally to this paper.</w:t>
      </w:r>
    </w:p>
    <w:p w14:paraId="1528A0B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Corresponding author</w:t>
      </w:r>
      <w:r>
        <w:rPr>
          <w:rFonts w:ascii="Times New Roman" w:hAnsi="Times New Roman" w:cs="Times New Roman"/>
          <w:sz w:val="28"/>
          <w:szCs w:val="28"/>
        </w:rPr>
        <w:t xml:space="preserve">, E-mail: </w:t>
      </w:r>
      <w:r>
        <w:rPr>
          <w:rFonts w:hint="eastAsia" w:ascii="Times New Roman" w:hAnsi="Times New Roman" w:cs="Times New Roman"/>
          <w:sz w:val="28"/>
          <w:szCs w:val="28"/>
        </w:rPr>
        <w:t>xbmdwjie@163.com (JW);</w:t>
      </w:r>
    </w:p>
    <w:p w14:paraId="52AB7D5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anping-wang@gznu.edu.cn (AW)</w:t>
      </w:r>
    </w:p>
    <w:p w14:paraId="7528CB81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F6A2358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230CC36B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28C753FA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0B6B1EB8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63F170D6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71EE72C7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79249198">
      <w:pPr>
        <w:rPr>
          <w:rFonts w:hint="eastAsia"/>
        </w:rPr>
      </w:pPr>
    </w:p>
    <w:p w14:paraId="0328A9A8"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22"/>
        </w:rPr>
      </w:pPr>
    </w:p>
    <w:p w14:paraId="4C0F77E9"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Table</w:t>
      </w:r>
      <w:r>
        <w:rPr>
          <w:rFonts w:hint="eastAsia" w:ascii="Times New Roman" w:hAnsi="Times New Roman" w:eastAsia="宋体" w:cs="Times New Roman"/>
          <w:sz w:val="22"/>
        </w:rPr>
        <w:t xml:space="preserve"> S1</w:t>
      </w:r>
      <w:r>
        <w:rPr>
          <w:rFonts w:ascii="Times New Roman" w:hAnsi="Times New Roman" w:eastAsia="宋体" w:cs="Times New Roman"/>
          <w:sz w:val="22"/>
        </w:rPr>
        <w:t xml:space="preserve"> Preparation of modified biochar for adsorption of NH</w:t>
      </w:r>
      <w:r>
        <w:rPr>
          <w:rFonts w:ascii="Times New Roman" w:hAnsi="Times New Roman" w:eastAsia="宋体" w:cs="Times New Roman"/>
          <w:sz w:val="22"/>
          <w:vertAlign w:val="subscript"/>
        </w:rPr>
        <w:t>4</w:t>
      </w:r>
      <w:r>
        <w:rPr>
          <w:rFonts w:ascii="Times New Roman" w:hAnsi="Times New Roman" w:eastAsia="宋体" w:cs="Times New Roman"/>
          <w:sz w:val="22"/>
          <w:vertAlign w:val="superscript"/>
        </w:rPr>
        <w:t>+</w:t>
      </w:r>
      <w:r>
        <w:rPr>
          <w:rFonts w:ascii="Times New Roman" w:hAnsi="Times New Roman" w:eastAsia="宋体" w:cs="Times New Roman"/>
          <w:sz w:val="22"/>
        </w:rPr>
        <w:t xml:space="preserve"> and PO</w:t>
      </w:r>
      <w:r>
        <w:rPr>
          <w:rFonts w:ascii="Times New Roman" w:hAnsi="Times New Roman" w:eastAsia="宋体" w:cs="Times New Roman"/>
          <w:sz w:val="22"/>
          <w:vertAlign w:val="subscript"/>
        </w:rPr>
        <w:t>4</w:t>
      </w:r>
      <w:r>
        <w:rPr>
          <w:rFonts w:ascii="Times New Roman" w:hAnsi="Times New Roman" w:eastAsia="宋体" w:cs="Times New Roman"/>
          <w:sz w:val="22"/>
          <w:vertAlign w:val="superscript"/>
        </w:rPr>
        <w:t>3-</w:t>
      </w:r>
    </w:p>
    <w:tbl>
      <w:tblPr>
        <w:tblStyle w:val="16"/>
        <w:tblW w:w="837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023"/>
        <w:gridCol w:w="1002"/>
        <w:gridCol w:w="2098"/>
        <w:gridCol w:w="1007"/>
        <w:gridCol w:w="1267"/>
        <w:gridCol w:w="1036"/>
      </w:tblGrid>
      <w:tr w14:paraId="3457B04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B1EAE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Serial Number</w:t>
            </w:r>
          </w:p>
          <w:p w14:paraId="0877F3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C13EA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Name</w:t>
            </w:r>
          </w:p>
          <w:p w14:paraId="7CBF5E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9E9C8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m</w:t>
            </w:r>
          </w:p>
          <w:p w14:paraId="549FAE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（g）</w:t>
            </w:r>
          </w:p>
        </w:tc>
        <w:tc>
          <w:tcPr>
            <w:tcW w:w="211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D1511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Chemical reagents</w:t>
            </w:r>
          </w:p>
          <w:p w14:paraId="0D0758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C4E75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Water</w:t>
            </w:r>
          </w:p>
          <w:p w14:paraId="6DD15D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（mL）</w:t>
            </w:r>
          </w:p>
        </w:tc>
        <w:tc>
          <w:tcPr>
            <w:tcW w:w="126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FA3B6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Pyrolysis temperature</w:t>
            </w:r>
          </w:p>
          <w:p w14:paraId="13EA9D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（℃）</w:t>
            </w:r>
          </w:p>
        </w:tc>
        <w:tc>
          <w:tcPr>
            <w:tcW w:w="103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0111E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Pyrolysis time</w:t>
            </w:r>
          </w:p>
          <w:p w14:paraId="2AB672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（h）</w:t>
            </w:r>
          </w:p>
        </w:tc>
      </w:tr>
      <w:tr w14:paraId="4B7BB1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auto" w:sz="6" w:space="0"/>
            </w:tcBorders>
            <w:vAlign w:val="center"/>
          </w:tcPr>
          <w:p w14:paraId="231252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single" w:color="auto" w:sz="6" w:space="0"/>
            </w:tcBorders>
            <w:vAlign w:val="center"/>
          </w:tcPr>
          <w:p w14:paraId="11055F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BC1-500</w:t>
            </w:r>
          </w:p>
        </w:tc>
        <w:tc>
          <w:tcPr>
            <w:tcW w:w="1008" w:type="dxa"/>
            <w:tcBorders>
              <w:top w:val="single" w:color="auto" w:sz="6" w:space="0"/>
            </w:tcBorders>
            <w:vAlign w:val="center"/>
          </w:tcPr>
          <w:p w14:paraId="162FF9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2114" w:type="dxa"/>
            <w:tcBorders>
              <w:top w:val="single" w:color="auto" w:sz="6" w:space="0"/>
            </w:tcBorders>
            <w:vAlign w:val="center"/>
          </w:tcPr>
          <w:p w14:paraId="499667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 g CaCl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·2H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O</w:t>
            </w:r>
          </w:p>
        </w:tc>
        <w:tc>
          <w:tcPr>
            <w:tcW w:w="1008" w:type="dxa"/>
            <w:tcBorders>
              <w:top w:val="single" w:color="auto" w:sz="6" w:space="0"/>
            </w:tcBorders>
            <w:vAlign w:val="center"/>
          </w:tcPr>
          <w:p w14:paraId="2A107E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150</w:t>
            </w:r>
          </w:p>
        </w:tc>
        <w:tc>
          <w:tcPr>
            <w:tcW w:w="1267" w:type="dxa"/>
            <w:tcBorders>
              <w:top w:val="single" w:color="auto" w:sz="6" w:space="0"/>
            </w:tcBorders>
            <w:vAlign w:val="center"/>
          </w:tcPr>
          <w:p w14:paraId="55D561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036" w:type="dxa"/>
            <w:tcBorders>
              <w:top w:val="single" w:color="auto" w:sz="6" w:space="0"/>
            </w:tcBorders>
            <w:vAlign w:val="center"/>
          </w:tcPr>
          <w:p w14:paraId="760226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</w:tr>
      <w:tr w14:paraId="2FBA71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 w14:paraId="6344D7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000" w:type="dxa"/>
            <w:vAlign w:val="center"/>
          </w:tcPr>
          <w:p w14:paraId="6303B3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BC1-600</w:t>
            </w:r>
          </w:p>
        </w:tc>
        <w:tc>
          <w:tcPr>
            <w:tcW w:w="1008" w:type="dxa"/>
            <w:vAlign w:val="center"/>
          </w:tcPr>
          <w:p w14:paraId="200B42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2114" w:type="dxa"/>
            <w:vAlign w:val="center"/>
          </w:tcPr>
          <w:p w14:paraId="6AF37C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 g CaCl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·2H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O</w:t>
            </w:r>
          </w:p>
        </w:tc>
        <w:tc>
          <w:tcPr>
            <w:tcW w:w="1008" w:type="dxa"/>
            <w:vAlign w:val="center"/>
          </w:tcPr>
          <w:p w14:paraId="1A083F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150</w:t>
            </w:r>
          </w:p>
        </w:tc>
        <w:tc>
          <w:tcPr>
            <w:tcW w:w="1267" w:type="dxa"/>
            <w:vAlign w:val="center"/>
          </w:tcPr>
          <w:p w14:paraId="497B1E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600</w:t>
            </w:r>
          </w:p>
        </w:tc>
        <w:tc>
          <w:tcPr>
            <w:tcW w:w="1036" w:type="dxa"/>
            <w:vAlign w:val="center"/>
          </w:tcPr>
          <w:p w14:paraId="134DEE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</w:tr>
      <w:tr w14:paraId="1AD090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 w14:paraId="1E9D80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000" w:type="dxa"/>
            <w:vAlign w:val="center"/>
          </w:tcPr>
          <w:p w14:paraId="1B4F8B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BC2-500</w:t>
            </w:r>
          </w:p>
        </w:tc>
        <w:tc>
          <w:tcPr>
            <w:tcW w:w="1008" w:type="dxa"/>
            <w:vAlign w:val="center"/>
          </w:tcPr>
          <w:p w14:paraId="55980D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2114" w:type="dxa"/>
            <w:vAlign w:val="center"/>
          </w:tcPr>
          <w:p w14:paraId="45453C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10 g C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H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N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、30 g FeCl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·6H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O</w:t>
            </w:r>
          </w:p>
        </w:tc>
        <w:tc>
          <w:tcPr>
            <w:tcW w:w="1008" w:type="dxa"/>
            <w:vAlign w:val="center"/>
          </w:tcPr>
          <w:p w14:paraId="0C343E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120</w:t>
            </w:r>
          </w:p>
        </w:tc>
        <w:tc>
          <w:tcPr>
            <w:tcW w:w="1267" w:type="dxa"/>
            <w:vAlign w:val="center"/>
          </w:tcPr>
          <w:p w14:paraId="4B51E6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500</w:t>
            </w:r>
          </w:p>
        </w:tc>
        <w:tc>
          <w:tcPr>
            <w:tcW w:w="1036" w:type="dxa"/>
            <w:vAlign w:val="center"/>
          </w:tcPr>
          <w:p w14:paraId="20092B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2</w:t>
            </w:r>
          </w:p>
        </w:tc>
      </w:tr>
      <w:tr w14:paraId="75D18B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 w14:paraId="4E4B48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000" w:type="dxa"/>
            <w:vAlign w:val="center"/>
          </w:tcPr>
          <w:p w14:paraId="3929B9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BC2-600</w:t>
            </w:r>
          </w:p>
        </w:tc>
        <w:tc>
          <w:tcPr>
            <w:tcW w:w="1008" w:type="dxa"/>
            <w:vAlign w:val="center"/>
          </w:tcPr>
          <w:p w14:paraId="10C25E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2114" w:type="dxa"/>
            <w:vAlign w:val="center"/>
          </w:tcPr>
          <w:p w14:paraId="0BAA83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10 g C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H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N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、30 g FeCl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·6H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O</w:t>
            </w:r>
          </w:p>
        </w:tc>
        <w:tc>
          <w:tcPr>
            <w:tcW w:w="1008" w:type="dxa"/>
            <w:vAlign w:val="center"/>
          </w:tcPr>
          <w:p w14:paraId="279218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120</w:t>
            </w:r>
          </w:p>
        </w:tc>
        <w:tc>
          <w:tcPr>
            <w:tcW w:w="1267" w:type="dxa"/>
            <w:vAlign w:val="center"/>
          </w:tcPr>
          <w:p w14:paraId="2ACD02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600</w:t>
            </w:r>
          </w:p>
        </w:tc>
        <w:tc>
          <w:tcPr>
            <w:tcW w:w="1036" w:type="dxa"/>
            <w:vAlign w:val="center"/>
          </w:tcPr>
          <w:p w14:paraId="15EE66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2</w:t>
            </w:r>
          </w:p>
        </w:tc>
      </w:tr>
      <w:tr w14:paraId="053FED1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 w14:paraId="02E978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000" w:type="dxa"/>
            <w:vAlign w:val="center"/>
          </w:tcPr>
          <w:p w14:paraId="51C710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BC3-500</w:t>
            </w:r>
          </w:p>
        </w:tc>
        <w:tc>
          <w:tcPr>
            <w:tcW w:w="1008" w:type="dxa"/>
            <w:vAlign w:val="center"/>
          </w:tcPr>
          <w:p w14:paraId="5CDADE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2114" w:type="dxa"/>
            <w:vAlign w:val="center"/>
          </w:tcPr>
          <w:p w14:paraId="5387BD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0.02 mol FeCl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·6H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O、0.04 mol Mg(OH)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val="pt-BR"/>
              </w:rPr>
              <w:t>2</w:t>
            </w:r>
          </w:p>
        </w:tc>
        <w:tc>
          <w:tcPr>
            <w:tcW w:w="1008" w:type="dxa"/>
            <w:vAlign w:val="center"/>
          </w:tcPr>
          <w:p w14:paraId="19883A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100</w:t>
            </w:r>
          </w:p>
        </w:tc>
        <w:tc>
          <w:tcPr>
            <w:tcW w:w="1267" w:type="dxa"/>
            <w:vAlign w:val="center"/>
          </w:tcPr>
          <w:p w14:paraId="1A3779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500</w:t>
            </w:r>
          </w:p>
        </w:tc>
        <w:tc>
          <w:tcPr>
            <w:tcW w:w="1036" w:type="dxa"/>
            <w:vAlign w:val="center"/>
          </w:tcPr>
          <w:p w14:paraId="5D2C3D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pt-BR"/>
              </w:rPr>
              <w:t>2</w:t>
            </w:r>
          </w:p>
        </w:tc>
      </w:tr>
      <w:tr w14:paraId="6616D88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 w14:paraId="0076FE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000" w:type="dxa"/>
            <w:vAlign w:val="center"/>
          </w:tcPr>
          <w:p w14:paraId="6FFEB2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BC4-500</w:t>
            </w:r>
          </w:p>
        </w:tc>
        <w:tc>
          <w:tcPr>
            <w:tcW w:w="1008" w:type="dxa"/>
            <w:vAlign w:val="center"/>
          </w:tcPr>
          <w:p w14:paraId="191DC1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2114" w:type="dxa"/>
            <w:vAlign w:val="center"/>
          </w:tcPr>
          <w:p w14:paraId="25983A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0.1 mol MgO</w:t>
            </w:r>
          </w:p>
        </w:tc>
        <w:tc>
          <w:tcPr>
            <w:tcW w:w="1008" w:type="dxa"/>
            <w:vAlign w:val="center"/>
          </w:tcPr>
          <w:p w14:paraId="5BFCFA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14:paraId="132BDA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036" w:type="dxa"/>
            <w:vAlign w:val="center"/>
          </w:tcPr>
          <w:p w14:paraId="145A45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</w:tr>
      <w:tr w14:paraId="301384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 w14:paraId="157CF1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000" w:type="dxa"/>
            <w:vAlign w:val="center"/>
          </w:tcPr>
          <w:p w14:paraId="754BB7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BC4-600</w:t>
            </w:r>
          </w:p>
        </w:tc>
        <w:tc>
          <w:tcPr>
            <w:tcW w:w="1008" w:type="dxa"/>
            <w:vAlign w:val="center"/>
          </w:tcPr>
          <w:p w14:paraId="74D98C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2114" w:type="dxa"/>
            <w:vAlign w:val="center"/>
          </w:tcPr>
          <w:p w14:paraId="590217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0.1 mol MgO</w:t>
            </w:r>
          </w:p>
        </w:tc>
        <w:tc>
          <w:tcPr>
            <w:tcW w:w="1008" w:type="dxa"/>
            <w:vAlign w:val="center"/>
          </w:tcPr>
          <w:p w14:paraId="405345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267" w:type="dxa"/>
            <w:vAlign w:val="center"/>
          </w:tcPr>
          <w:p w14:paraId="559871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600</w:t>
            </w:r>
          </w:p>
        </w:tc>
        <w:tc>
          <w:tcPr>
            <w:tcW w:w="1036" w:type="dxa"/>
            <w:vAlign w:val="center"/>
          </w:tcPr>
          <w:p w14:paraId="5435D4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</w:tr>
      <w:tr w14:paraId="0E0A7AA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bottom w:val="nil"/>
            </w:tcBorders>
            <w:vAlign w:val="center"/>
          </w:tcPr>
          <w:p w14:paraId="77D113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2AD3CC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BC5-500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14:paraId="1A559C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2114" w:type="dxa"/>
            <w:tcBorders>
              <w:bottom w:val="nil"/>
            </w:tcBorders>
            <w:vAlign w:val="center"/>
          </w:tcPr>
          <w:p w14:paraId="615287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 g Ca(OH)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14:paraId="36378F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267" w:type="dxa"/>
            <w:tcBorders>
              <w:bottom w:val="nil"/>
            </w:tcBorders>
            <w:vAlign w:val="center"/>
          </w:tcPr>
          <w:p w14:paraId="0C8F1A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14:paraId="68F15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</w:tr>
      <w:tr w14:paraId="4DB7FF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nil"/>
              <w:bottom w:val="single" w:color="auto" w:sz="12" w:space="0"/>
            </w:tcBorders>
            <w:vAlign w:val="center"/>
          </w:tcPr>
          <w:p w14:paraId="430EFC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000" w:type="dxa"/>
            <w:tcBorders>
              <w:top w:val="nil"/>
              <w:bottom w:val="single" w:color="auto" w:sz="12" w:space="0"/>
            </w:tcBorders>
            <w:vAlign w:val="center"/>
          </w:tcPr>
          <w:p w14:paraId="31034D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BC5-600</w:t>
            </w:r>
          </w:p>
        </w:tc>
        <w:tc>
          <w:tcPr>
            <w:tcW w:w="1008" w:type="dxa"/>
            <w:tcBorders>
              <w:top w:val="nil"/>
              <w:bottom w:val="single" w:color="auto" w:sz="12" w:space="0"/>
            </w:tcBorders>
            <w:vAlign w:val="center"/>
          </w:tcPr>
          <w:p w14:paraId="66C236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2114" w:type="dxa"/>
            <w:tcBorders>
              <w:top w:val="nil"/>
              <w:bottom w:val="single" w:color="auto" w:sz="12" w:space="0"/>
            </w:tcBorders>
            <w:vAlign w:val="center"/>
          </w:tcPr>
          <w:p w14:paraId="43C2A1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 g Ca(OH)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08" w:type="dxa"/>
            <w:tcBorders>
              <w:top w:val="nil"/>
              <w:bottom w:val="single" w:color="auto" w:sz="12" w:space="0"/>
            </w:tcBorders>
            <w:vAlign w:val="center"/>
          </w:tcPr>
          <w:p w14:paraId="1CC9F9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267" w:type="dxa"/>
            <w:tcBorders>
              <w:top w:val="nil"/>
              <w:bottom w:val="single" w:color="auto" w:sz="12" w:space="0"/>
            </w:tcBorders>
            <w:vAlign w:val="center"/>
          </w:tcPr>
          <w:p w14:paraId="0B71C0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600</w:t>
            </w:r>
          </w:p>
        </w:tc>
        <w:tc>
          <w:tcPr>
            <w:tcW w:w="1036" w:type="dxa"/>
            <w:tcBorders>
              <w:top w:val="nil"/>
              <w:bottom w:val="single" w:color="auto" w:sz="12" w:space="0"/>
            </w:tcBorders>
            <w:vAlign w:val="center"/>
          </w:tcPr>
          <w:p w14:paraId="25E498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</w:tr>
    </w:tbl>
    <w:p w14:paraId="3D69BF05">
      <w:pPr>
        <w:rPr>
          <w:rFonts w:hint="eastAsia"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Note: m represents the mass of the powdered</w:t>
      </w:r>
      <w:r>
        <w:rPr>
          <w:rFonts w:ascii="Times New Roman" w:hAnsi="Times New Roman" w:cs="Times New Roman"/>
          <w:i/>
          <w:iCs/>
          <w:sz w:val="22"/>
        </w:rPr>
        <w:t xml:space="preserve"> Camellia oleifera</w:t>
      </w:r>
      <w:r>
        <w:rPr>
          <w:rFonts w:ascii="Times New Roman" w:hAnsi="Times New Roman" w:cs="Times New Roman"/>
          <w:sz w:val="22"/>
        </w:rPr>
        <w:t xml:space="preserve"> shells</w:t>
      </w:r>
      <w:r>
        <w:rPr>
          <w:rFonts w:hint="eastAsia" w:ascii="Times New Roman" w:hAnsi="Times New Roman" w:cs="Times New Roman"/>
          <w:sz w:val="22"/>
        </w:rPr>
        <w:t xml:space="preserve">. </w:t>
      </w:r>
    </w:p>
    <w:p w14:paraId="3D8919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Experimental Details</w:t>
      </w:r>
    </w:p>
    <w:p w14:paraId="19403A67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All batch adsorption experiments were performed in a constant-temperature shaker at 150 rpm, unless otherwise indicated. The detailed experimental design is outlined below:</w:t>
      </w:r>
    </w:p>
    <w:p w14:paraId="500D3485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Adsorption kinetics: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0.05 g portion of BC5-500 was added to 30 mL of NH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solution (100 mg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 pH 10.0) or PO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等线" w:cs="Times New Roman"/>
          <w:sz w:val="24"/>
          <w:szCs w:val="24"/>
          <w:vertAlign w:val="superscript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solution (600 mg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 pH 6.0). The mixture was shaken at 25°C, and samples were collected at predetermined time intervals between 10 and</w:t>
      </w:r>
      <w:r>
        <w:rPr>
          <w:rFonts w:hint="eastAsia" w:ascii="Times New Roman" w:hAnsi="Times New Roman" w:cs="Times New Roman"/>
          <w:sz w:val="24"/>
          <w:szCs w:val="24"/>
        </w:rPr>
        <w:t xml:space="preserve"> 420 min to determine the variation of adsorption capacity over time.</w:t>
      </w:r>
    </w:p>
    <w:p w14:paraId="25A4A783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Adsorption isotherms: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solutions (20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200 mg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 and PO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等线" w:cs="Times New Roman"/>
          <w:sz w:val="24"/>
          <w:szCs w:val="24"/>
          <w:vertAlign w:val="superscript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solutions (200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1200 mg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 were prepared and adjusted to pH 10.0 and pH 6.0, respectively. For each concentration, 30 mL of solution was mixed with 0.05 g of BC5-500 and shaken at 25°C unt</w:t>
      </w:r>
      <w:r>
        <w:rPr>
          <w:rFonts w:hint="eastAsia" w:ascii="Times New Roman" w:hAnsi="Times New Roman" w:cs="Times New Roman"/>
          <w:sz w:val="24"/>
          <w:szCs w:val="24"/>
        </w:rPr>
        <w:t>il adsorption equilibrium was reached.</w:t>
      </w:r>
    </w:p>
    <w:p w14:paraId="38BB1439">
      <w:pPr>
        <w:spacing w:line="480" w:lineRule="auto"/>
        <w:ind w:left="210" w:leftChars="100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solution pH: The pH of NH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(100 mg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 and PO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等线" w:cs="Times New Roman"/>
          <w:sz w:val="24"/>
          <w:szCs w:val="24"/>
          <w:vertAlign w:val="superscript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(600 mg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 solutions was adjusted across the range of 2.0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12.0. Then, 30 mL of each solution was combined with 0.05 g of BC5-500 and shaken at 25°C until equilibrium was attained.</w:t>
      </w:r>
    </w:p>
    <w:p w14:paraId="7AF973E2">
      <w:pPr>
        <w:spacing w:line="48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temperature: Experiments were conducted at temperatures ranging from 20 to 45°C. In each test, 0.05 g of BC5-500 was added to 30 mL of NH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solution (100 mg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 pH 10.0) or PO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等线" w:cs="Times New Roman"/>
          <w:sz w:val="24"/>
          <w:szCs w:val="24"/>
          <w:vertAlign w:val="superscript"/>
        </w:rPr>
        <w:t xml:space="preserve">3- </w:t>
      </w:r>
      <w:r>
        <w:rPr>
          <w:rFonts w:ascii="Times New Roman" w:hAnsi="Times New Roman" w:cs="Times New Roman"/>
          <w:sz w:val="24"/>
          <w:szCs w:val="24"/>
        </w:rPr>
        <w:t>solution (600 mg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 pH 6.0). After shaking for 120 min (for NH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) or 360 min (for NH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), samples were collected for analysis.</w:t>
      </w:r>
    </w:p>
    <w:p w14:paraId="4F6598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Characterization Instruments Used in the Experiments</w:t>
      </w:r>
    </w:p>
    <w:p w14:paraId="01BCA0DE">
      <w:pPr>
        <w:spacing w:line="48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The characterization analyses of the samples were performed using a suite of analytical instruments, including a scanning electron microscope (Apreo 2, Thermo Fisher Scientific, USA), a specific surface area analyzer (TriStar II Plus, Micromeritics, USA), a Fourier-transform infrared spectrometer (Nicolet iS10, Thermo Scientific, USA), an X-ray photoelectron spectrometer (Escalab 250Xi, Thermo Fisher Scientific, USA), and an X-ray diffractometer (SmartLab 9 kW, Rigaku, Japan).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29"/>
    <w:rsid w:val="000A1DB5"/>
    <w:rsid w:val="000F072B"/>
    <w:rsid w:val="00153A98"/>
    <w:rsid w:val="002544F0"/>
    <w:rsid w:val="002E2A69"/>
    <w:rsid w:val="00322E63"/>
    <w:rsid w:val="003420A7"/>
    <w:rsid w:val="0042029E"/>
    <w:rsid w:val="004222CB"/>
    <w:rsid w:val="004E3829"/>
    <w:rsid w:val="006403CD"/>
    <w:rsid w:val="00690022"/>
    <w:rsid w:val="006E5B11"/>
    <w:rsid w:val="007F76A1"/>
    <w:rsid w:val="008F5891"/>
    <w:rsid w:val="00943D6D"/>
    <w:rsid w:val="00977048"/>
    <w:rsid w:val="00C5639D"/>
    <w:rsid w:val="00C6024F"/>
    <w:rsid w:val="00C74229"/>
    <w:rsid w:val="00E458F6"/>
    <w:rsid w:val="00E46D70"/>
    <w:rsid w:val="00F608BE"/>
    <w:rsid w:val="1E2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</Words>
  <Characters>2637</Characters>
  <Lines>145</Lines>
  <Paragraphs>92</Paragraphs>
  <TotalTime>1</TotalTime>
  <ScaleCrop>false</ScaleCrop>
  <LinksUpToDate>false</LinksUpToDate>
  <CharactersWithSpaces>3048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2025-12-27T12:35:00Z</dcterms:created>
  <dc:creator>chenmin</dc:creator>
  <cp:lastModifiedBy>春天到了</cp:lastModifiedBy>
  <dcterms:modified xsi:type="dcterms:W3CDTF">2025-12-27T13:17:43Z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eyJoZGlkIjoiMTYyN2I1MjkwNmRmNzUxZWE1Y2M1ZGQ0MDAyMGFkNzYiLCJ1c2VySWQiOiI0NTk2OTc3MjcifQ==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05610B8A805F4C2ABF1281CE787E5D0B_12</vt:lpwstr>
  </property>
</Properties>
</file>